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370BC3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Пиритион цинка</w:t>
            </w:r>
          </w:p>
        </w:tc>
        <w:tc>
          <w:tcPr>
            <w:tcW w:w="460" w:type="dxa"/>
          </w:tcPr>
          <w:p w:rsidR="00CF06B4" w:rsidRDefault="00CF06B4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73663">
              <w:rPr>
                <w:rFonts w:ascii="Times New Roman" w:hAnsi="Times New Roman" w:cs="Times New Roman"/>
                <w:b/>
                <w:sz w:val="28"/>
                <w:szCs w:val="28"/>
              </w:rPr>
              <w:t>.2.1.0618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940074" w:rsidP="00370BC3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40074">
              <w:rPr>
                <w:rFonts w:ascii="Times New Roman" w:hAnsi="Times New Roman"/>
                <w:b/>
                <w:sz w:val="28"/>
                <w:szCs w:val="28"/>
              </w:rPr>
              <w:t>Пиритион цинка</w:t>
            </w:r>
          </w:p>
        </w:tc>
        <w:tc>
          <w:tcPr>
            <w:tcW w:w="460" w:type="dxa"/>
          </w:tcPr>
          <w:p w:rsidR="00BD64B6" w:rsidRDefault="00BD64B6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940074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0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Pyrithionum zincicum</w:t>
            </w:r>
          </w:p>
        </w:tc>
        <w:tc>
          <w:tcPr>
            <w:tcW w:w="460" w:type="dxa"/>
          </w:tcPr>
          <w:p w:rsidR="00CF06B4" w:rsidRDefault="00CF06B4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940074" w:rsidP="00370BC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074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940074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AAD">
              <w:rPr>
                <w:rFonts w:ascii="Times New Roman" w:hAnsi="Times New Roman" w:cs="Times New Roman"/>
                <w:sz w:val="28"/>
                <w:szCs w:val="28"/>
              </w:rPr>
              <w:object w:dxaOrig="298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56.25pt" o:ole="">
                  <v:imagedata r:id="rId7" o:title=""/>
                </v:shape>
                <o:OLEObject Type="Embed" ProgID="ChemWindow.Document" ShapeID="_x0000_i1025" DrawAspect="Content" ObjectID="_1750147684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940074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4786" w:type="dxa"/>
          </w:tcPr>
          <w:p w:rsidR="00514FED" w:rsidRPr="00940074" w:rsidRDefault="00B20F96" w:rsidP="009400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40074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94007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940074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[13463-41-7]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940074" w:rsidRPr="00940074" w:rsidRDefault="00940074" w:rsidP="0094007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sz w:val="28"/>
          <w:szCs w:val="28"/>
        </w:rPr>
        <w:t>Бис(2-пиридилтио)1,1'-диоксид цинка.</w:t>
      </w:r>
    </w:p>
    <w:p w:rsidR="00940074" w:rsidRPr="00940074" w:rsidRDefault="00940074" w:rsidP="00940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95,0 % пиритиона цинка </w:t>
      </w:r>
      <w:r w:rsidRPr="00940074">
        <w:rPr>
          <w:rFonts w:ascii="Times New Roman" w:eastAsiaTheme="minorHAnsi" w:hAnsi="Times New Roman"/>
          <w:sz w:val="28"/>
          <w:szCs w:val="28"/>
          <w:lang w:val="en-US" w:eastAsia="en-US"/>
        </w:rPr>
        <w:t>C</w:t>
      </w:r>
      <w:r w:rsidRPr="0094007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10</w:t>
      </w:r>
      <w:r w:rsidRPr="00940074">
        <w:rPr>
          <w:rFonts w:ascii="Times New Roman" w:eastAsiaTheme="minorHAnsi" w:hAnsi="Times New Roman"/>
          <w:sz w:val="28"/>
          <w:szCs w:val="28"/>
          <w:lang w:val="en-US" w:eastAsia="en-US"/>
        </w:rPr>
        <w:t>H</w:t>
      </w:r>
      <w:r w:rsidRPr="0094007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8</w:t>
      </w:r>
      <w:r w:rsidRPr="00940074">
        <w:rPr>
          <w:rFonts w:ascii="Times New Roman" w:eastAsiaTheme="minorHAnsi" w:hAnsi="Times New Roman"/>
          <w:sz w:val="28"/>
          <w:szCs w:val="28"/>
          <w:lang w:val="en-US" w:eastAsia="en-US"/>
        </w:rPr>
        <w:t>N</w:t>
      </w:r>
      <w:r w:rsidRPr="0094007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940074">
        <w:rPr>
          <w:rFonts w:ascii="Times New Roman" w:eastAsiaTheme="minorHAnsi" w:hAnsi="Times New Roman"/>
          <w:sz w:val="28"/>
          <w:szCs w:val="28"/>
          <w:lang w:val="en-US" w:eastAsia="en-US"/>
        </w:rPr>
        <w:t>O</w:t>
      </w:r>
      <w:r w:rsidRPr="0094007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940074">
        <w:rPr>
          <w:rFonts w:ascii="Times New Roman" w:eastAsiaTheme="minorHAnsi" w:hAnsi="Times New Roman"/>
          <w:sz w:val="28"/>
          <w:szCs w:val="28"/>
          <w:lang w:val="en-US" w:eastAsia="en-US"/>
        </w:rPr>
        <w:t>S</w:t>
      </w:r>
      <w:r w:rsidRPr="00940074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940074">
        <w:rPr>
          <w:rFonts w:ascii="Times New Roman" w:eastAsiaTheme="minorHAnsi" w:hAnsi="Times New Roman"/>
          <w:sz w:val="28"/>
          <w:szCs w:val="28"/>
          <w:lang w:val="en-US" w:eastAsia="en-US"/>
        </w:rPr>
        <w:t>Zn</w:t>
      </w:r>
      <w:r w:rsidRPr="009400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0074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пересчёте на сухое вещество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74" w:rsidRPr="00940074" w:rsidRDefault="00940074" w:rsidP="00940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цинка от 19,0 % до 22,0 % 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 xml:space="preserve">в пересчёте на сухое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вещество.</w:t>
      </w:r>
    </w:p>
    <w:p w:rsid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940074" w:rsidRPr="00940074" w:rsidRDefault="00940074" w:rsidP="00940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074">
        <w:rPr>
          <w:rFonts w:ascii="Times New Roman" w:eastAsiaTheme="minorHAnsi" w:hAnsi="Times New Roman"/>
          <w:b/>
          <w:color w:val="000000"/>
          <w:sz w:val="28"/>
          <w:lang w:eastAsia="en-US" w:bidi="ru-RU"/>
        </w:rPr>
        <w:t xml:space="preserve">Описание.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Белый </w:t>
      </w:r>
      <w:bookmarkStart w:id="0" w:name="_GoBack"/>
      <w:bookmarkEnd w:id="0"/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с сероватым оттенком или светло-жёлтый мелкокристаллический порошок со слабым специфическим запахом.</w:t>
      </w:r>
    </w:p>
    <w:p w:rsidR="00940074" w:rsidRPr="00940074" w:rsidRDefault="00940074" w:rsidP="00940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b/>
          <w:sz w:val="28"/>
          <w:szCs w:val="28"/>
        </w:rPr>
        <w:t>Растворимость.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 xml:space="preserve"> Растворим или умеренно растворим в диметилсульфоксиде, мало растворим в хлороформе, практически нерастворим в воде.</w:t>
      </w:r>
    </w:p>
    <w:p w:rsidR="00940074" w:rsidRDefault="00940074" w:rsidP="00940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sz w:val="28"/>
          <w:szCs w:val="28"/>
        </w:rPr>
        <w:t>*Растворяется в минеральных кислотах с образованием опалесцирующего раствора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74" w:rsidRDefault="00940074" w:rsidP="0038745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ИДЕНТИФИКАЦИЯ</w:t>
      </w:r>
    </w:p>
    <w:p w:rsidR="00940074" w:rsidRPr="00940074" w:rsidRDefault="00940074" w:rsidP="0038745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i/>
          <w:sz w:val="28"/>
          <w:szCs w:val="28"/>
        </w:rPr>
        <w:t xml:space="preserve">1. ИК-спектрометрия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 xml:space="preserve">Спектрометрия </w:t>
      </w:r>
      <w:r w:rsidRPr="00940074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инфракрасной области»)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>. Инфракрасный спектр субстанции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>в области от 4000 до 400 см</w:t>
      </w:r>
      <w:r w:rsidRPr="009400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–1 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>по положению полос поглощения должен соответствовать спектру фармакопейного стандартного образца пиритиона цинка.</w:t>
      </w:r>
    </w:p>
    <w:p w:rsidR="00940074" w:rsidRPr="00C10251" w:rsidRDefault="00940074" w:rsidP="00940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74">
        <w:rPr>
          <w:rFonts w:ascii="Times New Roman" w:eastAsia="Times New Roman" w:hAnsi="Times New Roman" w:cs="Times New Roman"/>
          <w:i/>
          <w:sz w:val="28"/>
          <w:szCs w:val="28"/>
        </w:rPr>
        <w:t xml:space="preserve">2. Качественная реакция. </w:t>
      </w:r>
      <w:r w:rsidRPr="00940074">
        <w:rPr>
          <w:rFonts w:ascii="Times New Roman" w:eastAsia="Times New Roman" w:hAnsi="Times New Roman" w:cs="Times New Roman"/>
          <w:sz w:val="28"/>
          <w:szCs w:val="28"/>
        </w:rPr>
        <w:t>Раствор 0,1 г субстанции в 1 мл хлористоводородной кислоты концентрированной должен давать характерную реакцию Б на цинк (ОФС «Общие реакции на подлинность</w:t>
      </w:r>
      <w:r w:rsidR="003216AC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плавления.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От 246 до 258 °</w:t>
      </w:r>
      <w:r w:rsidRPr="003216A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(с разложением, ОФС</w:t>
      </w:r>
      <w:r w:rsidR="003372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«Температура плавления»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метод 1).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</w:t>
      </w:r>
      <w:r w:rsidRPr="003216A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От 6,0 до 9,0 (5 % суспензия субстанции, ОФС «Ионометрия»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метод 3).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примеси.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методом ТСХ (ОФС</w:t>
      </w:r>
      <w:r w:rsidR="003372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«Тонкослойная хроматография»).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sz w:val="28"/>
          <w:szCs w:val="28"/>
        </w:rPr>
        <w:t>Все растворы используют свежеприготовленными и защищают от света.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Пластинка.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ТСХ пластинка со слоем силикагеля </w:t>
      </w:r>
      <w:r w:rsidRPr="003216AC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3216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254</w:t>
      </w:r>
      <w:r w:rsidR="00372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Предварительная подготовка пластинки.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Пластинку предварительно погружают в метанол и сушат при температуре 100 °</w:t>
      </w:r>
      <w:r w:rsidRPr="003216A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течение 5 мин.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(ПФ).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Аммиака раствор концентрированный 25 %</w:t>
      </w:r>
      <w:r w:rsidRPr="003216AC">
        <w:rPr>
          <w:rFonts w:ascii="Times New Roman" w:eastAsia="Times New Roman" w:hAnsi="Times New Roman" w:cs="Times New Roman"/>
          <w:color w:val="000000"/>
          <w:sz w:val="28"/>
          <w:szCs w:val="28"/>
        </w:rPr>
        <w:t>—бутанол 10:90.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 А.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5 мл помещают 50 мг субстанции, растворяют в 1,0 мл хлористоводородной кислоты 25 % и доводят объём раствора метанолом до метки.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 Б.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1,0 мл испытуемого раствора А и доводят объём раствора метанолом до метки.</w:t>
      </w:r>
    </w:p>
    <w:p w:rsidR="003216AC" w:rsidRPr="003216AC" w:rsidRDefault="003216AC" w:rsidP="00321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Раствор сравнения А.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1,5 мл испытуемого раствора Б и доводят объём раствора метанолом до метки.</w:t>
      </w:r>
    </w:p>
    <w:p w:rsidR="003216AC" w:rsidRPr="003216AC" w:rsidRDefault="003216AC" w:rsidP="00321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 Б.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1,0 мл испытуемого раствора Б и доводят объём раствора метанолом до метки.</w:t>
      </w:r>
    </w:p>
    <w:p w:rsidR="003216AC" w:rsidRPr="003216AC" w:rsidRDefault="003216AC" w:rsidP="00321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 В. 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0,5 мл испытуемого раствора Б и доводят объём раствора метанолом до метки.</w:t>
      </w:r>
    </w:p>
    <w:p w:rsidR="003216AC" w:rsidRPr="003216AC" w:rsidRDefault="003216AC" w:rsidP="00321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sz w:val="28"/>
          <w:szCs w:val="28"/>
        </w:rPr>
        <w:t>На линию старта пластинки наносят по 10 мкл испытуемого раствора А (100 мкг), раствора сравнения А (1,5 мкг), раствора сравнения Б (1 мкг) и раствора сравнения В (0,5 мкг). Пластинку с нанесёнными пробами сушат на воздухе, помещают в камеру с ПФ, предварительно насыщенную в течение не менее 1 ч, и хроматографируют восходящим способом. Когда фронт ПФ пройдёт до конца пластинки, её вынимают из камеры, сушат до удаления следов растворителей и просматривают в УФ-свете при длине волны 254 нм.</w:t>
      </w:r>
    </w:p>
    <w:p w:rsidR="003216AC" w:rsidRPr="003216AC" w:rsidRDefault="003216AC" w:rsidP="003216AC">
      <w:pPr>
        <w:widowControl w:val="0"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321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раствора сравнения В должна обнаруживаться чёткая зона адсорбции.</w:t>
      </w:r>
    </w:p>
    <w:p w:rsidR="003216AC" w:rsidRPr="003216AC" w:rsidRDefault="003216AC" w:rsidP="003216AC">
      <w:pPr>
        <w:widowControl w:val="0"/>
        <w:spacing w:after="0" w:line="360" w:lineRule="auto"/>
        <w:ind w:firstLine="709"/>
        <w:jc w:val="both"/>
        <w:rPr>
          <w:rFonts w:ascii="NTHarmonica" w:eastAsia="Times New Roman" w:hAnsi="NTHarmonica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3216AC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испытуемого раствора зона адсорбции любой примеси по совокупности величины не должна превышать зону адсорбции пиритиона цинка на хроматограмме раствора сравнения А (не более 1,5 %).</w:t>
      </w:r>
    </w:p>
    <w:p w:rsidR="003216AC" w:rsidRPr="003216AC" w:rsidRDefault="003216AC" w:rsidP="00321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AC">
        <w:rPr>
          <w:rFonts w:ascii="Times New Roman" w:eastAsia="Times New Roman" w:hAnsi="Times New Roman" w:cs="Times New Roman"/>
          <w:sz w:val="28"/>
          <w:szCs w:val="28"/>
        </w:rPr>
        <w:t>Сумма примесей – не более 3,0 %.</w:t>
      </w:r>
    </w:p>
    <w:p w:rsidR="003216AC" w:rsidRDefault="003216AC" w:rsidP="003216A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16AC">
        <w:rPr>
          <w:rFonts w:ascii="Times New Roman" w:hAnsi="Times New Roman"/>
          <w:b w:val="0"/>
          <w:szCs w:val="28"/>
        </w:rPr>
        <w:t>Зону адсорбции на линии старта при оценке не учитывают</w:t>
      </w:r>
      <w:r w:rsidR="00747A31">
        <w:rPr>
          <w:rFonts w:ascii="Times New Roman" w:hAnsi="Times New Roman"/>
          <w:b w:val="0"/>
          <w:szCs w:val="28"/>
        </w:rPr>
        <w:t>.</w:t>
      </w:r>
    </w:p>
    <w:p w:rsidR="00082D7E" w:rsidRPr="00082D7E" w:rsidRDefault="00082D7E" w:rsidP="00082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082D7E">
        <w:rPr>
          <w:rFonts w:ascii="Times New Roman" w:eastAsia="Times New Roman" w:hAnsi="Times New Roman" w:cs="Times New Roman"/>
          <w:sz w:val="28"/>
          <w:szCs w:val="28"/>
        </w:rPr>
        <w:t>Не более 3,0 % (ОФС «Потеря в массе при высушивании»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D7E">
        <w:rPr>
          <w:rFonts w:ascii="Times New Roman" w:eastAsia="Times New Roman" w:hAnsi="Times New Roman" w:cs="Times New Roman"/>
          <w:sz w:val="28"/>
          <w:szCs w:val="28"/>
        </w:rPr>
        <w:t xml:space="preserve"> способ 1). Для определения используют 1 г (точная навеска) субстанции.</w:t>
      </w:r>
    </w:p>
    <w:p w:rsidR="00082D7E" w:rsidRPr="00082D7E" w:rsidRDefault="00082D7E" w:rsidP="00082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Сульфаты.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0,05 % (ОФС «Сульфаты»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Встряхивают 1 г субстанции с 10 мл воды в течение 2 мин и фильтруют. К 2 мл полученного фильтрата прибавляют 8 мл хлористоводородной кислоты 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разведённой 8,3 %.</w:t>
      </w:r>
    </w:p>
    <w:p w:rsidR="00082D7E" w:rsidRPr="00082D7E" w:rsidRDefault="00082D7E" w:rsidP="00082D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7E">
        <w:rPr>
          <w:rFonts w:ascii="Times New Roman" w:eastAsia="Times New Roman" w:hAnsi="Times New Roman" w:cs="Times New Roman"/>
          <w:b/>
          <w:sz w:val="28"/>
          <w:szCs w:val="28"/>
        </w:rPr>
        <w:t xml:space="preserve">Хлориды. 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0,01 % (ОФС «Хлориды»). Встряхивают 0,5 г субстанции в течение 1 мин с 25 мл воды и фильтруют.</w:t>
      </w:r>
    </w:p>
    <w:p w:rsidR="00082D7E" w:rsidRPr="00082D7E" w:rsidRDefault="00082D7E" w:rsidP="00082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Остаточные органические растворители.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ОФС</w:t>
      </w:r>
      <w:r w:rsidR="003372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2D7E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9A191F" w:rsidRPr="00DC44E4" w:rsidRDefault="009A191F" w:rsidP="003E5FF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337257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EE78F4" w:rsidRPr="00121BF5" w:rsidRDefault="00EE78F4" w:rsidP="00EE7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b/>
          <w:i/>
          <w:sz w:val="28"/>
          <w:szCs w:val="28"/>
        </w:rPr>
        <w:t>1. Пиритион цинка.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Растворяют 0,2 г (точная навеска) субстанции в 20 мл хлористоводородной кислоты 25 %, прибавляют 55 мл воды и сразу титруют 0,05 М раствором йода. </w:t>
      </w:r>
      <w:r w:rsidRPr="00EE7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1 мл 0,05 М раствора йода соответствует 15,88 мг пиритиона цинка </w:t>
      </w:r>
      <w:r w:rsidRPr="00EE78F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EE78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EE78F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EE78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EE78F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E78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E78F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E78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E78F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E78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E78F4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b/>
          <w:i/>
          <w:sz w:val="28"/>
          <w:szCs w:val="28"/>
        </w:rPr>
        <w:t>2. Цинк.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методом атомно-абсорбционной спектрометрии (ОФС «Атомно-абсорбционная спектрометрия»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>метод 1).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50 мг (точная навеска) субстанции, растворяют в 5 мл хлористоводородной кислоты разведённой 8,3 % и доводят объём раствора водой до метки. В мерную колбу вместимостью 50 мл помещают 1,0 мл полученного раствора и доводят объём раствора водой до метки.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Стандартный раствор. 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100 мл помещают 0,1 г (точная навеска) цинка, растворяют в 5 мл хлористоводородной кислоты разведённой 8,3 % и доводят объём раствора водой до метки. В мерную колбу вместимостью 50 мл помещают 5,0 мл полученного раствора и доводят объём раствора водой до метки. </w:t>
      </w:r>
    </w:p>
    <w:p w:rsidR="00EE78F4" w:rsidRPr="00EE78F4" w:rsidRDefault="00EE78F4" w:rsidP="003372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Калибровочные растворы. 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>В отдельные мерные колбы вместимостью 50 мл помещают по 0,5; 1,0 и 2,0 мл стандартного раствора и доводят объём растворов водой до метки</w:t>
      </w:r>
      <w:r w:rsidR="00DB06B8">
        <w:rPr>
          <w:rFonts w:ascii="Times New Roman" w:eastAsia="Times New Roman" w:hAnsi="Times New Roman" w:cs="Times New Roman"/>
          <w:sz w:val="28"/>
          <w:szCs w:val="28"/>
        </w:rPr>
        <w:t>, получая растворы с содержанием цинка соответственно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B06B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 xml:space="preserve"> 2 и 4 мкг/мл</w:t>
      </w:r>
      <w:r w:rsidR="00DB0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F4" w:rsidRPr="00EE78F4" w:rsidRDefault="00EE78F4" w:rsidP="0037240C">
      <w:pPr>
        <w:keepNext/>
        <w:widowControl w:val="0"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EE78F4" w:rsidRPr="00EE78F4" w:rsidTr="001827CC">
        <w:tc>
          <w:tcPr>
            <w:tcW w:w="2943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521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</w:rPr>
              <w:t>лампа для определения цинка</w:t>
            </w: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E78F4" w:rsidRPr="00EE78F4" w:rsidTr="001827CC">
        <w:tc>
          <w:tcPr>
            <w:tcW w:w="2943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521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</w:rPr>
              <w:t>213,9 нм;</w:t>
            </w:r>
          </w:p>
        </w:tc>
      </w:tr>
      <w:tr w:rsidR="00EE78F4" w:rsidRPr="00EE78F4" w:rsidTr="001827CC">
        <w:tc>
          <w:tcPr>
            <w:tcW w:w="2943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521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F4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воздушно-ацетиленовое пламя.</w:t>
            </w:r>
          </w:p>
        </w:tc>
      </w:tr>
    </w:tbl>
    <w:p w:rsidR="00EE78F4" w:rsidRPr="00EE78F4" w:rsidRDefault="00EE78F4" w:rsidP="00EE78F4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z w:val="28"/>
          <w:szCs w:val="28"/>
        </w:rPr>
        <w:t>Измеряют поглощение калибровочных и испытуемого растворов. Для каждого раствора проводят не менее 3 измерений.</w:t>
      </w:r>
    </w:p>
    <w:p w:rsidR="00EE78F4" w:rsidRPr="00EE78F4" w:rsidRDefault="00EE78F4" w:rsidP="00EE78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z w:val="28"/>
          <w:szCs w:val="28"/>
        </w:rPr>
        <w:t>Строят калибровочную кривую, откладывая по оси ординат значен</w:t>
      </w:r>
      <w:r w:rsidR="001827CC">
        <w:rPr>
          <w:rFonts w:ascii="Times New Roman" w:eastAsia="Times New Roman" w:hAnsi="Times New Roman" w:cs="Times New Roman"/>
          <w:sz w:val="28"/>
          <w:szCs w:val="28"/>
        </w:rPr>
        <w:t xml:space="preserve">ия поглощения, а по оси абсцисс 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18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>концентрацию (мкг/мл). Содержание цинка в испытуемом растворе определяют по калибровочному графику.</w:t>
      </w:r>
    </w:p>
    <w:p w:rsidR="00EE78F4" w:rsidRPr="00EE78F4" w:rsidRDefault="00EE78F4" w:rsidP="00EE78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z w:val="28"/>
          <w:szCs w:val="28"/>
        </w:rPr>
        <w:t>Содержание цинка в субстанции в процентах в пересчёте на сухое вещество (</w:t>
      </w:r>
      <w:r w:rsidRPr="00EE78F4">
        <w:rPr>
          <w:rFonts w:ascii="Cambria Math" w:eastAsia="Times New Roman" w:hAnsi="Cambria Math" w:cs="Times New Roman"/>
          <w:i/>
          <w:sz w:val="28"/>
          <w:szCs w:val="28"/>
        </w:rPr>
        <w:t>Х</w:t>
      </w:r>
      <w:r w:rsidRPr="00EE78F4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EE78F4" w:rsidRPr="00EE78F4" w:rsidRDefault="00EE78F4" w:rsidP="00EE78F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Times New Roman" w:cs="Times New Roman"/>
              <w:spacing w:val="-1"/>
              <w:sz w:val="28"/>
              <w:szCs w:val="20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1"/>
                  <w:sz w:val="28"/>
                  <w:szCs w:val="20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C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0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100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0"/>
                </w:rPr>
                <m:t>∙</m:t>
              </m:r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50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0"/>
                </w:rPr>
                <m:t>∙</m:t>
              </m:r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100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0"/>
                </w:rPr>
                <m:t>·</m:t>
              </m:r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100</m:t>
              </m:r>
            </m:num>
            <m:den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a</m:t>
              </m:r>
              <m:r>
                <w:rPr>
                  <w:rFonts w:ascii="Cambria Math" w:eastAsia="Times New Roman" w:hAnsi="Cambria Math" w:cs="Times New Roman"/>
                  <w:spacing w:val="-1"/>
                  <w:sz w:val="28"/>
                  <w:szCs w:val="20"/>
                </w:rPr>
                <m:t>∙</m:t>
              </m:r>
              <m:r>
                <w:rPr>
                  <w:rFonts w:ascii="Cambria Math" w:eastAsia="Times New Roman" w:hAnsi="Times New Roman" w:cs="Times New Roman"/>
                  <w:spacing w:val="-1"/>
                  <w:sz w:val="28"/>
                  <w:szCs w:val="20"/>
                </w:rPr>
                <m:t>1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·(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  <m:t>W)</m:t>
              </m:r>
            </m:den>
          </m:f>
          <m:r>
            <w:rPr>
              <w:rFonts w:ascii="Cambria Math" w:eastAsia="Times New Roman" w:hAnsi="Cambria Math" w:cs="Times New Roman"/>
              <w:spacing w:val="-1"/>
              <w:sz w:val="28"/>
              <w:szCs w:val="20"/>
            </w:rPr>
            <m:t xml:space="preserve"> 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464"/>
        <w:gridCol w:w="283"/>
        <w:gridCol w:w="8187"/>
      </w:tblGrid>
      <w:tr w:rsidR="00EE78F4" w:rsidRPr="00EE78F4" w:rsidTr="001827CC">
        <w:tc>
          <w:tcPr>
            <w:tcW w:w="637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  <w:t>где</w:t>
            </w:r>
          </w:p>
        </w:tc>
        <w:tc>
          <w:tcPr>
            <w:tcW w:w="464" w:type="dxa"/>
          </w:tcPr>
          <w:p w:rsidR="00EE78F4" w:rsidRPr="00EE78F4" w:rsidRDefault="00EE78F4" w:rsidP="0037240C">
            <w:pPr>
              <w:widowControl w:val="0"/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0"/>
                <w:lang w:val="en-US" w:bidi="ru-RU"/>
              </w:rPr>
              <w:t>C</w:t>
            </w:r>
          </w:p>
        </w:tc>
        <w:tc>
          <w:tcPr>
            <w:tcW w:w="283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8187" w:type="dxa"/>
          </w:tcPr>
          <w:p w:rsidR="00EE78F4" w:rsidRPr="00EE78F4" w:rsidRDefault="00EE78F4" w:rsidP="00EE78F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  <w:t>содержание цинка, определённое по калибровочному графику, мкг/мл;</w:t>
            </w:r>
          </w:p>
        </w:tc>
      </w:tr>
      <w:tr w:rsidR="00EE78F4" w:rsidRPr="00EE78F4" w:rsidTr="001827CC">
        <w:tc>
          <w:tcPr>
            <w:tcW w:w="637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</w:p>
        </w:tc>
        <w:tc>
          <w:tcPr>
            <w:tcW w:w="464" w:type="dxa"/>
          </w:tcPr>
          <w:p w:rsidR="00EE78F4" w:rsidRPr="00EE78F4" w:rsidRDefault="00EE78F4" w:rsidP="0037240C">
            <w:pPr>
              <w:widowControl w:val="0"/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0"/>
                <w:lang w:val="en-US" w:bidi="ru-RU"/>
              </w:rPr>
            </w:pPr>
            <w:r w:rsidRPr="00EE78F4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0"/>
                <w:lang w:val="en-US" w:bidi="ru-RU"/>
              </w:rPr>
              <w:t>a</w:t>
            </w:r>
          </w:p>
        </w:tc>
        <w:tc>
          <w:tcPr>
            <w:tcW w:w="283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E78F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8187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  <w:t>навеска субстанции, мг;</w:t>
            </w:r>
          </w:p>
        </w:tc>
      </w:tr>
      <w:tr w:rsidR="00EE78F4" w:rsidRPr="00EE78F4" w:rsidTr="001827CC">
        <w:tc>
          <w:tcPr>
            <w:tcW w:w="637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</w:p>
        </w:tc>
        <w:tc>
          <w:tcPr>
            <w:tcW w:w="464" w:type="dxa"/>
          </w:tcPr>
          <w:p w:rsidR="00EE78F4" w:rsidRPr="00EE78F4" w:rsidRDefault="00EE78F4" w:rsidP="0037240C">
            <w:pPr>
              <w:widowControl w:val="0"/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0"/>
                <w:lang w:val="en-US" w:bidi="ru-RU"/>
              </w:rPr>
              <w:t>W</w:t>
            </w:r>
          </w:p>
        </w:tc>
        <w:tc>
          <w:tcPr>
            <w:tcW w:w="283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E78F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8187" w:type="dxa"/>
          </w:tcPr>
          <w:p w:rsidR="00EE78F4" w:rsidRPr="00EE78F4" w:rsidRDefault="00EE78F4" w:rsidP="00EE78F4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</w:pPr>
            <w:r w:rsidRPr="00EE78F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bidi="ru-RU"/>
              </w:rPr>
              <w:t>потеря в массе при высушивании субстанции, %.</w:t>
            </w:r>
          </w:p>
        </w:tc>
      </w:tr>
    </w:tbl>
    <w:p w:rsidR="00EE78F4" w:rsidRPr="00EE78F4" w:rsidRDefault="00EE78F4" w:rsidP="00EE78F4">
      <w:pPr>
        <w:keepNext/>
        <w:widowControl w:val="0"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pacing w:val="-6"/>
          <w:sz w:val="28"/>
          <w:szCs w:val="28"/>
        </w:rPr>
        <w:t>ХРАНЕНИЕ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E78F4" w:rsidRPr="00EE78F4" w:rsidRDefault="00EE78F4" w:rsidP="00EE78F4">
      <w:pPr>
        <w:widowControl w:val="0"/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E78F4">
        <w:rPr>
          <w:rFonts w:ascii="Times New Roman" w:eastAsia="Times New Roman" w:hAnsi="Times New Roman" w:cs="Times New Roman"/>
          <w:spacing w:val="-6"/>
          <w:sz w:val="28"/>
          <w:szCs w:val="28"/>
        </w:rPr>
        <w:t>*Приводится для информации.</w:t>
      </w:r>
    </w:p>
    <w:sectPr w:rsidR="00EE78F4" w:rsidRPr="00EE78F4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CC" w:rsidRDefault="001827CC" w:rsidP="006F516A">
      <w:pPr>
        <w:spacing w:after="0" w:line="240" w:lineRule="auto"/>
      </w:pPr>
      <w:r>
        <w:separator/>
      </w:r>
    </w:p>
  </w:endnote>
  <w:endnote w:type="continuationSeparator" w:id="0">
    <w:p w:rsidR="001827CC" w:rsidRDefault="001827CC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27CC" w:rsidRPr="0038745A" w:rsidRDefault="005B2D16" w:rsidP="0038745A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27CC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366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7CC" w:rsidRPr="00137257" w:rsidRDefault="001827CC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CC" w:rsidRDefault="001827CC" w:rsidP="006F516A">
      <w:pPr>
        <w:spacing w:after="0" w:line="240" w:lineRule="auto"/>
      </w:pPr>
      <w:r>
        <w:separator/>
      </w:r>
    </w:p>
  </w:footnote>
  <w:footnote w:type="continuationSeparator" w:id="0">
    <w:p w:rsidR="001827CC" w:rsidRDefault="001827CC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7CC" w:rsidRPr="00B6795F" w:rsidRDefault="001827CC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7CC" w:rsidRPr="0038745A" w:rsidRDefault="001827CC" w:rsidP="0038745A">
    <w:pPr>
      <w:pStyle w:val="a8"/>
      <w:jc w:val="right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2D7E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7CC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14A9"/>
    <w:rsid w:val="00254BE2"/>
    <w:rsid w:val="00271F2B"/>
    <w:rsid w:val="00273663"/>
    <w:rsid w:val="00276782"/>
    <w:rsid w:val="00287EDB"/>
    <w:rsid w:val="00292FBD"/>
    <w:rsid w:val="002A0834"/>
    <w:rsid w:val="002A28F0"/>
    <w:rsid w:val="002B3508"/>
    <w:rsid w:val="002C2E11"/>
    <w:rsid w:val="002D0ADD"/>
    <w:rsid w:val="002E2E48"/>
    <w:rsid w:val="002F2388"/>
    <w:rsid w:val="003130D7"/>
    <w:rsid w:val="003216AC"/>
    <w:rsid w:val="00334347"/>
    <w:rsid w:val="00336871"/>
    <w:rsid w:val="00337257"/>
    <w:rsid w:val="00337E53"/>
    <w:rsid w:val="00357246"/>
    <w:rsid w:val="00357D04"/>
    <w:rsid w:val="003640FB"/>
    <w:rsid w:val="0036410E"/>
    <w:rsid w:val="00370BC3"/>
    <w:rsid w:val="0037240C"/>
    <w:rsid w:val="003730B4"/>
    <w:rsid w:val="0038745A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2D16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6603"/>
    <w:rsid w:val="006F7C9A"/>
    <w:rsid w:val="00701277"/>
    <w:rsid w:val="00724CEE"/>
    <w:rsid w:val="00727F50"/>
    <w:rsid w:val="007449E4"/>
    <w:rsid w:val="00747A31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074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37E6F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06B8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E78F4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FCD373-4C89-4D05-98A5-DFCC007A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BD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C1DA-6507-4DD9-94EE-C62BF0BC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11</cp:revision>
  <cp:lastPrinted>2023-02-21T11:08:00Z</cp:lastPrinted>
  <dcterms:created xsi:type="dcterms:W3CDTF">2023-05-30T06:45:00Z</dcterms:created>
  <dcterms:modified xsi:type="dcterms:W3CDTF">2023-07-06T08:22:00Z</dcterms:modified>
</cp:coreProperties>
</file>