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A80D46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лаурилсульфоацетат</w:t>
            </w:r>
          </w:p>
        </w:tc>
        <w:tc>
          <w:tcPr>
            <w:tcW w:w="460" w:type="dxa"/>
          </w:tcPr>
          <w:p w:rsidR="00CF06B4" w:rsidRDefault="00CF06B4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F344E">
              <w:rPr>
                <w:rFonts w:ascii="Times New Roman" w:hAnsi="Times New Roman" w:cs="Times New Roman"/>
                <w:b/>
                <w:sz w:val="28"/>
                <w:szCs w:val="28"/>
              </w:rPr>
              <w:t>.2.1.0517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A80D46" w:rsidP="00C4275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Натрия лаурилсульфоацетат</w:t>
            </w:r>
          </w:p>
        </w:tc>
        <w:tc>
          <w:tcPr>
            <w:tcW w:w="460" w:type="dxa"/>
          </w:tcPr>
          <w:p w:rsidR="00BD64B6" w:rsidRDefault="00BD64B6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A80D46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6E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laurilsulfoacetas</w:t>
            </w:r>
          </w:p>
        </w:tc>
        <w:tc>
          <w:tcPr>
            <w:tcW w:w="460" w:type="dxa"/>
          </w:tcPr>
          <w:p w:rsidR="00CF06B4" w:rsidRDefault="00CF06B4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A80D46" w:rsidP="00C4275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Pr="00C4275D" w:rsidRDefault="00A80D46" w:rsidP="0011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5D">
              <w:rPr>
                <w:rFonts w:ascii="Times New Roman" w:hAnsi="Times New Roman" w:cs="Times New Roman"/>
                <w:sz w:val="28"/>
                <w:szCs w:val="28"/>
              </w:rPr>
              <w:object w:dxaOrig="672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49.5pt" o:ole="">
                  <v:imagedata r:id="rId7" o:title=""/>
                </v:shape>
                <o:OLEObject Type="Embed" ProgID="ChemWindow.Document" ShapeID="_x0000_i1025" DrawAspect="Content" ObjectID="_1749986728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A80D4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C74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14</w:t>
            </w:r>
            <w:r w:rsidRPr="00C56C74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27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C56C74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56C7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514FED" w:rsidRPr="00A80D46" w:rsidRDefault="00B20F96" w:rsidP="00A80D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0D46">
              <w:rPr>
                <w:rFonts w:ascii="Times New Roman" w:hAnsi="Times New Roman" w:cs="Times New Roman"/>
                <w:sz w:val="28"/>
                <w:szCs w:val="28"/>
              </w:rPr>
              <w:t>330,42</w:t>
            </w:r>
          </w:p>
        </w:tc>
      </w:tr>
      <w:tr w:rsidR="00C10251" w:rsidRPr="00121DF2" w:rsidTr="00823ABC">
        <w:tc>
          <w:tcPr>
            <w:tcW w:w="4785" w:type="dxa"/>
          </w:tcPr>
          <w:p w:rsidR="00C10251" w:rsidRPr="00121DF2" w:rsidRDefault="00121DF2" w:rsidP="006B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121DF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1847-58-1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121DF2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  <w:bookmarkStart w:id="0" w:name="_GoBack"/>
      <w:bookmarkEnd w:id="0"/>
    </w:p>
    <w:p w:rsidR="00C10251" w:rsidRPr="00A80D46" w:rsidRDefault="00A80D46" w:rsidP="00C4275D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A80D46">
        <w:rPr>
          <w:rFonts w:ascii="Times New Roman" w:hAnsi="Times New Roman"/>
          <w:b w:val="0"/>
          <w:szCs w:val="28"/>
        </w:rPr>
        <w:t>2-(Додецилокси)-2-оксоэтан-1-сульфонат натрия</w:t>
      </w:r>
      <w:r w:rsidR="00D0362E" w:rsidRPr="00A80D46">
        <w:rPr>
          <w:rFonts w:ascii="Times New Roman" w:hAnsi="Times New Roman"/>
          <w:b w:val="0"/>
          <w:szCs w:val="28"/>
        </w:rPr>
        <w:t>.</w:t>
      </w:r>
    </w:p>
    <w:p w:rsidR="00CC2C93" w:rsidRPr="00CC2C93" w:rsidRDefault="00CC2C93" w:rsidP="00C427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Содержит не менее 98,0 % и не более 101,5 % натрия лаурилсульфоацетата 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14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27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NaO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5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пересчёте на сухое вещество.</w:t>
      </w:r>
    </w:p>
    <w:p w:rsidR="00C10251" w:rsidRPr="00C10251" w:rsidRDefault="00C10251" w:rsidP="00C42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C427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кристаллический порошок.</w:t>
      </w:r>
    </w:p>
    <w:p w:rsidR="00B20F96" w:rsidRPr="00484E4F" w:rsidRDefault="00B20F96" w:rsidP="00C42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93" w:rsidRPr="00086EA5">
        <w:rPr>
          <w:rFonts w:ascii="Times New Roman" w:hAnsi="Times New Roman"/>
          <w:sz w:val="28"/>
          <w:szCs w:val="28"/>
        </w:rPr>
        <w:t>Растворим или умеренно растворим в диметилсульфоксиде, мало растворим в спирте 96 </w:t>
      </w:r>
      <w:r w:rsidR="00CC2C93" w:rsidRPr="00086EA5">
        <w:rPr>
          <w:rFonts w:ascii="Times New Roman" w:hAnsi="Times New Roman" w:cs="Times New Roman"/>
          <w:sz w:val="28"/>
          <w:szCs w:val="28"/>
        </w:rPr>
        <w:t>%, практически нерастворим в метиленхлориде</w:t>
      </w:r>
      <w:r w:rsidR="00CC2C93">
        <w:rPr>
          <w:rFonts w:ascii="Times New Roman" w:hAnsi="Times New Roman" w:cs="Times New Roman"/>
          <w:sz w:val="28"/>
          <w:szCs w:val="28"/>
        </w:rPr>
        <w:t>.</w:t>
      </w:r>
    </w:p>
    <w:p w:rsidR="00CF06B4" w:rsidRPr="00C10251" w:rsidRDefault="00C10251" w:rsidP="00C4275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CC2C93" w:rsidRPr="00CC2C93" w:rsidRDefault="00CC2C93" w:rsidP="00C4275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 ИК-спектрометрия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(ОФС «Спектрометрия в средней инфракрасной области»).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Инфракрасный спектр субстанции </w:t>
      </w:r>
      <w:r w:rsidRPr="00CC2C93">
        <w:rPr>
          <w:rFonts w:ascii="Times New Roman" w:eastAsiaTheme="minorEastAsia" w:hAnsi="Times New Roman"/>
          <w:sz w:val="28"/>
          <w:szCs w:val="28"/>
          <w:lang w:eastAsia="ru-RU"/>
        </w:rPr>
        <w:t>в области от 4000 до 400 см</w:t>
      </w:r>
      <w:r w:rsidRPr="00CC2C93">
        <w:rPr>
          <w:rFonts w:ascii="Times New Roman" w:eastAsiaTheme="minorEastAsia" w:hAnsi="Times New Roman"/>
          <w:sz w:val="28"/>
          <w:szCs w:val="28"/>
          <w:vertAlign w:val="superscript"/>
          <w:lang w:eastAsia="ru-RU"/>
        </w:rPr>
        <w:t>–1</w:t>
      </w:r>
      <w:r w:rsidRPr="00CC2C93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снятый в диске с калия бромидом </w:t>
      </w:r>
      <w:r w:rsidRPr="00CC2C93">
        <w:rPr>
          <w:rFonts w:ascii="Times New Roman" w:eastAsiaTheme="minorEastAsia" w:hAnsi="Times New Roman"/>
          <w:sz w:val="28"/>
          <w:szCs w:val="28"/>
          <w:lang w:eastAsia="ru-RU"/>
        </w:rPr>
        <w:t>или методом нарушенного полного внутреннего отражения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положению полос поглощения должен соответствовать спектру фармакопейного стандартного образца натрия лаурилсульфоацетата.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Если спектры различаются,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 мг субстанции и фармакопейного стандартного образца по отдельности растворяют в 2,0 мл этанола и фильтруют через мембранный фильтр с размером пор не более 0,45 мкм. В агатовую ступку помещают 0,5 мл полученного раствора, накрывают часовым стеклом, оставляя зазор. Ступку с раствором помещают в вакуум-сушильный шкаф, упаривают раствор при комнатной температуре в течение 1,5 ч и записывают спектры сухих остатков.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 Качественная реакция.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Растворяют 0,1 г субстанции в 10 мл воды и интенсивно встряхивают; должна образоваться обильная пена.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3. Качественная реакция.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пробирку помещают 0,1 мл раствора, полученного в предыдущем испытании, прибавляют 0,1 мл метиленового синего раствора, 2,0 мл серной кислоты раствора 1 М и перемешивают. К полученному раствору прибавляют 2,0 мл метиленхлорида и перемешивают; органический слой должен окраситься в тёмно-синий цвет.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4. Качественная реакция.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20 мл помещают зольный остаток, полученный после сжигания 1,5 г субстанции, растворяют в 5,0 мл воды при нагревании, охлаждают до комнатной температуры и доводят объём раствора водой до метки. Полученный раствор должен давать характерную реакцию А на натрий (ОФС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Цветность раствора.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Раствор 0,1 г субстанции в 10,0 мл воды должен быть бесцветным (ОФС «Степень окраски жидкостей»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2).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pH</w:t>
      </w: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раствора.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5,0 до 7,0 (1 % раствор субстанции в смеси 2-пропанол—вода 1:1, ОФС «Ионометрия»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 3).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Родственные примеси.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Определение проводят методом ГХ (ОФС «Газовая хроматография»).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внутреннего стандарта.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25 мл помещают 60,0 мг 4ʹ-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трет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-бутилацетофенона [943-27-1], растворяют в этилацетате и доводят объём раствора тем же растворителем до метки. В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мерную колбу вместимостью 500 мл помещают 2,0 мл полученного раствора и доводят объём раствора этилацетатом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Испытуемый раствор.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стеклянную центрифужную пробирку вместимостью 10 мл с герметично закрывающейся крышкой помещают 50,0 мг (точная навеска) субстанции и растворяют в 5,0 мл воды, при необходимости обрабатывая ультразвуком, при этом, не допуская нагревания раствора. К полученному раствору прибавляют 50,0 мг натрия хлорида, перемешивают, прибавляют 5,0 мл раствора внутреннего стандарта, встряхивают в течение 2 мин и центрифугируют при 4000 об/мин в течение 5 мин. В стеклянную центрифужную пробирку вместимостью 10 мл с герметично закрывающейся крышкой помещают 4,0 мл верхнего (органического) слоя, прибавляют 6,0 мл воды, встряхивают в течение 1 мин и центрифугируют при 4000 об/мин в течение 5 мин. Используют верхний (органический) слой. Срок годности раствора – 24 ч при хранении в защищённом от света месте.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75,0 мг (точная навеска) лаурилового спирта и 50,0 мг (точная навеска) додецил-2-хлорацетата [6316-04-7], растворяют в растворе внутреннего стандарта и доводят объём раствора тем же растворителем до метки. В мерную колбу вместимостью 50 мл помещают 1,0 мл полученного раствора и доводят объём раствора раствором внутреннего стандарта до метки (раствор А).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стеклянную центрифужную пробирку вместимостью 10 мл с герметично закрывающейся крышкой помещают 5,0 мл раствора А, прибавляют 5,0 мл воды, 50,0 мг натрия хлорида, встряхивают в течение 2 мин и центрифугируют при 4000 об/мин в течение 5 мин. В стеклянную центрифужную пробирку вместимостью 10 мл с герметично закрывающейся крышкой помещают 4,0 мл верхнего (органического) слоя, прибавляют 6,0 мл воды, встряхивают в течение 1 мин и центрифугируют при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4000 об/мин в течение 5 мин. Используют верхний (органический) слой. Срок годности раствора – 24 ч при хранении в защищённом от света месте.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для проверки чувствительности хроматографической системы.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стеклянную центрифужную пробирку вместимостью 10 мл с герметично закрывающейся крышкой помещают 2,5 мл раствора А, прибавляют 2,5 мл раствора внутреннего стандарта, 5,0 мл воды, 50,0 мг натрия хлорида, встряхивают в течение 2 мин и центрифугируют при 4000 об/мин в течение 5 мин. В стеклянную центрифужную пробирку вместимостью 10 мл с герметично закрывающейся крышкой помещают 4,0 мл верхнего (органического) слоя, прибавляют 6,0 мл воды, встряхивают в течение 1 мин и центрифугируют при 4000 об/мин в течение 5 мин. Используют верхний (органический) слой. Срок годности раствора – 24 ч при хранении в защищённом от света месте.</w:t>
      </w:r>
    </w:p>
    <w:p w:rsidR="00CC2C93" w:rsidRPr="00CC2C93" w:rsidRDefault="00CC2C93" w:rsidP="00C4275D">
      <w:pPr>
        <w:keepNext/>
        <w:spacing w:before="120" w:after="12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81"/>
        <w:gridCol w:w="2025"/>
        <w:gridCol w:w="1755"/>
        <w:gridCol w:w="2410"/>
      </w:tblGrid>
      <w:tr w:rsidR="00CC2C93" w:rsidRPr="00CC2C93" w:rsidTr="00CC2C93">
        <w:tc>
          <w:tcPr>
            <w:tcW w:w="1766" w:type="pct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кварцевая капиллярная 30 м × 0,32 мм, покрытая слоем поли(диметил)(дифенил)силоксана</w:t>
            </w:r>
            <w:r w:rsidRPr="00CC2C9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 w:bidi="ru-RU"/>
              </w:rPr>
              <w:t>,</w:t>
            </w: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 мкм;</w:t>
            </w:r>
          </w:p>
        </w:tc>
      </w:tr>
      <w:tr w:rsidR="00CC2C93" w:rsidRPr="00CC2C93" w:rsidTr="00CC2C93">
        <w:tc>
          <w:tcPr>
            <w:tcW w:w="1766" w:type="pct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пламенно-ионизационный;</w:t>
            </w:r>
          </w:p>
        </w:tc>
      </w:tr>
      <w:tr w:rsidR="00CC2C93" w:rsidRPr="00CC2C93" w:rsidTr="00CC2C93">
        <w:tc>
          <w:tcPr>
            <w:tcW w:w="1766" w:type="pct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гелий для хроматографии;</w:t>
            </w:r>
          </w:p>
        </w:tc>
      </w:tr>
      <w:tr w:rsidR="00CC2C93" w:rsidRPr="00CC2C93" w:rsidTr="00CC2C93">
        <w:tc>
          <w:tcPr>
            <w:tcW w:w="1766" w:type="pct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1:10;</w:t>
            </w:r>
          </w:p>
        </w:tc>
      </w:tr>
      <w:tr w:rsidR="00CC2C93" w:rsidRPr="00CC2C93" w:rsidTr="00CC2C93">
        <w:tc>
          <w:tcPr>
            <w:tcW w:w="1766" w:type="pct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34" w:type="pct"/>
            <w:gridSpan w:val="3"/>
            <w:shd w:val="clear" w:color="auto" w:fill="auto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см/с;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34" w:type="pct"/>
            <w:gridSpan w:val="3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мкл;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917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0–2 мин</w:t>
            </w:r>
          </w:p>
        </w:tc>
        <w:tc>
          <w:tcPr>
            <w:tcW w:w="1259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C,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2–20 мин</w:t>
            </w:r>
          </w:p>
        </w:tc>
        <w:tc>
          <w:tcPr>
            <w:tcW w:w="1259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→ 210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C,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20–29 мин</w:t>
            </w:r>
          </w:p>
        </w:tc>
        <w:tc>
          <w:tcPr>
            <w:tcW w:w="1259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→ 300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C,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29–39 мин</w:t>
            </w:r>
          </w:p>
        </w:tc>
        <w:tc>
          <w:tcPr>
            <w:tcW w:w="1259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2176" w:type="pct"/>
            <w:gridSpan w:val="2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2176" w:type="pct"/>
            <w:gridSpan w:val="2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A2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C2C93" w:rsidRPr="00CC2C93" w:rsidTr="00CC2C93">
        <w:tc>
          <w:tcPr>
            <w:tcW w:w="1766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234" w:type="pct"/>
            <w:gridSpan w:val="3"/>
            <w:vAlign w:val="bottom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мин.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Хроматографируют раствор для проверки чувствительности хроматографической системы, стандартный раствор и испытуемый раствор.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Порядок выхода пиков: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4ʹ-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трет-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бутилацетофенон, лауриловый спирт, додецил-2-хлорацетат.</w:t>
      </w:r>
    </w:p>
    <w:p w:rsidR="00CC2C93" w:rsidRPr="00442AC9" w:rsidRDefault="00CC2C93" w:rsidP="00442A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42A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отношение сигнал/шум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/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пика додецил-2-хлорацетата должно быть не менее 10.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хроматограмме стандартного раствора: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разрешение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пиками 4ʹ-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трет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-бутилацетофенона и лаурилового спирта должно быть не менее 5,0;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фактор асимметрии пика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лаурилового спирта и додецил-2-хлорацетата должен быть не менее 0,8 и не более 1,5, для каждого;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времени удерживания каждого из пиков 4ʹ-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трет-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бутилацетофенона, лаурилового спирта и додецил-2-хлорацетата должно быть не более 1,0 % (6 введений);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2C9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отношения площади каждого из пиков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лаурилового спирта и додецил-2-хлорацетата к площади пика 4ʹ-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трет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-бутилацетофенона должно быть не более 10,0 % (6 введений);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эффективность хроматографической колонки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рассчитанная по пику лаурилового спирта, должна составлять не менее 10 000.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лаурилового спирта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CC2C93" w:rsidRDefault="00CC2C93" w:rsidP="00CC2C93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∙P∙4·1∙5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∙100·50∙4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4999" w:type="pct"/>
        <w:tblLook w:val="0000" w:firstRow="0" w:lastRow="0" w:firstColumn="0" w:lastColumn="0" w:noHBand="0" w:noVBand="0"/>
      </w:tblPr>
      <w:tblGrid>
        <w:gridCol w:w="674"/>
        <w:gridCol w:w="572"/>
        <w:gridCol w:w="396"/>
        <w:gridCol w:w="7927"/>
      </w:tblGrid>
      <w:tr w:rsidR="00CC2C93" w:rsidRPr="00CC2C93" w:rsidTr="00CC2C93">
        <w:trPr>
          <w:cantSplit/>
        </w:trPr>
        <w:tc>
          <w:tcPr>
            <w:tcW w:w="352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где</w:t>
            </w:r>
          </w:p>
        </w:tc>
        <w:tc>
          <w:tcPr>
            <w:tcW w:w="299" w:type="pct"/>
            <w:shd w:val="clear" w:color="auto" w:fill="auto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4141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площади пика лаурилового спирта к площади пика 4ʹ-</w:t>
            </w:r>
            <w:r w:rsidRPr="00CC2C9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трет</w:t>
            </w: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-бутилацетофенона на хроматограмме испытуемого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площади пика лаурилового спирта к площади пика 4ʹ-</w:t>
            </w:r>
            <w:r w:rsidRPr="00CC2C9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трет</w:t>
            </w: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-бутилацетофенона на хроматограмме стандартного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лаурилового спирта,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лауриловом спирте, %.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Содержание любой другой примеси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CC2C93" w:rsidRDefault="00CC2C93" w:rsidP="00CC2C93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∙P∙4·1∙5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∙100·50∙4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4999" w:type="pct"/>
        <w:tblLook w:val="0000" w:firstRow="0" w:lastRow="0" w:firstColumn="0" w:lastColumn="0" w:noHBand="0" w:noVBand="0"/>
      </w:tblPr>
      <w:tblGrid>
        <w:gridCol w:w="674"/>
        <w:gridCol w:w="572"/>
        <w:gridCol w:w="396"/>
        <w:gridCol w:w="7927"/>
      </w:tblGrid>
      <w:tr w:rsidR="00CC2C93" w:rsidRPr="00CC2C93" w:rsidTr="00CC2C93">
        <w:trPr>
          <w:cantSplit/>
        </w:trPr>
        <w:tc>
          <w:tcPr>
            <w:tcW w:w="352" w:type="pct"/>
            <w:shd w:val="clear" w:color="auto" w:fill="auto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где</w:t>
            </w:r>
          </w:p>
        </w:tc>
        <w:tc>
          <w:tcPr>
            <w:tcW w:w="299" w:type="pct"/>
            <w:shd w:val="clear" w:color="auto" w:fill="auto"/>
          </w:tcPr>
          <w:p w:rsidR="00CC2C93" w:rsidRPr="002D076C" w:rsidRDefault="000F344E" w:rsidP="002D076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  <w:shd w:val="clear" w:color="auto" w:fill="auto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4141" w:type="pct"/>
            <w:shd w:val="clear" w:color="auto" w:fill="auto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площади пика любой другой примеси к площади пика 4ʹ-</w:t>
            </w:r>
            <w:r w:rsidRPr="00CC2C9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трет</w:t>
            </w: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-бутилацетофенона на хроматограмме испытуемого раствора; 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2D076C" w:rsidRDefault="000F344E" w:rsidP="002D076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2D076C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площади пика додецил-2-хлорацетата к площади пика 4ʹ-</w:t>
            </w:r>
            <w:r w:rsidRPr="00CC2C9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трет</w:t>
            </w: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-бутилацетофенона на хроматограмме стандартного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2D076C" w:rsidRDefault="000F344E" w:rsidP="002D076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2D076C" w:rsidRDefault="000F344E" w:rsidP="002D076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pacing w:val="-6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додецил-2-хлорацетата,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2D076C" w:rsidRDefault="00CC2C93" w:rsidP="002D076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</w:pPr>
            <w:r w:rsidRPr="002D076C"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  <w:t>P</w:t>
            </w:r>
          </w:p>
        </w:tc>
        <w:tc>
          <w:tcPr>
            <w:tcW w:w="207" w:type="pct"/>
          </w:tcPr>
          <w:p w:rsidR="00CC2C93" w:rsidRPr="00CC2C93" w:rsidRDefault="00CC2C93" w:rsidP="002D076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2D076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додецил-2-хлорацетате, %.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Допустимое содержание примесей: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лауриловый спирт – не более 0,15 %;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додецил-2-хлорацетат – не более 0,10 %;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любая другая примесь – не более 0,10 %;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сумма примесей – не более 0,2 %.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/>
          <w:sz w:val="28"/>
          <w:szCs w:val="28"/>
          <w:lang w:eastAsia="ru-RU"/>
        </w:rPr>
        <w:t>Не учитывают примеси, содержание каждой из которых менее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0,05 %.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Потеря в массе при высушивании.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0,5 % (ОФС «П</w:t>
      </w:r>
      <w:r w:rsidR="00597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отеря в массе при высушивании», способ 3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Высушивают 1 г (точная навеска) субстанции в вакууме при температуре 50 °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 ч.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Хлоруксусная кислота. Натрия хлорид. Натрия сульфат. Динатрия сульфоацетат.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Определение проводят методом капиллярного электрофореза (ОФС «Капиллярный электрофорез»).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 перед использованием ведущий электролит и все анализируемые растворы центрифугируют при 4000 об/мин в течение 3 мин.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хрома(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VI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 оксида.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0,500 г хрома(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оксида, растворяют в воде для хроматографии и доводят объём раствора тем же растворителем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Раствор диэтаноламина.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25 мл помещают 0,263 г диэтаноламина, растворяют в воде для хроматографии и доводят объём раствора тем же растворителем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цетилтриметиламмония гидроксида.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25 мл, содержащую 5,0 мл воды для хроматографии, помещают 0,75 мл цетилтриметиламмония гидроксида раствора 10 % и доводят объём раствора водой для хроматографии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Ведущий электролит (ВЭ).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химический стакан вместимостью 50 мл помещают 2,0 мл раствора хрома(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оксида, 3,0 мл раствора диэтаноламина, 3,0 мл воды для хроматографии и перемешивают. К полученному раствору прибавляют 2,0 мл раствора цетилтриметиламмония гидроксида, перемешивают и фильтруют через нейлоновый мембранный фильтр с диаметром пор не более 0,45 мкм.</w:t>
      </w:r>
    </w:p>
    <w:p w:rsidR="00CC2C93" w:rsidRPr="00CC2C93" w:rsidRDefault="00597A12" w:rsidP="002D076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</w:t>
      </w:r>
      <w:r w:rsidR="00C427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приготовлении ВЭ не допускается менять порядок прибавления реактивов.</w:t>
      </w:r>
    </w:p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Испытуемый раствор.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0,1 г (точная навеска) субстанции, растворяют в воде для хроматографии, при необходимости обрабатывая ультразвуком не более 1 мин, при этом, не допуская нагревания, и доводят объём раствора тем же растворителем до метки. Раствор используют свежеприготовленным.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 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10 мг (точная навеска) натрия хлорида и 15 мг (точная навеска) натрия сульфата, растворяют в воде для хроматографии и доводят объём раствора тем же растворителем до метки.</w:t>
      </w:r>
    </w:p>
    <w:p w:rsidR="00CC2C93" w:rsidRPr="00CC2C93" w:rsidRDefault="00597A12" w:rsidP="007E480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</w:t>
      </w:r>
      <w:r w:rsidR="007E48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 допускается готовить с использованием стандартного раствора хлорид-ионов (10 г/дм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стандартного раствора сульфат-ионов (10 г/дм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="00CC2C93"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 учётом проведения в вычислениях необходимых пересчётов хлорид-ионов и сульфат-ионов на натрия хлорид и натрия сульфат, соответственно.</w:t>
      </w:r>
    </w:p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 Б.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50 мг (точная навеска) хлоруксусной кислоты, растворяют в воде для хроматографии и доводят объём раствора тем же растворителем до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метки. В мерную колбу вместимостью 50 мл помещают 5,0 мл полученного раствора и доводят объём раствора водой для хроматографии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 В.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2,0 мл стандартного раствора Б, 2,0 мл стандартного раствора А и доводят объём раствора водой для хроматографии до метки. Раствор используют свежеприготовленным.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 Г.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50 мл помещают 40 мг (точная навеска) сульфоуксусной кислоты [123-43-3], растворяют в воде для хроматографии и доводят объём раствора тем же растворителем до метки. В мерную колбу вместимостью 50 мл помещают 5,0 мл полученного раствора и доводят объём раствора водой для хроматографии до метки.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Стандартный раствор Д.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2,0 мл стандартного раствора Г, прибавляют 1,0 мл аммиака раствора 10 % и доводят объём раствора водой для хроматографии до метки. Раствор используют свежеприготовленным.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для проверки чувствительности электрофоретической системы.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5,0 мл стандартного раствора Б и доводят объём раствора водой для хроматографии до метки. В мерную колбу вместимостью 10 мл помещают 1,0 мл полученного раствора и доводят объём раствора водой для хроматографии до метки. Раствор используют свежеприготовленным.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Контрольный раствор.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Вода для хроматографии.</w:t>
      </w:r>
    </w:p>
    <w:p w:rsidR="00CC2C93" w:rsidRPr="00CC2C93" w:rsidRDefault="00CC2C93" w:rsidP="00A26CA7">
      <w:pPr>
        <w:keepNext/>
        <w:tabs>
          <w:tab w:val="left" w:pos="993"/>
        </w:tabs>
        <w:spacing w:before="120" w:after="120" w:line="240" w:lineRule="auto"/>
        <w:ind w:firstLine="709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Электрофоретические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3"/>
        <w:gridCol w:w="6738"/>
      </w:tblGrid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</w:t>
            </w:r>
          </w:p>
        </w:tc>
        <w:tc>
          <w:tcPr>
            <w:tcW w:w="352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плавленый кварц, эффективная длина 50 см, внутренний диаметр 75 мкм;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Кондиционирование капилляра</w:t>
            </w:r>
          </w:p>
        </w:tc>
        <w:tc>
          <w:tcPr>
            <w:tcW w:w="352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капилляра перед началом работы: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вода для хроматографии – 3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натрия гидроксида раствор 0,5 М – 5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вода для хроматографии – 5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ВЭ – 3 мин при 1000 мбар.</w:t>
            </w:r>
          </w:p>
          <w:p w:rsidR="00CC2C93" w:rsidRPr="00CC2C93" w:rsidRDefault="00CC2C93" w:rsidP="00A26CA7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капилляра между анализами: ВЭ – 3 мин (отдельная пробирка).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Промывка капилляра в конце работы: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вода для хроматографии – 2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хлористоводородной кислоты раствор 1 М – 5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вода для хроматографии – 5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натрия гидроксида раствор 0,5 М – 5 мин при 1000 мбар;</w:t>
            </w:r>
          </w:p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вода для хроматографии – 5 мин при 1000 мбар.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капилляра</w:t>
            </w:r>
          </w:p>
        </w:tc>
        <w:tc>
          <w:tcPr>
            <w:tcW w:w="3520" w:type="pct"/>
            <w:vAlign w:val="bottom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°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52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254 нм;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пробы</w:t>
            </w:r>
          </w:p>
        </w:tc>
        <w:tc>
          <w:tcPr>
            <w:tcW w:w="352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с·30 мбар;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352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–25 кВ;</w:t>
            </w:r>
          </w:p>
        </w:tc>
      </w:tr>
      <w:tr w:rsidR="00CC2C93" w:rsidRPr="00CC2C93" w:rsidTr="00CC2C93">
        <w:tc>
          <w:tcPr>
            <w:tcW w:w="1480" w:type="pct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регистрации электрофореграммы</w:t>
            </w:r>
          </w:p>
        </w:tc>
        <w:tc>
          <w:tcPr>
            <w:tcW w:w="3520" w:type="pct"/>
            <w:vAlign w:val="bottom"/>
          </w:tcPr>
          <w:p w:rsidR="00CC2C93" w:rsidRPr="00CC2C93" w:rsidRDefault="00CC2C93" w:rsidP="00A26CA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мин.</w:t>
            </w:r>
          </w:p>
        </w:tc>
      </w:tr>
    </w:tbl>
    <w:p w:rsidR="00CC2C93" w:rsidRPr="00CC2C93" w:rsidRDefault="00CC2C93" w:rsidP="00CC2C93">
      <w:pPr>
        <w:tabs>
          <w:tab w:val="left" w:pos="993"/>
        </w:tabs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Последовательно анализируют контрольный раствор, раствор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проверки чувствительности электрофоретической системы, стандартный раствор Д, стандартный раствор В и испытуемый раствор.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Порядок выхода пиков.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Хлорид-ион, сульфат-ион, сульфоуксусная кислота, карбонат-ион и хлоруксусная кислота.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Идентификация примесей.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Электрофореграмму стандартного раствора В используют для идентификации пиков хлорид-иона, сульфат-иона и хлоруксусной кислоты. Электрофореграмму стандартного раствора Д используют для идентификации пика сульфоуксусной кислоты.</w:t>
      </w:r>
    </w:p>
    <w:p w:rsidR="00CC2C93" w:rsidRPr="00CC2C93" w:rsidRDefault="00CC2C93" w:rsidP="0015501E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Пригодность электрофоретической системы</w:t>
      </w:r>
      <w:r w:rsidR="001550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электрофореграмме</w:t>
      </w:r>
      <w:r w:rsidRPr="00CC2C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контрольного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раствора не должно быть пиков, соответствующих по времени миграции пикам определяемых примесей.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электрофореграмме раствора для проверки чувствительности электрофоретической системы 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отношение сигнал/шум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/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пика хлоруксусной кислоты должно быть не менее 10.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электрофореграмме стандартного раствора В: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разрешение (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пиками хлорид-иона и сульфат-иона должно быть не менее 3,0;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времени миграции каждого из пиков хлорид-иона, сульфат-иона, хлоруксусной кислоты должно быть не более 2,0 % (6 введений);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площади каждого из пиков хлорид-иона, сульфат-иона, хлоруксусной кислоты должно быть не более 10,0 % (6 введений).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электрофореграмме стандартного раствора Д: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времени миграции пика сульфоуксусной кислоты должно быть не более 2,0 % (6 введений);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площади пика сульфоуксусной кислоты должно быть не более 10,0 % (6 введений).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натрия хлорида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CC2C93" w:rsidRDefault="00CC2C93" w:rsidP="00CC2C93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∙50·2∙P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∙100·100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1" w:type="pct"/>
        <w:tblLook w:val="0000" w:firstRow="0" w:lastRow="0" w:firstColumn="0" w:lastColumn="0" w:noHBand="0" w:noVBand="0"/>
      </w:tblPr>
      <w:tblGrid>
        <w:gridCol w:w="677"/>
        <w:gridCol w:w="574"/>
        <w:gridCol w:w="396"/>
        <w:gridCol w:w="7926"/>
      </w:tblGrid>
      <w:tr w:rsidR="00CC2C93" w:rsidRPr="00CC2C93" w:rsidTr="00CC2C93">
        <w:trPr>
          <w:cantSplit/>
        </w:trPr>
        <w:tc>
          <w:tcPr>
            <w:tcW w:w="353" w:type="pct"/>
            <w:shd w:val="clear" w:color="auto" w:fill="auto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CC2C93" w:rsidRPr="00CC2C93" w:rsidRDefault="000F344E" w:rsidP="00A37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Theme="minorEastAsia" w:hAnsi="Cambria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  <w:shd w:val="clear" w:color="auto" w:fill="auto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40" w:type="pct"/>
            <w:shd w:val="clear" w:color="auto" w:fill="auto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хлорид-иона на электроф</w:t>
            </w:r>
            <w:r w:rsidR="00E0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ореграмме испытуемого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3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A37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Theme="minorEastAsia" w:hAnsi="Cambria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0" w:type="pct"/>
          </w:tcPr>
          <w:p w:rsidR="00CC2C93" w:rsidRPr="00CC2C93" w:rsidRDefault="00CC2C93" w:rsidP="00A3715E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хлорид-иона на электрофореграмме стандартного раствора В;</w:t>
            </w:r>
          </w:p>
        </w:tc>
      </w:tr>
      <w:tr w:rsidR="00CC2C93" w:rsidRPr="00CC2C93" w:rsidTr="00CC2C93">
        <w:trPr>
          <w:cantSplit/>
        </w:trPr>
        <w:tc>
          <w:tcPr>
            <w:tcW w:w="353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A37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Theme="minorEastAsia" w:hAnsi="Cambria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0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3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A37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Theme="minorEastAsia" w:hAnsi="Cambria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0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натрия хлорида, мг;</w:t>
            </w:r>
          </w:p>
        </w:tc>
      </w:tr>
      <w:tr w:rsidR="00CC2C93" w:rsidRPr="00CC2C93" w:rsidTr="00CC2C93">
        <w:trPr>
          <w:cantSplit/>
        </w:trPr>
        <w:tc>
          <w:tcPr>
            <w:tcW w:w="353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597A12" w:rsidP="00A37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Theme="minorEastAsia" w:hAnsi="Cambria" w:cs="Times New Roman"/>
                <w:i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07" w:type="pct"/>
          </w:tcPr>
          <w:p w:rsidR="00CC2C93" w:rsidRPr="00CC2C93" w:rsidRDefault="00CC2C93" w:rsidP="00A3715E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0" w:type="pct"/>
          </w:tcPr>
          <w:p w:rsidR="00CC2C93" w:rsidRPr="00CC2C93" w:rsidRDefault="00CC2C93" w:rsidP="00A3715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натрия хлориде, %.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натрия сульфата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A26CA7" w:rsidRDefault="00CC2C93" w:rsidP="00CC2C93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∙50·2∙P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∙100·100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74"/>
        <w:gridCol w:w="574"/>
        <w:gridCol w:w="396"/>
        <w:gridCol w:w="7927"/>
      </w:tblGrid>
      <w:tr w:rsidR="00CC2C93" w:rsidRPr="00CC2C93" w:rsidTr="00CC2C93">
        <w:trPr>
          <w:cantSplit/>
        </w:trPr>
        <w:tc>
          <w:tcPr>
            <w:tcW w:w="352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41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сульфат-иона на электроф</w:t>
            </w:r>
            <w:r w:rsidR="00E0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ореграмме испытуемого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сульфат-иона на электрофореграмме стандартного раствора В;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натрия сульфата,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натрия сульфате, %.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хлоруксусной кислоты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A26CA7" w:rsidRDefault="00CC2C93" w:rsidP="00CC2C93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∙P∙50·5·2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∙50·50·100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74"/>
        <w:gridCol w:w="572"/>
        <w:gridCol w:w="396"/>
        <w:gridCol w:w="7929"/>
      </w:tblGrid>
      <w:tr w:rsidR="00CC2C93" w:rsidRPr="00CC2C93" w:rsidTr="00CC2C93">
        <w:trPr>
          <w:cantSplit/>
        </w:trPr>
        <w:tc>
          <w:tcPr>
            <w:tcW w:w="352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где</w:t>
            </w:r>
          </w:p>
        </w:tc>
        <w:tc>
          <w:tcPr>
            <w:tcW w:w="299" w:type="pct"/>
            <w:shd w:val="clear" w:color="auto" w:fill="auto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4141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хлоруксусной кислоты на электрофореграмме</w:t>
            </w:r>
            <w:r w:rsidR="00E0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испытуемого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хлоруксусной кислоты на электрофореграмме стандартного раствора В;</w:t>
            </w:r>
          </w:p>
        </w:tc>
      </w:tr>
      <w:tr w:rsidR="00CC2C93" w:rsidRPr="00CC2C93" w:rsidTr="00CC2C93">
        <w:trPr>
          <w:cantSplit/>
          <w:trHeight w:val="293"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pacing w:val="-6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хлоруксусной кислоты, мг;</w:t>
            </w:r>
          </w:p>
        </w:tc>
      </w:tr>
      <w:tr w:rsidR="00CC2C93" w:rsidRPr="00CC2C93" w:rsidTr="00CC2C93">
        <w:trPr>
          <w:cantSplit/>
        </w:trPr>
        <w:tc>
          <w:tcPr>
            <w:tcW w:w="352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99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07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4141" w:type="pct"/>
          </w:tcPr>
          <w:p w:rsidR="00CC2C93" w:rsidRPr="00CC2C93" w:rsidRDefault="00CC2C93" w:rsidP="00CC2C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хлоруксусной кислоте, %.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динатрия сульфоацетата в субстанции в процентах (</w:t>
      </w:r>
      <w:r w:rsidRPr="00CC2C93">
        <w:rPr>
          <w:rFonts w:ascii="Cambria Math" w:eastAsiaTheme="minorEastAsia" w:hAnsi="Cambria Math" w:cs="Times New Roman"/>
          <w:i/>
          <w:sz w:val="28"/>
          <w:szCs w:val="28"/>
          <w:lang w:eastAsia="ru-RU"/>
        </w:rPr>
        <w:t>Х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вычисляют по формуле:</w:t>
      </w:r>
    </w:p>
    <w:p w:rsidR="00CC2C93" w:rsidRPr="00A26CA7" w:rsidRDefault="00CC2C93" w:rsidP="00CC2C93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>X</m:t>
          </m:r>
          <m:r>
            <w:rPr>
              <w:rFonts w:ascii="Cambria Math" w:eastAsiaTheme="minorEastAsia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∙P∙50·5·2·184,08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ru-RU"/>
                </w:rPr>
                <m:t>∙50·50·100·140,12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eastAsia="ru-RU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56"/>
        <w:gridCol w:w="1049"/>
        <w:gridCol w:w="383"/>
        <w:gridCol w:w="7483"/>
      </w:tblGrid>
      <w:tr w:rsidR="00CC2C93" w:rsidRPr="00CC2C93" w:rsidTr="00CC2C93">
        <w:trPr>
          <w:cantSplit/>
        </w:trPr>
        <w:tc>
          <w:tcPr>
            <w:tcW w:w="354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1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3920" w:type="pct"/>
            <w:shd w:val="clear" w:color="auto" w:fill="auto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сульфоуксусной кислоты на электроф</w:t>
            </w:r>
            <w:r w:rsidR="00E0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ореграмме испытуемого раствора;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пика сульфоуксусной кислоты на электрофореграмме стандартного раствора Д;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vertAlign w:val="sub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0F344E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навеска сульфоуксусной кислоты, мг;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i/>
                <w:sz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основного вещества в сульфоуксусной кислоте, %;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val="en-US"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184,08</m:t>
                </m:r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молекулярная масса динатрия сульфоацетата;</w:t>
            </w:r>
          </w:p>
        </w:tc>
      </w:tr>
      <w:tr w:rsidR="00CC2C93" w:rsidRPr="00CC2C93" w:rsidTr="00CC2C93">
        <w:trPr>
          <w:cantSplit/>
        </w:trPr>
        <w:tc>
          <w:tcPr>
            <w:tcW w:w="354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15" w:type="pct"/>
          </w:tcPr>
          <w:p w:rsidR="00CC2C93" w:rsidRPr="00CC2C93" w:rsidRDefault="00597A12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EastAsia" w:hAnsiTheme="majorHAnsi" w:cs="Times New Roman"/>
                <w:sz w:val="28"/>
                <w:lang w:val="en-US" w:eastAsia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ru-RU"/>
                  </w:rPr>
                  <m:t>140,12</m:t>
                </m:r>
              </m:oMath>
            </m:oMathPara>
          </w:p>
        </w:tc>
        <w:tc>
          <w:tcPr>
            <w:tcW w:w="211" w:type="pct"/>
          </w:tcPr>
          <w:p w:rsidR="00CC2C93" w:rsidRPr="00CC2C93" w:rsidRDefault="00CC2C93" w:rsidP="00CC2C9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sym w:font="Symbol" w:char="F02D"/>
            </w:r>
          </w:p>
        </w:tc>
        <w:tc>
          <w:tcPr>
            <w:tcW w:w="3920" w:type="pct"/>
          </w:tcPr>
          <w:p w:rsidR="00CC2C93" w:rsidRPr="00CC2C93" w:rsidRDefault="00CC2C93" w:rsidP="00CC2C9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2C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молекулярная масса сульфоуксусной кислоты.</w:t>
            </w:r>
          </w:p>
        </w:tc>
      </w:tr>
    </w:tbl>
    <w:p w:rsidR="00CC2C93" w:rsidRPr="00CC2C93" w:rsidRDefault="00CC2C93" w:rsidP="00CC2C93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Допустимое содержание примесей: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натрия сульфат – не более 0,15 %;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натрия хлорид – не более 0,10 %;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хлоруксусная кислота – не более 0,10 %;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динатрия сульфоацетат – не более 0,10 %.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учитывают пик карбонат-иона.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Тяжёлые металлы.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0,001 %. Определение проводят в соотве</w:t>
      </w:r>
      <w:r w:rsidR="00E03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тствии с ОФС «Тяжёлые металлы»</w:t>
      </w:r>
      <w:r w:rsidR="00597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3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597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3А</w:t>
      </w:r>
      <w:r w:rsidR="00E03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зольном остатке, полученном после сжигания 1,0 г субстанции с использованием эталонного раствора 1.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Микробиологическая чистота.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ОФС «Микробиологическая чистота».</w:t>
      </w:r>
    </w:p>
    <w:p w:rsidR="00CC2C93" w:rsidRPr="00CC2C93" w:rsidRDefault="00CC2C93" w:rsidP="00CC2C93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КОЛИЧЕСТВЕННОЕ ОПРЕДЕЛЕНИЕ</w:t>
      </w:r>
    </w:p>
    <w:p w:rsidR="00A739E4" w:rsidRPr="00A739E4" w:rsidRDefault="00A739E4" w:rsidP="00A739E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проводят методом титриметрии (ОФС «Титриметрия (титр</w:t>
      </w:r>
      <w:r w:rsidR="00677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иметрические методы анализа)»).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мерную колбу вместимостью 50 мл помещают 0,25 г (точная навеска) субстанции, растворяют в воде, добавляя при вспенивании 2–3 капли спирта 96 %, и доводят объём раствора водой до метки. К 10,0 мл полученного раствора прибавляют 40,0 мл смеси 2-пропанол—вода 10:30, 10,0 мл димидия бромида и сульфанового синего смешанного раствора, 1 мл октанола, 10,0 мл хлороформа и титруют 0,02 М раствором бензэтония хлорида. Титрант сначала добавляют по 1 мл, смешивая слои до исчезновения пены. Вблизи точки эквивалентности титрант добавляют по 0,05 мл до перехода розовой окраски хлороформного (нижнего) слоя в синюю.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Параллельно проводят контрольный опыт.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 мл 0,02 М раствор бензэтония хлорида</w:t>
      </w:r>
      <w:r w:rsidRPr="00CC2C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соответствует 6,608 мг натрия лаурилсульфоацетата 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14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27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NaO</w:t>
      </w:r>
      <w:r w:rsidRPr="00CC2C9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5</w:t>
      </w:r>
      <w:r w:rsidRPr="00CC2C9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C2C93" w:rsidRPr="00CC2C93" w:rsidRDefault="00CC2C93" w:rsidP="00CC2C93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ХРАНЕНИЕ</w:t>
      </w:r>
    </w:p>
    <w:p w:rsidR="00CC2C93" w:rsidRPr="00CC2C93" w:rsidRDefault="00CC2C93" w:rsidP="00CC2C9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C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защищённом от света месте.</w:t>
      </w:r>
    </w:p>
    <w:sectPr w:rsidR="00CC2C93" w:rsidRPr="00CC2C93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6E" w:rsidRDefault="001C416E" w:rsidP="006F516A">
      <w:pPr>
        <w:spacing w:after="0" w:line="240" w:lineRule="auto"/>
      </w:pPr>
      <w:r>
        <w:separator/>
      </w:r>
    </w:p>
  </w:endnote>
  <w:endnote w:type="continuationSeparator" w:id="0">
    <w:p w:rsidR="001C416E" w:rsidRDefault="001C416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2C93" w:rsidRPr="00C4275D" w:rsidRDefault="00CC2C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27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275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27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344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427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93" w:rsidRPr="00137257" w:rsidRDefault="00CC2C93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6E" w:rsidRDefault="001C416E" w:rsidP="006F516A">
      <w:pPr>
        <w:spacing w:after="0" w:line="240" w:lineRule="auto"/>
      </w:pPr>
      <w:r>
        <w:separator/>
      </w:r>
    </w:p>
  </w:footnote>
  <w:footnote w:type="continuationSeparator" w:id="0">
    <w:p w:rsidR="001C416E" w:rsidRDefault="001C416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93" w:rsidRPr="00B6795F" w:rsidRDefault="00CC2C93" w:rsidP="00A26CA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344E"/>
    <w:rsid w:val="000F72A3"/>
    <w:rsid w:val="00115BE3"/>
    <w:rsid w:val="00121CB3"/>
    <w:rsid w:val="00121DF2"/>
    <w:rsid w:val="00126542"/>
    <w:rsid w:val="001312E9"/>
    <w:rsid w:val="001315D9"/>
    <w:rsid w:val="00132E33"/>
    <w:rsid w:val="001364B3"/>
    <w:rsid w:val="00137257"/>
    <w:rsid w:val="00145ECD"/>
    <w:rsid w:val="0014700F"/>
    <w:rsid w:val="0015501E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C416E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76C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42AC9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11C"/>
    <w:rsid w:val="00494977"/>
    <w:rsid w:val="004B4B4B"/>
    <w:rsid w:val="004B5C7E"/>
    <w:rsid w:val="004B6A9D"/>
    <w:rsid w:val="004C0563"/>
    <w:rsid w:val="004C6302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97A12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772AF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7E480E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6CA7"/>
    <w:rsid w:val="00A27FBA"/>
    <w:rsid w:val="00A3715E"/>
    <w:rsid w:val="00A37B09"/>
    <w:rsid w:val="00A45614"/>
    <w:rsid w:val="00A47406"/>
    <w:rsid w:val="00A50188"/>
    <w:rsid w:val="00A60532"/>
    <w:rsid w:val="00A6709C"/>
    <w:rsid w:val="00A70813"/>
    <w:rsid w:val="00A739E4"/>
    <w:rsid w:val="00A770CD"/>
    <w:rsid w:val="00A80D46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4275D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2C93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03CD9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A27F42-48AA-436B-A57A-2125EFF9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C0F7-3CFC-4200-BC05-DDEE619B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18</cp:revision>
  <cp:lastPrinted>2023-02-21T11:08:00Z</cp:lastPrinted>
  <dcterms:created xsi:type="dcterms:W3CDTF">2023-05-30T06:56:00Z</dcterms:created>
  <dcterms:modified xsi:type="dcterms:W3CDTF">2023-07-04T11:37:00Z</dcterms:modified>
</cp:coreProperties>
</file>