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BA7D3D" w:rsidRDefault="00DD7D2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DD7D2E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583FB5" w:rsidRPr="00BA7D3D" w:rsidRDefault="00583FB5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583FB5" w:rsidRPr="00BA7D3D" w:rsidRDefault="00583FB5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583FB5" w:rsidRPr="008A359F" w:rsidRDefault="00583FB5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341DC8" w:rsidRPr="00D41F82" w:rsidRDefault="00DD7D2E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DD7D2E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1F82" w:rsidRPr="00D41F82" w:rsidTr="00B00D7A">
        <w:tc>
          <w:tcPr>
            <w:tcW w:w="9356" w:type="dxa"/>
          </w:tcPr>
          <w:p w:rsidR="00DD7D2E" w:rsidRPr="00DD7D2E" w:rsidRDefault="00DD7D2E" w:rsidP="00DD7D2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D41F82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D41F82" w:rsidRPr="00D41F82" w:rsidTr="005C0CC4">
        <w:trPr>
          <w:trHeight w:val="397"/>
        </w:trPr>
        <w:tc>
          <w:tcPr>
            <w:tcW w:w="5494" w:type="dxa"/>
          </w:tcPr>
          <w:p w:rsidR="00DD7D2E" w:rsidRPr="00DD7D2E" w:rsidRDefault="00DD7D2E" w:rsidP="00DD7D2E">
            <w:pPr>
              <w:pStyle w:val="af0"/>
              <w:widowControl w:val="0"/>
              <w:spacing w:after="120"/>
              <w:jc w:val="both"/>
              <w:rPr>
                <w:rFonts w:ascii="Times New Roman" w:eastAsiaTheme="minorHAnsi" w:hAnsi="Times New Roman"/>
                <w:b w:val="0"/>
                <w:lang w:val="en-US"/>
              </w:rPr>
            </w:pPr>
            <w:r w:rsidRPr="00DD7D2E">
              <w:rPr>
                <w:rFonts w:ascii="Times New Roman" w:hAnsi="Times New Roman"/>
                <w:szCs w:val="28"/>
              </w:rPr>
              <w:t>Эфирные масла</w:t>
            </w:r>
          </w:p>
        </w:tc>
        <w:tc>
          <w:tcPr>
            <w:tcW w:w="283" w:type="dxa"/>
          </w:tcPr>
          <w:p w:rsidR="00341DC8" w:rsidRPr="00BA7D3D" w:rsidRDefault="00341DC8" w:rsidP="006F3EB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BA7D3D" w:rsidRDefault="00DD7D2E" w:rsidP="006F3EB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DD7D2E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B00A59">
              <w:rPr>
                <w:rFonts w:ascii="Times New Roman" w:eastAsia="Times New Roman" w:hAnsi="Times New Roman"/>
                <w:b/>
                <w:sz w:val="28"/>
                <w:szCs w:val="28"/>
              </w:rPr>
              <w:t>.1.5.2.0001</w:t>
            </w:r>
          </w:p>
        </w:tc>
      </w:tr>
      <w:tr w:rsidR="00D41F82" w:rsidRPr="00D41F82" w:rsidTr="005C0CC4">
        <w:trPr>
          <w:trHeight w:val="397"/>
        </w:trPr>
        <w:tc>
          <w:tcPr>
            <w:tcW w:w="5494" w:type="dxa"/>
          </w:tcPr>
          <w:p w:rsidR="00C043DD" w:rsidRPr="00BA7D3D" w:rsidRDefault="00C043DD" w:rsidP="006F3EB1">
            <w:pPr>
              <w:spacing w:after="120"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41DC8" w:rsidRPr="00BA7D3D" w:rsidRDefault="00341DC8" w:rsidP="006F3EB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BA7D3D" w:rsidRDefault="00DD7D2E" w:rsidP="006F3EB1">
            <w:pPr>
              <w:spacing w:after="12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D2E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ОФС.1.5.2.0001.15</w:t>
            </w:r>
          </w:p>
        </w:tc>
      </w:tr>
    </w:tbl>
    <w:p w:rsidR="00341DC8" w:rsidRPr="00D41F82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1F82" w:rsidRPr="00D41F82" w:rsidTr="00B00D7A">
        <w:tc>
          <w:tcPr>
            <w:tcW w:w="9356" w:type="dxa"/>
          </w:tcPr>
          <w:p w:rsidR="00DD7D2E" w:rsidRPr="00DD7D2E" w:rsidRDefault="00DD7D2E" w:rsidP="00DD7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D2E" w:rsidRPr="00DD7D2E" w:rsidRDefault="00DD7D2E" w:rsidP="00655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2F9" w:rsidRPr="00B910E8" w:rsidRDefault="001532F9" w:rsidP="001532F9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13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Эфирные масла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продукты растительного происхождения, являющиеся многокомпонентным</w:t>
      </w:r>
      <w:bookmarkStart w:id="0" w:name="_GoBack"/>
      <w:bookmarkEnd w:id="0"/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смесями летучих душистых веществ и относящиеся к различным классам органических соединений.</w:t>
      </w:r>
    </w:p>
    <w:p w:rsidR="001532F9" w:rsidRPr="00B910E8" w:rsidRDefault="001532F9" w:rsidP="0015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составе эфирных масел преобладающими компонентами в большинстве случаев являются терпены и их производные, которые</w:t>
      </w:r>
      <w:r w:rsidR="00746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представлены монотерпеноидами и сесквитерпеноидами, относящимися к различным классам органических соединений (насыщенные и полиненасыщенные, ациклические, моноциклические, бициклические и трициклические, а также кислородсодержащие). Встречаются также ароматические и алифатические соединения нетерпенового строения (спирты, фенолы, кислоты, альдегиды, сложные эфиры, сульфиды и др.). </w:t>
      </w:r>
    </w:p>
    <w:p w:rsidR="001532F9" w:rsidRPr="00B910E8" w:rsidRDefault="001532F9" w:rsidP="001532F9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Эфирные масла получают из высушенного или свежесобранного лекарственного растительного сырья дистилляцией</w:t>
      </w:r>
      <w:r w:rsidR="006F7D4B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(перегонкой)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водой или водяным паром, прессованием, экстракцией органическими растворителями или другими способами выделения.</w:t>
      </w:r>
    </w:p>
    <w:p w:rsidR="001532F9" w:rsidRPr="00B910E8" w:rsidRDefault="001532F9" w:rsidP="001532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исходного лекарственного растительного сырья, способы его обработки (высушенное, свежесобранное, цельное, измельч</w:t>
      </w:r>
      <w:r w:rsidR="00365933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нное)</w:t>
      </w:r>
      <w:r w:rsidR="00B97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наименование производящего растения на русском и латинском языках (</w:t>
      </w:r>
      <w:r w:rsidR="00202E7D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семейство, </w:t>
      </w:r>
      <w:r w:rsidR="00B97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род, вид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должны указываться в фармакопейных статьях.</w:t>
      </w:r>
    </w:p>
    <w:p w:rsidR="00746D44" w:rsidRPr="00746D44" w:rsidRDefault="00746D44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СВОЙСТВА</w:t>
      </w:r>
    </w:p>
    <w:p w:rsidR="00F12944" w:rsidRPr="00B910E8" w:rsidRDefault="00DD7D2E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D2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Описание.</w:t>
      </w:r>
      <w:r w:rsidR="0072423B" w:rsidRPr="00B910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12944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Бесцветные или окрашенные прозрачные подвижные жидкости, чаще желтоватого цвета, с характерным запахом. Как правило, эфирные масла легче воды.</w:t>
      </w:r>
    </w:p>
    <w:p w:rsidR="00F12944" w:rsidRPr="00B910E8" w:rsidRDefault="00F12944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влиянием воздуха и света многие эфирные масла, постепенно окисляясь, изменяют запах и цвет (темнеют). Некоторые эфирные масла при хранении загустевают. </w:t>
      </w:r>
    </w:p>
    <w:p w:rsidR="00F12944" w:rsidRPr="00B910E8" w:rsidRDefault="00F12944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органолептических характеристик испытуемого образца проводят в сравнении со стандартным образцом.</w:t>
      </w:r>
    </w:p>
    <w:p w:rsidR="00F12944" w:rsidRPr="00B910E8" w:rsidRDefault="00F12944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и прозрачность определяют, поместив 10</w:t>
      </w:r>
      <w:r w:rsidR="0032524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масла в цилиндр из прозрачного бесцветного стекла диаметром 2</w:t>
      </w:r>
      <w:r w:rsidR="007D56C9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см, наблюдая перпендикулярно оси цилиндра в проходящем рассеянном дневном свете. Цветность может быть регламентирована в сравнении со стандартной шкалой цветности</w:t>
      </w:r>
      <w:r w:rsidR="00F86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 «Степень окраски жидкостей», если есть указание в фармакопейной статье.</w:t>
      </w:r>
    </w:p>
    <w:p w:rsidR="00F12944" w:rsidRPr="00B910E8" w:rsidRDefault="00F12944" w:rsidP="00E47A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</w:t>
      </w:r>
      <w:r w:rsidR="00E47A8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определяют, нанося около 0,1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эфирного масла на полоску </w:t>
      </w:r>
      <w:r w:rsidR="00E47A8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фильтровальной бумаги длиной 12 см и шириной 5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 так, чтобы масло не смачивало края бумаги, и </w:t>
      </w:r>
      <w:r w:rsidR="00E47A8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 запах через каждые 15 мин. В течение 1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 запах испытуемого образца должен быть одинаков с запахом стандартного образца, нанес</w:t>
      </w:r>
      <w:r w:rsidR="009059A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аналогичным образом на фильтровальную бумагу.</w:t>
      </w:r>
    </w:p>
    <w:p w:rsidR="00704786" w:rsidRPr="00B910E8" w:rsidRDefault="00DD7D2E" w:rsidP="007047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D2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Растворимость.</w:t>
      </w:r>
      <w:r w:rsidR="00704786" w:rsidRPr="00B910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F6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Эфирные масла мало </w:t>
      </w:r>
      <w:r w:rsidR="00704786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растворимы, очень мало растворимы или практически нерастворимы в воде; легко растворимы или растворимы в спирте различной концентрации, эфире и других органических растворителях.</w:t>
      </w:r>
    </w:p>
    <w:p w:rsidR="00704786" w:rsidRPr="00B910E8" w:rsidRDefault="00704786" w:rsidP="007047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растворимости эфирного масла в спирте этиловом 1 мл эфирного масла помещают в пробирку или цилиндр вместимостью 25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 мл с прит</w:t>
      </w:r>
      <w:r w:rsidR="00F028CB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ртой пробкой. Термостатируют образец при 20±2</w:t>
      </w:r>
      <w:r w:rsidR="005B1889" w:rsidRPr="00B910E8">
        <w:rPr>
          <w:rStyle w:val="tlid-translation"/>
          <w:rFonts w:ascii="Times New Roman" w:hAnsi="Times New Roman"/>
          <w:sz w:val="28"/>
          <w:szCs w:val="28"/>
        </w:rPr>
        <w:t> </w:t>
      </w:r>
      <w:r w:rsidR="007342FC" w:rsidRPr="00B910E8">
        <w:rPr>
          <w:rStyle w:val="tlid-translation"/>
          <w:rFonts w:ascii="Times New Roman" w:hAnsi="Times New Roman"/>
          <w:sz w:val="28"/>
          <w:szCs w:val="28"/>
        </w:rPr>
        <w:t>°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 все дальнейш</w:t>
      </w:r>
      <w:r w:rsidR="006F7D4B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910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</w:t>
      </w:r>
      <w:r w:rsidR="006F7D4B" w:rsidRPr="00B910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при температуре окружающей среды</w:t>
      </w:r>
      <w:r w:rsidR="00E47A8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бюретку вместимостью 25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помещают спирт этиловый, процентная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концентрация которого должна быть указана в фармакопейной статье</w:t>
      </w:r>
      <w:r w:rsidR="00A21C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конкретное эфирное масло</w:t>
      </w:r>
      <w:r w:rsidR="00206D02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момента полного растворения масла с</w:t>
      </w:r>
      <w:r w:rsidR="00E47A8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пирт прибавляют порциями по 0,1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при частом интенсивном перемешивании. </w:t>
      </w:r>
      <w:r w:rsidR="006F7D4B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Измеряют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спирта, израсходованного для получения прозрачного раствора. </w:t>
      </w:r>
      <w:r w:rsidR="005C1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родолжают п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рибавлять спирт порциями по 0,5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при интенсивном перемешивании до тех пор, пока общий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добавленного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спирта не будет равным 20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мл. Если раствор становится мутным или опалесцирующим прежде, чем были добавлены 2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спирта, то регистрируют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спирта в точке, в которой мутность или опалесценция появляется, а также тот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котором мутность или опалесценция исчезает. </w:t>
      </w:r>
    </w:p>
    <w:p w:rsidR="00704786" w:rsidRPr="00B910E8" w:rsidRDefault="00704786" w:rsidP="00C1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прозрачный раствор не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образуется после добавления 20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спирта указанной концентрации, то испытание повторяют с использованием спирта более высокой концентрации. </w:t>
      </w:r>
    </w:p>
    <w:p w:rsidR="00704786" w:rsidRPr="00B910E8" w:rsidRDefault="00704786" w:rsidP="00C1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тех случаях, когда указано, что эфирное масло должно быть «растворимо в n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спирта</w:t>
      </w:r>
      <w:r w:rsidR="0081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указанной концентрации», то это означает, что прозрачный в n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 спирта раствор остается прозрачным по сравнению с неразбавленным эфирным маслом после дальнейшего добавления спирта той же концентрации до общего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мл. </w:t>
      </w:r>
    </w:p>
    <w:p w:rsidR="00704786" w:rsidRPr="00B910E8" w:rsidRDefault="00704786" w:rsidP="00C103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тех случаях, когда указано, что эфирное масло должно быть «растворимо в n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спирта</w:t>
      </w:r>
      <w:r w:rsidR="0081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указанной концентрации с образованием мутного раствора при разбавлении», то это означает, что прозрачный в n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спирта раствор становится мутным в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спирта (когда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20) и остается таким после дальнейшего постепенного добавления спирта той же концентрац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</w:t>
      </w:r>
      <w:r w:rsidR="008F6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общего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 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мл. </w:t>
      </w:r>
    </w:p>
    <w:p w:rsidR="00704786" w:rsidRPr="00B910E8" w:rsidRDefault="00704786" w:rsidP="00C10321">
      <w:pPr>
        <w:pStyle w:val="af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тех случаях, когда указано, что эфирное масло должно быть «растворимо в n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спирта указанной концентрации с образованием мутного раствора между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ами», то это означает, что прозрачный в n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спирта раствор становится мутным в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(когда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20) и остается таким после дальнейшего постепенного добавления спирта той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же концентрации до общего </w:t>
      </w:r>
      <w:r w:rsidR="0055779A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спирта, равного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(когда n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20) и становится прозрачным. </w:t>
      </w:r>
    </w:p>
    <w:p w:rsidR="00704786" w:rsidRDefault="00704786" w:rsidP="00C10321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910E8">
        <w:rPr>
          <w:rFonts w:ascii="Times New Roman" w:hAnsi="Times New Roman"/>
          <w:b w:val="0"/>
          <w:color w:val="000000"/>
          <w:szCs w:val="28"/>
        </w:rPr>
        <w:t>Если указано, что эфирное масло должно быть «растворимо с опалесценцией», то это означает, что спиртовой раствор эфирного масла имеет опалесценцию, сравнимую с опалесценцией свежеприготовленного стандартного раствора мутности, полученного в тех же условиях с</w:t>
      </w:r>
      <w:r w:rsidR="003817CE" w:rsidRPr="00B910E8">
        <w:rPr>
          <w:rFonts w:ascii="Times New Roman" w:hAnsi="Times New Roman"/>
          <w:b w:val="0"/>
          <w:color w:val="000000"/>
          <w:szCs w:val="28"/>
        </w:rPr>
        <w:t>ледующим образом: смешивают 0,5 мл серебра нитрата раствора 1,7</w:t>
      </w:r>
      <w:r w:rsidR="00241FB9" w:rsidRPr="00B910E8">
        <w:rPr>
          <w:rFonts w:ascii="Times New Roman" w:hAnsi="Times New Roman"/>
          <w:b w:val="0"/>
          <w:color w:val="000000"/>
          <w:szCs w:val="28"/>
        </w:rPr>
        <w:t> </w:t>
      </w:r>
      <w:r w:rsidR="003817CE" w:rsidRPr="00B910E8">
        <w:rPr>
          <w:rFonts w:ascii="Times New Roman" w:hAnsi="Times New Roman"/>
          <w:b w:val="0"/>
          <w:color w:val="000000"/>
          <w:szCs w:val="28"/>
        </w:rPr>
        <w:t>% и 0,05 </w:t>
      </w:r>
      <w:r w:rsidRPr="00B910E8">
        <w:rPr>
          <w:rFonts w:ascii="Times New Roman" w:hAnsi="Times New Roman"/>
          <w:b w:val="0"/>
          <w:color w:val="000000"/>
          <w:szCs w:val="28"/>
        </w:rPr>
        <w:t>мл азотной кислоты к</w:t>
      </w:r>
      <w:r w:rsidR="003817CE" w:rsidRPr="00B910E8">
        <w:rPr>
          <w:rFonts w:ascii="Times New Roman" w:hAnsi="Times New Roman"/>
          <w:b w:val="0"/>
          <w:color w:val="000000"/>
          <w:szCs w:val="28"/>
        </w:rPr>
        <w:t>онцентрированной, прибавляют 50 </w:t>
      </w:r>
      <w:r w:rsidRPr="00B910E8">
        <w:rPr>
          <w:rFonts w:ascii="Times New Roman" w:hAnsi="Times New Roman"/>
          <w:b w:val="0"/>
          <w:color w:val="000000"/>
          <w:szCs w:val="28"/>
        </w:rPr>
        <w:t>мл</w:t>
      </w:r>
      <w:r w:rsidR="003817CE" w:rsidRPr="00B910E8">
        <w:rPr>
          <w:rFonts w:ascii="Times New Roman" w:hAnsi="Times New Roman"/>
          <w:b w:val="0"/>
          <w:color w:val="000000"/>
          <w:szCs w:val="28"/>
        </w:rPr>
        <w:t xml:space="preserve"> натрия хлорида раствора 0,0012 </w:t>
      </w:r>
      <w:r w:rsidRPr="00B910E8">
        <w:rPr>
          <w:rFonts w:ascii="Times New Roman" w:hAnsi="Times New Roman"/>
          <w:b w:val="0"/>
          <w:color w:val="000000"/>
          <w:szCs w:val="28"/>
        </w:rPr>
        <w:t>%, перемеш</w:t>
      </w:r>
      <w:r w:rsidR="003817CE" w:rsidRPr="00B910E8">
        <w:rPr>
          <w:rFonts w:ascii="Times New Roman" w:hAnsi="Times New Roman"/>
          <w:b w:val="0"/>
          <w:color w:val="000000"/>
          <w:szCs w:val="28"/>
        </w:rPr>
        <w:t>ивают и выдерживают в течение 5 </w:t>
      </w:r>
      <w:r w:rsidRPr="00B910E8">
        <w:rPr>
          <w:rFonts w:ascii="Times New Roman" w:hAnsi="Times New Roman"/>
          <w:b w:val="0"/>
          <w:color w:val="000000"/>
          <w:szCs w:val="28"/>
        </w:rPr>
        <w:t>мин в защищ</w:t>
      </w:r>
      <w:r w:rsidR="00241FB9" w:rsidRPr="00B910E8">
        <w:rPr>
          <w:rFonts w:ascii="Times New Roman" w:hAnsi="Times New Roman"/>
          <w:b w:val="0"/>
          <w:color w:val="000000"/>
          <w:szCs w:val="28"/>
        </w:rPr>
        <w:t>ё</w:t>
      </w:r>
      <w:r w:rsidRPr="00B910E8">
        <w:rPr>
          <w:rFonts w:ascii="Times New Roman" w:hAnsi="Times New Roman"/>
          <w:b w:val="0"/>
          <w:color w:val="000000"/>
          <w:szCs w:val="28"/>
        </w:rPr>
        <w:t xml:space="preserve">нном от света месте. </w:t>
      </w:r>
    </w:p>
    <w:p w:rsidR="00C57345" w:rsidRPr="00B971ED" w:rsidRDefault="00C57345" w:rsidP="00C573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7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ИДЕНТИФИКАЦИЯ</w:t>
      </w:r>
    </w:p>
    <w:p w:rsidR="00C57345" w:rsidRPr="00B910E8" w:rsidRDefault="00C57345" w:rsidP="00C573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подлинности 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методом газовой хроматографии в соответствии с ОФС «Газовая хроматография». Условия проведения анализа должны быть описаны в фармакопейной статье. Для установления подлинности эфирных масел используют либо относительное время удерживания отдельных, прежде всего преобладающих и специфичных компонентов, либо проводят сравнение хроматограммы испытуемого масла с хроматограммой стандартного образца масла,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фармакопейной статье.</w:t>
      </w:r>
    </w:p>
    <w:p w:rsidR="00C57345" w:rsidRPr="00B910E8" w:rsidRDefault="00C57345" w:rsidP="00C573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учётом лабильности многих соединений, являющихся компонентами эфирных масел, целесообразно использовать стеклянные колонки, предварительно проверенные на инертность. Проверку инертности колонок</w:t>
      </w:r>
      <w:r w:rsidRPr="00F12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проводить следующим образом: на колонке при 130 </w:t>
      </w:r>
      <w:r w:rsidRPr="00B910E8">
        <w:rPr>
          <w:rStyle w:val="tlid-translation"/>
          <w:rFonts w:ascii="Times New Roman" w:hAnsi="Times New Roman"/>
          <w:sz w:val="28"/>
          <w:szCs w:val="28"/>
        </w:rPr>
        <w:t>°</w:t>
      </w: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хроматографируют стандартный образец линолилацетата. На хроматограмме должны отсутствовать дополнительные пики, свидетельствующие о разложении данного вещества.</w:t>
      </w:r>
    </w:p>
    <w:p w:rsidR="00C57345" w:rsidRDefault="00C57345" w:rsidP="00C573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подлинности можно осуществлять также методом тонкослойной хроматографии или другими методами, приведёнными в фармакопейной статье.</w:t>
      </w:r>
    </w:p>
    <w:p w:rsidR="00893245" w:rsidRDefault="00893245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ИСПЫТАНИЯ</w:t>
      </w:r>
    </w:p>
    <w:p w:rsidR="007B0B50" w:rsidRPr="00C11CF6" w:rsidRDefault="007B0B50" w:rsidP="006558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Температура затвердевания</w:t>
      </w:r>
      <w:r w:rsidRPr="00DD7D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DD7D2E">
        <w:rPr>
          <w:rFonts w:ascii="Times New Roman" w:hAnsi="Times New Roman"/>
          <w:sz w:val="28"/>
          <w:szCs w:val="28"/>
        </w:rPr>
        <w:t xml:space="preserve">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«Температура затвердевания», при этом высота слоя эфирного масла в капилляре должна быть не менее 5 см, или в условиях указанных в фармакопейной статье. Значение температуры затвердевания должно соответствовать пределам, указанным в фармакопейной статье </w:t>
      </w:r>
      <w:r w:rsidRPr="00C11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конкретное эфирное масло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B50" w:rsidRPr="00C11CF6" w:rsidRDefault="007B0B50" w:rsidP="007B0B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Плотность.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«Плотность». Значение плотности должно соответствовать пределам, указанным в фармакопейной статье на конкретное эфирное масло.</w:t>
      </w:r>
    </w:p>
    <w:p w:rsidR="007B0B50" w:rsidRPr="00C11CF6" w:rsidRDefault="007B0B50" w:rsidP="007B0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Удельное вращение.</w:t>
      </w:r>
      <w:r w:rsidRPr="00DD7D2E">
        <w:rPr>
          <w:rFonts w:ascii="Times New Roman" w:hAnsi="Times New Roman"/>
          <w:sz w:val="28"/>
          <w:szCs w:val="28"/>
        </w:rPr>
        <w:t xml:space="preserve">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Оптическое вращение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». Значение величины оптического вращения должно соответствовать пределам, указанным в фармакопейной статье на конкретное эфирное масло.</w:t>
      </w:r>
    </w:p>
    <w:p w:rsidR="007B0B50" w:rsidRPr="007B0B50" w:rsidRDefault="007B0B50" w:rsidP="007B0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 преломления.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требованиями ОФС </w:t>
      </w:r>
      <w:r w:rsidRPr="00F744E1">
        <w:rPr>
          <w:rFonts w:ascii="Times New Roman" w:eastAsiaTheme="minorHAnsi" w:hAnsi="Times New Roman"/>
          <w:sz w:val="28"/>
          <w:szCs w:val="28"/>
        </w:rPr>
        <w:t>«</w:t>
      </w:r>
      <w:r w:rsidRPr="00F744E1">
        <w:rPr>
          <w:rFonts w:ascii="Times New Roman" w:eastAsia="TimesNewRoman" w:hAnsi="Times New Roman"/>
          <w:sz w:val="28"/>
          <w:szCs w:val="28"/>
        </w:rPr>
        <w:t xml:space="preserve">Показатель преломления </w:t>
      </w:r>
      <w:r w:rsidRPr="00F744E1">
        <w:rPr>
          <w:rFonts w:ascii="Times New Roman" w:eastAsiaTheme="minorHAnsi" w:hAnsi="Times New Roman"/>
          <w:sz w:val="28"/>
          <w:szCs w:val="28"/>
        </w:rPr>
        <w:t>(</w:t>
      </w:r>
      <w:r w:rsidRPr="00F744E1">
        <w:rPr>
          <w:rFonts w:ascii="Times New Roman" w:eastAsia="TimesNewRoman" w:hAnsi="Times New Roman"/>
          <w:sz w:val="28"/>
          <w:szCs w:val="28"/>
        </w:rPr>
        <w:t>индекс рефракции</w:t>
      </w:r>
      <w:r w:rsidRPr="00F744E1">
        <w:rPr>
          <w:rFonts w:ascii="Times New Roman" w:eastAsiaTheme="minorHAnsi" w:hAnsi="Times New Roman"/>
          <w:sz w:val="28"/>
          <w:szCs w:val="28"/>
        </w:rPr>
        <w:t>)»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показателя преломления должно соответствовать пределам, указанным в фармакопейной статье на конкретное эфирное масло.</w:t>
      </w:r>
    </w:p>
    <w:p w:rsidR="00DD7D2E" w:rsidRPr="00D170EC" w:rsidRDefault="00DD7D2E" w:rsidP="00DD7D2E">
      <w:pPr>
        <w:pStyle w:val="2"/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Спирт этиловый</w:t>
      </w:r>
      <w:r w:rsidRPr="00D17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10321" w:rsidRPr="00B910E8" w:rsidRDefault="00DD7D2E" w:rsidP="00C52589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Качественная реакция 1.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4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Наносят </w:t>
      </w:r>
      <w:r w:rsidR="003817CE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0,1 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эфирного масла на воду, </w:t>
      </w:r>
      <w:r w:rsidR="008E4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</w:t>
      </w:r>
      <w:r w:rsidR="008E419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E4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нную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часовое стекло, и </w:t>
      </w:r>
      <w:r w:rsidR="000B6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смотрят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ч</w:t>
      </w:r>
      <w:r w:rsidR="00EB41C0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рном фоне; не должно </w:t>
      </w:r>
      <w:r w:rsidR="008E4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наблюдаться</w:t>
      </w:r>
      <w:r w:rsidR="00C10321" w:rsidRPr="00C1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заметного помутнения вокруг капель масла. </w:t>
      </w:r>
    </w:p>
    <w:p w:rsidR="00C10321" w:rsidRDefault="00DD7D2E" w:rsidP="00C52589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Качественная реакция 2.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A359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пробирку </w:t>
      </w:r>
      <w:r w:rsidR="000B6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</w:t>
      </w:r>
      <w:r w:rsidR="008A359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</w:t>
      </w:r>
      <w:r w:rsidR="00206D02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эфирного </w:t>
      </w:r>
      <w:r w:rsidR="000B6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масла, закрывают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рыхлым кусочком ваты, в середину которого помещ</w:t>
      </w:r>
      <w:r w:rsidR="00F338C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кристаллик фуксина основного, и подогревают до кипения на водяной бане; не должно </w:t>
      </w:r>
      <w:r w:rsidR="000B6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наблюдаться</w:t>
      </w:r>
      <w:r w:rsidR="00C10321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фиолетово-розового окрашивания ваты.</w:t>
      </w:r>
    </w:p>
    <w:p w:rsidR="00A46D95" w:rsidRPr="00C11CF6" w:rsidRDefault="00A46D95" w:rsidP="00A46D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Кислотное число (</w:t>
      </w:r>
      <w:r w:rsidRPr="00D17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D170EC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a</w:t>
      </w: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«Кислотное число»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определения используют 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2 г эфирного масла (точная навеска)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5 мл спирта, предварительно нейтрализованного по фенолфталеину).</w:t>
      </w:r>
      <w:r w:rsidRPr="00DD7D2E">
        <w:rPr>
          <w:rFonts w:ascii="Times New Roman" w:hAnsi="Times New Roman"/>
          <w:sz w:val="28"/>
          <w:szCs w:val="28"/>
        </w:rPr>
        <w:t xml:space="preserve"> 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кислотного числа должно соответствовать 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пределам, указанным в фармакопейной статье на конкретное эфирное масло.</w:t>
      </w:r>
    </w:p>
    <w:p w:rsidR="00A46D95" w:rsidRPr="00A46D95" w:rsidRDefault="00A46D95" w:rsidP="00A46D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Пероксидное число</w:t>
      </w:r>
      <w:r w:rsidRPr="00DD7D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Pr="00C11C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F744E1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p</w:t>
      </w:r>
      <w:r w:rsidRPr="00DD7D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«Пероксидное число».</w:t>
      </w:r>
      <w:r w:rsidRPr="00DD7D2E">
        <w:rPr>
          <w:rFonts w:ascii="Times New Roman" w:hAnsi="Times New Roman"/>
          <w:sz w:val="28"/>
          <w:szCs w:val="28"/>
        </w:rPr>
        <w:t xml:space="preserve"> 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Значение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>ного числа должно соответствовать пределам, указанным в фармакопейной статье на конкретное эфирное масло.</w:t>
      </w:r>
    </w:p>
    <w:p w:rsidR="009E246C" w:rsidRPr="00D170EC" w:rsidRDefault="00DD7D2E" w:rsidP="00C525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Жирные и минеральные масла, в том числе осмолившиеся вещества</w:t>
      </w:r>
      <w:r w:rsidRPr="00D170EC">
        <w:rPr>
          <w:rFonts w:ascii="Times New Roman" w:eastAsia="Times New Roman" w:hAnsi="Times New Roman"/>
          <w:b/>
          <w:strike/>
          <w:sz w:val="28"/>
          <w:szCs w:val="28"/>
          <w:lang w:eastAsia="ru-RU"/>
        </w:rPr>
        <w:t xml:space="preserve"> </w:t>
      </w:r>
    </w:p>
    <w:p w:rsidR="008A359F" w:rsidRDefault="00DD7D2E" w:rsidP="00C525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Качественная реакция 1.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пробирку</w:t>
      </w:r>
      <w:r w:rsidR="008A359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359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вместимостью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359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 мл</w:t>
      </w:r>
      <w:r w:rsidR="008A359F" w:rsidRPr="008A3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помещают</w:t>
      </w:r>
    </w:p>
    <w:p w:rsidR="009E246C" w:rsidRPr="00B910E8" w:rsidRDefault="008A359F" w:rsidP="00AF72D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мл эфирного масла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мл спирта 96 %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взбалтывают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не должно наблюдаться помутнения и образования маслянистых капель. </w:t>
      </w:r>
    </w:p>
    <w:p w:rsidR="009E246C" w:rsidRPr="00B910E8" w:rsidRDefault="00DD7D2E" w:rsidP="00C525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Качественная реакция 2.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A359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омещают 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0,05 мл эфирного масла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AF72DF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фильтровальную бумагу</w:t>
      </w:r>
      <w:r w:rsidR="00AF7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</w:t>
      </w:r>
      <w:r w:rsidR="009E246C" w:rsidRPr="00B91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ятно масла должно испариться с бумаги полностью в течение 24 ч без оставления следа.</w:t>
      </w:r>
    </w:p>
    <w:p w:rsidR="00DD7D2E" w:rsidRDefault="00DD7D2E" w:rsidP="00AF72DF">
      <w:pPr>
        <w:pStyle w:val="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D170EC">
        <w:rPr>
          <w:b/>
          <w:bCs/>
          <w:sz w:val="28"/>
          <w:szCs w:val="28"/>
        </w:rPr>
        <w:t>Остаток после выпаривания эфирного масла.</w:t>
      </w:r>
      <w:r w:rsidRPr="00DD7D2E">
        <w:rPr>
          <w:bCs/>
          <w:sz w:val="28"/>
          <w:szCs w:val="28"/>
        </w:rPr>
        <w:t xml:space="preserve"> </w:t>
      </w:r>
      <w:r w:rsidR="00AF72DF">
        <w:rPr>
          <w:bCs/>
          <w:sz w:val="28"/>
          <w:szCs w:val="28"/>
        </w:rPr>
        <w:t>Помещают</w:t>
      </w:r>
      <w:r w:rsidRPr="00DD7D2E">
        <w:rPr>
          <w:bCs/>
          <w:sz w:val="28"/>
          <w:szCs w:val="28"/>
        </w:rPr>
        <w:t xml:space="preserve"> </w:t>
      </w:r>
      <w:r w:rsidR="009E246C" w:rsidRPr="00B910E8">
        <w:rPr>
          <w:sz w:val="28"/>
          <w:szCs w:val="28"/>
        </w:rPr>
        <w:t>5 г (точная навеска) эфирного масла в предварительно взвешенную выпарительную чашку диаметром 7</w:t>
      </w:r>
      <w:r w:rsidR="009E246C" w:rsidRPr="00B910E8">
        <w:rPr>
          <w:sz w:val="28"/>
          <w:szCs w:val="28"/>
        </w:rPr>
        <w:sym w:font="Symbol" w:char="F02D"/>
      </w:r>
      <w:r w:rsidR="009E246C" w:rsidRPr="00B910E8">
        <w:rPr>
          <w:sz w:val="28"/>
          <w:szCs w:val="28"/>
        </w:rPr>
        <w:t xml:space="preserve">9 см. Если </w:t>
      </w:r>
      <w:r w:rsidR="00206D02" w:rsidRPr="00174280">
        <w:rPr>
          <w:bCs/>
          <w:sz w:val="28"/>
          <w:szCs w:val="28"/>
        </w:rPr>
        <w:t>остаток после выпаривания эфирного масла</w:t>
      </w:r>
      <w:r w:rsidR="00206D02" w:rsidRPr="00B910E8">
        <w:rPr>
          <w:sz w:val="28"/>
          <w:szCs w:val="28"/>
        </w:rPr>
        <w:t xml:space="preserve"> </w:t>
      </w:r>
      <w:r w:rsidR="00206D02" w:rsidRPr="00174280">
        <w:rPr>
          <w:bCs/>
          <w:sz w:val="28"/>
          <w:szCs w:val="28"/>
        </w:rPr>
        <w:t>более</w:t>
      </w:r>
      <w:r w:rsidR="00206D02" w:rsidRPr="00B910E8">
        <w:rPr>
          <w:sz w:val="28"/>
          <w:szCs w:val="28"/>
        </w:rPr>
        <w:t xml:space="preserve"> </w:t>
      </w:r>
      <w:r w:rsidR="009E246C" w:rsidRPr="00B910E8">
        <w:rPr>
          <w:sz w:val="28"/>
          <w:szCs w:val="28"/>
        </w:rPr>
        <w:t xml:space="preserve">8 %, то в фармакопейной статье может быть указана меньшая навеска </w:t>
      </w:r>
      <w:r w:rsidR="00206D02" w:rsidRPr="00B910E8">
        <w:rPr>
          <w:sz w:val="28"/>
          <w:szCs w:val="28"/>
        </w:rPr>
        <w:t>испытуемого образца</w:t>
      </w:r>
      <w:r w:rsidR="009E246C" w:rsidRPr="00B910E8">
        <w:rPr>
          <w:sz w:val="28"/>
          <w:szCs w:val="28"/>
        </w:rPr>
        <w:t>. Чашку нагревают на водяной бане при выключенной вентиляции в течение времени, указанного в фармакопейной статье. Охлаждают в эксикаторе над кальция хлоридом безводным и взвешивают.</w:t>
      </w:r>
      <w:r w:rsidR="00AF72DF">
        <w:rPr>
          <w:sz w:val="28"/>
          <w:szCs w:val="28"/>
        </w:rPr>
        <w:t xml:space="preserve"> </w:t>
      </w:r>
      <w:r w:rsidR="00F90316" w:rsidRPr="00B910E8">
        <w:rPr>
          <w:sz w:val="28"/>
          <w:szCs w:val="28"/>
        </w:rPr>
        <w:t>Во время всего испытания следят за тем, чтобы уровень воды в бане</w:t>
      </w:r>
      <w:r w:rsidR="00E47A80" w:rsidRPr="00B910E8">
        <w:rPr>
          <w:sz w:val="28"/>
          <w:szCs w:val="28"/>
        </w:rPr>
        <w:t xml:space="preserve"> находился на 15–20 </w:t>
      </w:r>
      <w:r w:rsidR="00F90316" w:rsidRPr="00B910E8">
        <w:rPr>
          <w:sz w:val="28"/>
          <w:szCs w:val="28"/>
        </w:rPr>
        <w:t xml:space="preserve">мм ниже дна выпарительной чашки. </w:t>
      </w:r>
    </w:p>
    <w:p w:rsidR="00F90316" w:rsidRDefault="00F90316" w:rsidP="00F903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316">
        <w:rPr>
          <w:rFonts w:ascii="Times New Roman" w:eastAsia="Times New Roman" w:hAnsi="Times New Roman"/>
          <w:sz w:val="28"/>
          <w:szCs w:val="28"/>
          <w:lang w:eastAsia="ru-RU"/>
        </w:rPr>
        <w:t>Содержание остатка</w:t>
      </w:r>
      <w:r w:rsidR="00206D02" w:rsidRPr="00206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D02" w:rsidRPr="00F90316">
        <w:rPr>
          <w:rFonts w:ascii="Times New Roman" w:eastAsia="Times New Roman" w:hAnsi="Times New Roman"/>
          <w:sz w:val="28"/>
          <w:szCs w:val="28"/>
          <w:lang w:eastAsia="ru-RU"/>
        </w:rPr>
        <w:t>после выпаривания</w:t>
      </w:r>
      <w:r w:rsidRPr="00F90316">
        <w:rPr>
          <w:rFonts w:ascii="Times New Roman" w:eastAsia="Times New Roman" w:hAnsi="Times New Roman"/>
          <w:sz w:val="28"/>
          <w:szCs w:val="28"/>
          <w:lang w:eastAsia="ru-RU"/>
        </w:rPr>
        <w:t xml:space="preserve"> эфирного масла (</w:t>
      </w:r>
      <w:r w:rsidR="00DD7D2E" w:rsidRPr="00DD7D2E">
        <w:rPr>
          <w:rFonts w:ascii="Cambria Math" w:eastAsia="Times New Roman" w:hAnsi="Cambria Math"/>
          <w:i/>
          <w:sz w:val="28"/>
          <w:szCs w:val="28"/>
          <w:lang w:eastAsia="ru-RU"/>
        </w:rPr>
        <w:t>Х</w:t>
      </w:r>
      <w:r w:rsidRPr="00F90316">
        <w:rPr>
          <w:rFonts w:ascii="Times New Roman" w:eastAsia="Times New Roman" w:hAnsi="Times New Roman"/>
          <w:sz w:val="28"/>
          <w:szCs w:val="28"/>
          <w:lang w:eastAsia="ru-RU"/>
        </w:rPr>
        <w:t>) в процентах вычисляют по формуле: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8"/>
        <w:gridCol w:w="567"/>
        <w:gridCol w:w="510"/>
        <w:gridCol w:w="7251"/>
        <w:gridCol w:w="568"/>
      </w:tblGrid>
      <w:tr w:rsidR="003C1E62" w:rsidRPr="00880CD5" w:rsidTr="00F812F5">
        <w:tc>
          <w:tcPr>
            <w:tcW w:w="567" w:type="dxa"/>
          </w:tcPr>
          <w:p w:rsidR="00DD7D2E" w:rsidRPr="00DD7D2E" w:rsidRDefault="00DD7D2E" w:rsidP="00DD7D2E">
            <w:pPr>
              <w:spacing w:after="120"/>
              <w:jc w:val="both"/>
              <w:rPr>
                <w:rFonts w:ascii="Cambria Math" w:hAnsi="Cambria Math"/>
                <w:sz w:val="28"/>
                <w:oMath/>
              </w:rPr>
            </w:pPr>
          </w:p>
        </w:tc>
        <w:tc>
          <w:tcPr>
            <w:tcW w:w="8436" w:type="dxa"/>
            <w:gridSpan w:val="4"/>
          </w:tcPr>
          <w:p w:rsidR="00DD7D2E" w:rsidRDefault="003C1E62" w:rsidP="00DD7D2E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  <m:t>m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-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  <m:t>m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>0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)∙100  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</w:rPr>
                      <m:t>а</m:t>
                    </m:r>
                  </m:den>
                </m:f>
              </m:oMath>
            </m:oMathPara>
          </w:p>
        </w:tc>
        <w:tc>
          <w:tcPr>
            <w:tcW w:w="568" w:type="dxa"/>
          </w:tcPr>
          <w:p w:rsidR="00DD7D2E" w:rsidRDefault="00DD7D2E" w:rsidP="00DD7D2E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</w:tr>
      <w:tr w:rsidR="001574F8" w:rsidTr="00F812F5">
        <w:tc>
          <w:tcPr>
            <w:tcW w:w="675" w:type="dxa"/>
            <w:gridSpan w:val="2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DD7D2E" w:rsidRDefault="001574F8" w:rsidP="00DD7D2E">
            <w:pPr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m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vertAlign w:val="subscript"/>
                  </w:rPr>
                  <m:t>1</m:t>
                </m:r>
              </m:oMath>
            </m:oMathPara>
          </w:p>
        </w:tc>
        <w:tc>
          <w:tcPr>
            <w:tcW w:w="510" w:type="dxa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818" w:type="dxa"/>
            <w:gridSpan w:val="2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 </w:t>
            </w:r>
            <w:r w:rsidR="00206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чашки</w:t>
            </w: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остатком после 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паривания</w:t>
            </w: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574F8" w:rsidTr="00F812F5">
        <w:tc>
          <w:tcPr>
            <w:tcW w:w="675" w:type="dxa"/>
            <w:gridSpan w:val="2"/>
          </w:tcPr>
          <w:p w:rsidR="00DD7D2E" w:rsidRDefault="00DD7D2E" w:rsidP="00DD7D2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DD7D2E" w:rsidRDefault="001574F8" w:rsidP="00DD7D2E">
            <w:pPr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m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vertAlign w:val="subscript"/>
                  </w:rPr>
                  <m:t>0</m:t>
                </m:r>
              </m:oMath>
            </m:oMathPara>
          </w:p>
        </w:tc>
        <w:tc>
          <w:tcPr>
            <w:tcW w:w="510" w:type="dxa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818" w:type="dxa"/>
            <w:gridSpan w:val="2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 </w:t>
            </w:r>
            <w:r w:rsidRPr="00511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пустой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чашки</w:t>
            </w: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г;</w:t>
            </w:r>
          </w:p>
        </w:tc>
      </w:tr>
      <w:tr w:rsidR="001574F8" w:rsidRPr="00D01D86" w:rsidTr="00F812F5">
        <w:tc>
          <w:tcPr>
            <w:tcW w:w="675" w:type="dxa"/>
            <w:gridSpan w:val="2"/>
          </w:tcPr>
          <w:p w:rsidR="00DD7D2E" w:rsidRDefault="00DD7D2E" w:rsidP="00DD7D2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DD7D2E" w:rsidRDefault="001574F8" w:rsidP="00DD7D2E">
            <w:pPr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</w:rPr>
                  <m:t>а</m:t>
                </m:r>
              </m:oMath>
            </m:oMathPara>
          </w:p>
        </w:tc>
        <w:tc>
          <w:tcPr>
            <w:tcW w:w="510" w:type="dxa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818" w:type="dxa"/>
            <w:gridSpan w:val="2"/>
          </w:tcPr>
          <w:p w:rsidR="00DD7D2E" w:rsidRDefault="001574F8" w:rsidP="00DD7D2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навеска испытуемого образца, г.</w:t>
            </w:r>
          </w:p>
        </w:tc>
      </w:tr>
    </w:tbl>
    <w:p w:rsidR="00DD7D2E" w:rsidRDefault="00DD7D2E" w:rsidP="00DD7D2E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Вода.</w:t>
      </w:r>
      <w:r w:rsidRPr="00DD7D2E">
        <w:rPr>
          <w:rFonts w:ascii="Times New Roman" w:hAnsi="Times New Roman"/>
          <w:sz w:val="28"/>
          <w:szCs w:val="28"/>
        </w:rPr>
        <w:t xml:space="preserve"> </w:t>
      </w:r>
      <w:r w:rsidR="008A35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A359F"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мешивают </w:t>
      </w:r>
      <w:r w:rsidR="00E47A80" w:rsidRPr="00C11CF6">
        <w:rPr>
          <w:rFonts w:ascii="Times New Roman" w:eastAsia="Times New Roman" w:hAnsi="Times New Roman"/>
          <w:sz w:val="28"/>
          <w:szCs w:val="28"/>
          <w:lang w:eastAsia="ru-RU"/>
        </w:rPr>
        <w:t>0,5 </w:t>
      </w:r>
      <w:r w:rsidR="001574F8" w:rsidRPr="00C11CF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47A80" w:rsidRPr="00C11CF6">
        <w:rPr>
          <w:rFonts w:ascii="Times New Roman" w:eastAsia="Times New Roman" w:hAnsi="Times New Roman"/>
          <w:sz w:val="28"/>
          <w:szCs w:val="28"/>
          <w:lang w:eastAsia="ru-RU"/>
        </w:rPr>
        <w:t>л эфирного масла с 10 </w:t>
      </w:r>
      <w:r w:rsidR="001574F8"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мл петролейного </w:t>
      </w:r>
      <w:r w:rsidR="00AF72DF">
        <w:rPr>
          <w:rFonts w:ascii="Times New Roman" w:eastAsia="Times New Roman" w:hAnsi="Times New Roman"/>
          <w:sz w:val="28"/>
          <w:szCs w:val="28"/>
          <w:lang w:eastAsia="ru-RU"/>
        </w:rPr>
        <w:t>эфира (4); н</w:t>
      </w:r>
      <w:r w:rsidR="001574F8"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е должно наблюдаться помутнения. </w:t>
      </w:r>
    </w:p>
    <w:p w:rsidR="00A21CCE" w:rsidRPr="00C11CF6" w:rsidRDefault="00A21CCE" w:rsidP="004E27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эфирного масла, получаемого экстракцией сырья органическими растворителями, в фармакопейные статьи должны быть введены методики контроля органических растворителей и установлены нормы их о</w:t>
      </w:r>
      <w:r w:rsidR="0055779A" w:rsidRPr="00C11CF6">
        <w:rPr>
          <w:rFonts w:ascii="Times New Roman" w:eastAsia="Times New Roman" w:hAnsi="Times New Roman"/>
          <w:sz w:val="28"/>
          <w:szCs w:val="28"/>
          <w:lang w:eastAsia="ru-RU"/>
        </w:rPr>
        <w:t>статочного содержания. Испытание</w:t>
      </w:r>
      <w:r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«Остаточные органические растворители».</w:t>
      </w:r>
    </w:p>
    <w:p w:rsidR="00D234EB" w:rsidRPr="00C11CF6" w:rsidRDefault="00DD7D2E" w:rsidP="000B4E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0EC">
        <w:rPr>
          <w:rFonts w:ascii="Times New Roman" w:eastAsia="Times New Roman" w:hAnsi="Times New Roman"/>
          <w:b/>
          <w:sz w:val="28"/>
          <w:szCs w:val="28"/>
          <w:lang w:eastAsia="ru-RU"/>
        </w:rPr>
        <w:t>Объём содержимого упаковки.</w:t>
      </w:r>
      <w:r w:rsidRPr="00DD7D2E">
        <w:rPr>
          <w:rFonts w:ascii="Times New Roman" w:hAnsi="Times New Roman"/>
          <w:b/>
          <w:sz w:val="28"/>
          <w:szCs w:val="28"/>
        </w:rPr>
        <w:t xml:space="preserve"> </w:t>
      </w:r>
      <w:r w:rsidR="00F744E1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D234EB" w:rsidRPr="00C11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«Масса (</w:t>
      </w:r>
      <w:r w:rsidR="0055779A" w:rsidRPr="00C11CF6">
        <w:rPr>
          <w:rFonts w:ascii="Times New Roman" w:eastAsia="Times New Roman" w:hAnsi="Times New Roman"/>
          <w:sz w:val="28"/>
          <w:szCs w:val="28"/>
          <w:lang w:eastAsia="ru-RU"/>
        </w:rPr>
        <w:t>объём</w:t>
      </w:r>
      <w:r w:rsidR="00D234EB" w:rsidRPr="00C11CF6">
        <w:rPr>
          <w:rFonts w:ascii="Times New Roman" w:eastAsia="Times New Roman" w:hAnsi="Times New Roman"/>
          <w:sz w:val="28"/>
          <w:szCs w:val="28"/>
          <w:lang w:eastAsia="ru-RU"/>
        </w:rPr>
        <w:t>) содержимого упаковки».</w:t>
      </w:r>
    </w:p>
    <w:p w:rsidR="00D234EB" w:rsidRDefault="00DD7D2E" w:rsidP="000B4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Микробиологическая чистота.</w:t>
      </w:r>
      <w:r w:rsidR="00D234EB" w:rsidRPr="00C11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4E1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F744E1" w:rsidRPr="00C11CF6">
        <w:rPr>
          <w:rFonts w:ascii="Times New Roman" w:eastAsia="TimesNewRomanPSMT" w:hAnsi="Times New Roman"/>
          <w:sz w:val="28"/>
          <w:szCs w:val="28"/>
        </w:rPr>
        <w:t xml:space="preserve"> </w:t>
      </w:r>
      <w:r w:rsidR="00D234EB" w:rsidRPr="00C11CF6">
        <w:rPr>
          <w:rFonts w:ascii="Times New Roman" w:eastAsia="TimesNewRomanPSMT" w:hAnsi="Times New Roman"/>
          <w:sz w:val="28"/>
          <w:szCs w:val="28"/>
        </w:rPr>
        <w:t xml:space="preserve">проводят </w:t>
      </w:r>
      <w:r w:rsidR="00D234EB" w:rsidRPr="00C11CF6">
        <w:rPr>
          <w:rFonts w:ascii="Times New Roman" w:hAnsi="Times New Roman"/>
          <w:sz w:val="28"/>
          <w:szCs w:val="28"/>
        </w:rPr>
        <w:t xml:space="preserve">в </w:t>
      </w:r>
      <w:r w:rsidR="00D234EB" w:rsidRPr="00C11CF6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="00D234EB" w:rsidRPr="00C11CF6">
        <w:rPr>
          <w:rFonts w:ascii="Times New Roman" w:hAnsi="Times New Roman"/>
          <w:sz w:val="28"/>
          <w:szCs w:val="28"/>
        </w:rPr>
        <w:t xml:space="preserve"> ОФС </w:t>
      </w:r>
      <w:r w:rsidR="001075B3" w:rsidRPr="00C11CF6">
        <w:rPr>
          <w:rFonts w:ascii="Times New Roman" w:hAnsi="Times New Roman"/>
          <w:sz w:val="28"/>
          <w:szCs w:val="28"/>
        </w:rPr>
        <w:t>«</w:t>
      </w:r>
      <w:r w:rsidR="00D234EB" w:rsidRPr="00C11CF6">
        <w:rPr>
          <w:rFonts w:ascii="Times New Roman" w:hAnsi="Times New Roman"/>
          <w:sz w:val="28"/>
          <w:szCs w:val="28"/>
        </w:rPr>
        <w:t>Микробиологическая чистота</w:t>
      </w:r>
      <w:r w:rsidR="001075B3" w:rsidRPr="00C11CF6">
        <w:rPr>
          <w:rFonts w:ascii="Times New Roman" w:hAnsi="Times New Roman"/>
          <w:sz w:val="28"/>
          <w:szCs w:val="28"/>
        </w:rPr>
        <w:t>»</w:t>
      </w:r>
      <w:r w:rsidR="00D234EB" w:rsidRPr="00C11CF6">
        <w:rPr>
          <w:rFonts w:ascii="Times New Roman" w:hAnsi="Times New Roman"/>
          <w:sz w:val="28"/>
          <w:szCs w:val="28"/>
        </w:rPr>
        <w:t>.</w:t>
      </w:r>
    </w:p>
    <w:p w:rsidR="00F744E1" w:rsidRPr="00C11CF6" w:rsidRDefault="00F744E1" w:rsidP="000B4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234EB" w:rsidRPr="00C11CF6" w:rsidRDefault="00DD7D2E" w:rsidP="000B4E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2E">
        <w:rPr>
          <w:rFonts w:ascii="Times New Roman" w:hAnsi="Times New Roman"/>
          <w:sz w:val="28"/>
          <w:szCs w:val="28"/>
        </w:rPr>
        <w:t xml:space="preserve">В фармакопейную статью должен быть </w:t>
      </w:r>
      <w:r w:rsidR="00D234EB" w:rsidRPr="00C11CF6">
        <w:rPr>
          <w:rFonts w:ascii="Times New Roman" w:hAnsi="Times New Roman"/>
          <w:sz w:val="28"/>
          <w:szCs w:val="28"/>
        </w:rPr>
        <w:t>включ</w:t>
      </w:r>
      <w:r w:rsidR="00B61F03" w:rsidRPr="00C11CF6">
        <w:rPr>
          <w:rFonts w:ascii="Times New Roman" w:hAnsi="Times New Roman"/>
          <w:sz w:val="28"/>
          <w:szCs w:val="28"/>
        </w:rPr>
        <w:t>ё</w:t>
      </w:r>
      <w:r w:rsidR="00D234EB" w:rsidRPr="00C11CF6">
        <w:rPr>
          <w:rFonts w:ascii="Times New Roman" w:hAnsi="Times New Roman"/>
          <w:sz w:val="28"/>
          <w:szCs w:val="28"/>
        </w:rPr>
        <w:t xml:space="preserve">н метод </w:t>
      </w:r>
      <w:r w:rsidR="00206D02" w:rsidRPr="00C11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газовой хроматографии</w:t>
      </w:r>
      <w:r w:rsidR="00D234EB" w:rsidRPr="00C11CF6">
        <w:rPr>
          <w:rFonts w:ascii="Times New Roman" w:hAnsi="Times New Roman"/>
          <w:sz w:val="28"/>
          <w:szCs w:val="28"/>
        </w:rPr>
        <w:t xml:space="preserve"> или иной</w:t>
      </w:r>
      <w:r w:rsidR="005175D7" w:rsidRPr="00C11CF6">
        <w:rPr>
          <w:rFonts w:ascii="Times New Roman" w:hAnsi="Times New Roman"/>
          <w:sz w:val="28"/>
          <w:szCs w:val="28"/>
        </w:rPr>
        <w:t>,</w:t>
      </w:r>
      <w:r w:rsidR="00D234EB" w:rsidRPr="00C11CF6">
        <w:rPr>
          <w:rFonts w:ascii="Times New Roman" w:hAnsi="Times New Roman"/>
          <w:sz w:val="28"/>
          <w:szCs w:val="28"/>
        </w:rPr>
        <w:t xml:space="preserve"> для количественного определения преобладающих или специфичных компонентов эфирного масла</w:t>
      </w:r>
      <w:r w:rsidR="00F744E1">
        <w:rPr>
          <w:rFonts w:ascii="Times New Roman" w:hAnsi="Times New Roman"/>
          <w:sz w:val="28"/>
          <w:szCs w:val="28"/>
        </w:rPr>
        <w:t>,</w:t>
      </w:r>
      <w:r w:rsidR="00D234EB" w:rsidRPr="00C11CF6">
        <w:rPr>
          <w:rFonts w:ascii="Times New Roman" w:hAnsi="Times New Roman"/>
          <w:sz w:val="28"/>
          <w:szCs w:val="28"/>
        </w:rPr>
        <w:t xml:space="preserve"> и установлены нормы их содержания. </w:t>
      </w:r>
    </w:p>
    <w:p w:rsidR="007B0B50" w:rsidRDefault="00D234EB" w:rsidP="007B0B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F6">
        <w:rPr>
          <w:rFonts w:ascii="Times New Roman" w:hAnsi="Times New Roman"/>
          <w:sz w:val="28"/>
          <w:szCs w:val="28"/>
        </w:rPr>
        <w:t>Процентные соотношения основных компонентов устанавливают методом нормализации.</w:t>
      </w:r>
    </w:p>
    <w:p w:rsidR="003D2A5E" w:rsidRPr="007B0B50" w:rsidRDefault="003D2A5E" w:rsidP="007B0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3D2A5E" w:rsidRPr="007B0B50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EC" w:rsidRDefault="00D170EC" w:rsidP="008705EC">
      <w:pPr>
        <w:spacing w:after="0" w:line="240" w:lineRule="auto"/>
      </w:pPr>
      <w:r>
        <w:separator/>
      </w:r>
    </w:p>
  </w:endnote>
  <w:endnote w:type="continuationSeparator" w:id="0">
    <w:p w:rsidR="00D170EC" w:rsidRDefault="00D170EC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170EC" w:rsidRPr="00341DC8" w:rsidRDefault="00897B5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D170EC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00A59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EC" w:rsidRDefault="00D170EC" w:rsidP="008705EC">
      <w:pPr>
        <w:spacing w:after="0" w:line="240" w:lineRule="auto"/>
      </w:pPr>
      <w:r>
        <w:separator/>
      </w:r>
    </w:p>
  </w:footnote>
  <w:footnote w:type="continuationSeparator" w:id="0">
    <w:p w:rsidR="00D170EC" w:rsidRDefault="00D170EC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70A6"/>
    <w:rsid w:val="00014B3C"/>
    <w:rsid w:val="00014FC6"/>
    <w:rsid w:val="00016D99"/>
    <w:rsid w:val="0002608B"/>
    <w:rsid w:val="00034AD7"/>
    <w:rsid w:val="00037385"/>
    <w:rsid w:val="000451CC"/>
    <w:rsid w:val="00045A88"/>
    <w:rsid w:val="0005091F"/>
    <w:rsid w:val="00051363"/>
    <w:rsid w:val="00053999"/>
    <w:rsid w:val="00054233"/>
    <w:rsid w:val="000547E9"/>
    <w:rsid w:val="0005580E"/>
    <w:rsid w:val="00064665"/>
    <w:rsid w:val="00067043"/>
    <w:rsid w:val="00072C80"/>
    <w:rsid w:val="000767C5"/>
    <w:rsid w:val="00077FC2"/>
    <w:rsid w:val="000863B7"/>
    <w:rsid w:val="000901B2"/>
    <w:rsid w:val="00093F4F"/>
    <w:rsid w:val="0009478B"/>
    <w:rsid w:val="000B4C02"/>
    <w:rsid w:val="000B4E50"/>
    <w:rsid w:val="000B6E6A"/>
    <w:rsid w:val="000D418D"/>
    <w:rsid w:val="000D4BA9"/>
    <w:rsid w:val="000D77C7"/>
    <w:rsid w:val="000E3C1C"/>
    <w:rsid w:val="000E56B6"/>
    <w:rsid w:val="000F42C0"/>
    <w:rsid w:val="001075B3"/>
    <w:rsid w:val="00111921"/>
    <w:rsid w:val="00114D8D"/>
    <w:rsid w:val="00123671"/>
    <w:rsid w:val="00132ADE"/>
    <w:rsid w:val="00140916"/>
    <w:rsid w:val="0014199C"/>
    <w:rsid w:val="001460AA"/>
    <w:rsid w:val="001517E7"/>
    <w:rsid w:val="001532F9"/>
    <w:rsid w:val="0015661A"/>
    <w:rsid w:val="001574F8"/>
    <w:rsid w:val="0016431F"/>
    <w:rsid w:val="00164705"/>
    <w:rsid w:val="00167D43"/>
    <w:rsid w:val="00172A78"/>
    <w:rsid w:val="00174280"/>
    <w:rsid w:val="001766D9"/>
    <w:rsid w:val="00177D46"/>
    <w:rsid w:val="00183830"/>
    <w:rsid w:val="001840F7"/>
    <w:rsid w:val="00192045"/>
    <w:rsid w:val="00193653"/>
    <w:rsid w:val="001A1C25"/>
    <w:rsid w:val="001A24BD"/>
    <w:rsid w:val="001A5430"/>
    <w:rsid w:val="001C08CB"/>
    <w:rsid w:val="001C79E4"/>
    <w:rsid w:val="001E3766"/>
    <w:rsid w:val="001F4ED1"/>
    <w:rsid w:val="001F54DD"/>
    <w:rsid w:val="001F7C0E"/>
    <w:rsid w:val="00200E43"/>
    <w:rsid w:val="00202E7D"/>
    <w:rsid w:val="00206D02"/>
    <w:rsid w:val="002073DA"/>
    <w:rsid w:val="002134D5"/>
    <w:rsid w:val="00215F6D"/>
    <w:rsid w:val="002235AA"/>
    <w:rsid w:val="002248C0"/>
    <w:rsid w:val="00225CAB"/>
    <w:rsid w:val="0023081B"/>
    <w:rsid w:val="00241FB9"/>
    <w:rsid w:val="00261FAF"/>
    <w:rsid w:val="00262109"/>
    <w:rsid w:val="00262A32"/>
    <w:rsid w:val="0026546C"/>
    <w:rsid w:val="002704E9"/>
    <w:rsid w:val="00273DBA"/>
    <w:rsid w:val="00291173"/>
    <w:rsid w:val="00291B7E"/>
    <w:rsid w:val="00295ABB"/>
    <w:rsid w:val="00297E36"/>
    <w:rsid w:val="002B1494"/>
    <w:rsid w:val="002B4FC4"/>
    <w:rsid w:val="002C3437"/>
    <w:rsid w:val="002D018B"/>
    <w:rsid w:val="002D08BF"/>
    <w:rsid w:val="002D2963"/>
    <w:rsid w:val="002D2F86"/>
    <w:rsid w:val="002E042B"/>
    <w:rsid w:val="002E0BC1"/>
    <w:rsid w:val="002E2664"/>
    <w:rsid w:val="002E27A8"/>
    <w:rsid w:val="002E4ACC"/>
    <w:rsid w:val="002E776F"/>
    <w:rsid w:val="002F2113"/>
    <w:rsid w:val="002F439A"/>
    <w:rsid w:val="002F462C"/>
    <w:rsid w:val="002F66FC"/>
    <w:rsid w:val="00301130"/>
    <w:rsid w:val="00305D0A"/>
    <w:rsid w:val="00306E08"/>
    <w:rsid w:val="0031433E"/>
    <w:rsid w:val="0032524E"/>
    <w:rsid w:val="0032732B"/>
    <w:rsid w:val="00330597"/>
    <w:rsid w:val="00335669"/>
    <w:rsid w:val="00341DC8"/>
    <w:rsid w:val="00353747"/>
    <w:rsid w:val="0036072F"/>
    <w:rsid w:val="00362E87"/>
    <w:rsid w:val="003657FE"/>
    <w:rsid w:val="00365933"/>
    <w:rsid w:val="00370EAE"/>
    <w:rsid w:val="00371ECD"/>
    <w:rsid w:val="00372407"/>
    <w:rsid w:val="00372448"/>
    <w:rsid w:val="00373800"/>
    <w:rsid w:val="003817CE"/>
    <w:rsid w:val="00387466"/>
    <w:rsid w:val="00387F8F"/>
    <w:rsid w:val="003A367B"/>
    <w:rsid w:val="003A3F80"/>
    <w:rsid w:val="003B13C7"/>
    <w:rsid w:val="003B2C61"/>
    <w:rsid w:val="003B787F"/>
    <w:rsid w:val="003B7F75"/>
    <w:rsid w:val="003C0B97"/>
    <w:rsid w:val="003C0C97"/>
    <w:rsid w:val="003C1E62"/>
    <w:rsid w:val="003D16B2"/>
    <w:rsid w:val="003D2A5E"/>
    <w:rsid w:val="003D3B33"/>
    <w:rsid w:val="003D568D"/>
    <w:rsid w:val="003E1B69"/>
    <w:rsid w:val="003E7791"/>
    <w:rsid w:val="003F3661"/>
    <w:rsid w:val="003F3739"/>
    <w:rsid w:val="004018CE"/>
    <w:rsid w:val="00412E9B"/>
    <w:rsid w:val="00415A6D"/>
    <w:rsid w:val="00416DBB"/>
    <w:rsid w:val="00420438"/>
    <w:rsid w:val="00421D42"/>
    <w:rsid w:val="00424B54"/>
    <w:rsid w:val="004263D0"/>
    <w:rsid w:val="0043401B"/>
    <w:rsid w:val="00446B9F"/>
    <w:rsid w:val="00446E51"/>
    <w:rsid w:val="00466D14"/>
    <w:rsid w:val="00473BDE"/>
    <w:rsid w:val="0048269A"/>
    <w:rsid w:val="0048650F"/>
    <w:rsid w:val="00490F95"/>
    <w:rsid w:val="0049239B"/>
    <w:rsid w:val="00492EF9"/>
    <w:rsid w:val="00495788"/>
    <w:rsid w:val="00497E6A"/>
    <w:rsid w:val="004A5170"/>
    <w:rsid w:val="004A5801"/>
    <w:rsid w:val="004A78B3"/>
    <w:rsid w:val="004B1B85"/>
    <w:rsid w:val="004B45C7"/>
    <w:rsid w:val="004C40C5"/>
    <w:rsid w:val="004C6940"/>
    <w:rsid w:val="004D04D3"/>
    <w:rsid w:val="004D1A63"/>
    <w:rsid w:val="004D25FC"/>
    <w:rsid w:val="004D2975"/>
    <w:rsid w:val="004D31E1"/>
    <w:rsid w:val="004D5491"/>
    <w:rsid w:val="004E2768"/>
    <w:rsid w:val="004E2D95"/>
    <w:rsid w:val="004E3807"/>
    <w:rsid w:val="004F0944"/>
    <w:rsid w:val="004F2459"/>
    <w:rsid w:val="004F33AB"/>
    <w:rsid w:val="004F520A"/>
    <w:rsid w:val="004F5699"/>
    <w:rsid w:val="004F7412"/>
    <w:rsid w:val="00502965"/>
    <w:rsid w:val="005115AC"/>
    <w:rsid w:val="00511659"/>
    <w:rsid w:val="00512DDB"/>
    <w:rsid w:val="00513642"/>
    <w:rsid w:val="005175D7"/>
    <w:rsid w:val="00517DAE"/>
    <w:rsid w:val="00522E33"/>
    <w:rsid w:val="0055779A"/>
    <w:rsid w:val="005613EC"/>
    <w:rsid w:val="00563A4C"/>
    <w:rsid w:val="005668AF"/>
    <w:rsid w:val="00571277"/>
    <w:rsid w:val="00571CD9"/>
    <w:rsid w:val="00581E82"/>
    <w:rsid w:val="00583FB5"/>
    <w:rsid w:val="00584178"/>
    <w:rsid w:val="00585C7A"/>
    <w:rsid w:val="005A0228"/>
    <w:rsid w:val="005A2307"/>
    <w:rsid w:val="005B1889"/>
    <w:rsid w:val="005B3C2C"/>
    <w:rsid w:val="005B6D28"/>
    <w:rsid w:val="005C0CC4"/>
    <w:rsid w:val="005C1F53"/>
    <w:rsid w:val="005C1FDA"/>
    <w:rsid w:val="005D5D6B"/>
    <w:rsid w:val="005E6D2E"/>
    <w:rsid w:val="005E7B04"/>
    <w:rsid w:val="00602884"/>
    <w:rsid w:val="0060460D"/>
    <w:rsid w:val="006069F7"/>
    <w:rsid w:val="00606EAA"/>
    <w:rsid w:val="00615C3B"/>
    <w:rsid w:val="00625B85"/>
    <w:rsid w:val="006356ED"/>
    <w:rsid w:val="006441E4"/>
    <w:rsid w:val="0064571E"/>
    <w:rsid w:val="00647B8E"/>
    <w:rsid w:val="00655896"/>
    <w:rsid w:val="00662B4E"/>
    <w:rsid w:val="00665F63"/>
    <w:rsid w:val="00666915"/>
    <w:rsid w:val="00677676"/>
    <w:rsid w:val="006818BA"/>
    <w:rsid w:val="00683636"/>
    <w:rsid w:val="0069320A"/>
    <w:rsid w:val="006A5E67"/>
    <w:rsid w:val="006A643F"/>
    <w:rsid w:val="006B2730"/>
    <w:rsid w:val="006B4955"/>
    <w:rsid w:val="006C1A2A"/>
    <w:rsid w:val="006C547D"/>
    <w:rsid w:val="006D76A7"/>
    <w:rsid w:val="006E1509"/>
    <w:rsid w:val="006E4F0A"/>
    <w:rsid w:val="006F2567"/>
    <w:rsid w:val="006F3EB1"/>
    <w:rsid w:val="006F422C"/>
    <w:rsid w:val="006F7D4B"/>
    <w:rsid w:val="00702038"/>
    <w:rsid w:val="00703824"/>
    <w:rsid w:val="00704786"/>
    <w:rsid w:val="007051E1"/>
    <w:rsid w:val="0071416F"/>
    <w:rsid w:val="00715269"/>
    <w:rsid w:val="00715DA3"/>
    <w:rsid w:val="007208F1"/>
    <w:rsid w:val="0072375E"/>
    <w:rsid w:val="00723B0B"/>
    <w:rsid w:val="0072423B"/>
    <w:rsid w:val="007342FC"/>
    <w:rsid w:val="007344DF"/>
    <w:rsid w:val="0073611C"/>
    <w:rsid w:val="00737F9D"/>
    <w:rsid w:val="00742557"/>
    <w:rsid w:val="00746D44"/>
    <w:rsid w:val="00747449"/>
    <w:rsid w:val="00747A28"/>
    <w:rsid w:val="00750752"/>
    <w:rsid w:val="00751832"/>
    <w:rsid w:val="007528B8"/>
    <w:rsid w:val="0076664C"/>
    <w:rsid w:val="00767F65"/>
    <w:rsid w:val="00770DD6"/>
    <w:rsid w:val="00777142"/>
    <w:rsid w:val="007818CB"/>
    <w:rsid w:val="00787178"/>
    <w:rsid w:val="0079164C"/>
    <w:rsid w:val="007B0B50"/>
    <w:rsid w:val="007B451F"/>
    <w:rsid w:val="007C0488"/>
    <w:rsid w:val="007C4826"/>
    <w:rsid w:val="007C5D17"/>
    <w:rsid w:val="007D3401"/>
    <w:rsid w:val="007D4064"/>
    <w:rsid w:val="007D56C9"/>
    <w:rsid w:val="007E3173"/>
    <w:rsid w:val="007E3C98"/>
    <w:rsid w:val="007F28CF"/>
    <w:rsid w:val="007F32BE"/>
    <w:rsid w:val="007F63DC"/>
    <w:rsid w:val="007F7347"/>
    <w:rsid w:val="00805E47"/>
    <w:rsid w:val="00807D22"/>
    <w:rsid w:val="00811428"/>
    <w:rsid w:val="008117E8"/>
    <w:rsid w:val="0081563E"/>
    <w:rsid w:val="00815C5E"/>
    <w:rsid w:val="00816763"/>
    <w:rsid w:val="0081778E"/>
    <w:rsid w:val="00817C23"/>
    <w:rsid w:val="0082450C"/>
    <w:rsid w:val="00826734"/>
    <w:rsid w:val="00832F4A"/>
    <w:rsid w:val="008375C1"/>
    <w:rsid w:val="00840E14"/>
    <w:rsid w:val="0084654D"/>
    <w:rsid w:val="008705EC"/>
    <w:rsid w:val="00876A4B"/>
    <w:rsid w:val="00882ED8"/>
    <w:rsid w:val="008857C5"/>
    <w:rsid w:val="0089136A"/>
    <w:rsid w:val="00893245"/>
    <w:rsid w:val="00897B5B"/>
    <w:rsid w:val="008A359F"/>
    <w:rsid w:val="008A47BD"/>
    <w:rsid w:val="008A5890"/>
    <w:rsid w:val="008B1EA8"/>
    <w:rsid w:val="008C0A46"/>
    <w:rsid w:val="008C1284"/>
    <w:rsid w:val="008C256F"/>
    <w:rsid w:val="008C307E"/>
    <w:rsid w:val="008D45F9"/>
    <w:rsid w:val="008E1A29"/>
    <w:rsid w:val="008E4190"/>
    <w:rsid w:val="008E472B"/>
    <w:rsid w:val="008E67AA"/>
    <w:rsid w:val="008F111E"/>
    <w:rsid w:val="008F3484"/>
    <w:rsid w:val="008F635B"/>
    <w:rsid w:val="008F6E55"/>
    <w:rsid w:val="00902FC6"/>
    <w:rsid w:val="009059AA"/>
    <w:rsid w:val="00907C63"/>
    <w:rsid w:val="009403C0"/>
    <w:rsid w:val="009420E6"/>
    <w:rsid w:val="0094254B"/>
    <w:rsid w:val="009441D4"/>
    <w:rsid w:val="009462A9"/>
    <w:rsid w:val="0095340A"/>
    <w:rsid w:val="00964D9C"/>
    <w:rsid w:val="00974F90"/>
    <w:rsid w:val="00977803"/>
    <w:rsid w:val="0098052E"/>
    <w:rsid w:val="00981949"/>
    <w:rsid w:val="009821E3"/>
    <w:rsid w:val="00984FCD"/>
    <w:rsid w:val="00992F99"/>
    <w:rsid w:val="009962D7"/>
    <w:rsid w:val="009A0B40"/>
    <w:rsid w:val="009A28EE"/>
    <w:rsid w:val="009D3B40"/>
    <w:rsid w:val="009D44F7"/>
    <w:rsid w:val="009E17CF"/>
    <w:rsid w:val="009E246C"/>
    <w:rsid w:val="009F0ADD"/>
    <w:rsid w:val="00A03B44"/>
    <w:rsid w:val="00A07420"/>
    <w:rsid w:val="00A1402B"/>
    <w:rsid w:val="00A21CCE"/>
    <w:rsid w:val="00A22050"/>
    <w:rsid w:val="00A23A78"/>
    <w:rsid w:val="00A24712"/>
    <w:rsid w:val="00A30564"/>
    <w:rsid w:val="00A30ABF"/>
    <w:rsid w:val="00A318BF"/>
    <w:rsid w:val="00A33A49"/>
    <w:rsid w:val="00A3681F"/>
    <w:rsid w:val="00A416BC"/>
    <w:rsid w:val="00A4542B"/>
    <w:rsid w:val="00A45520"/>
    <w:rsid w:val="00A46D95"/>
    <w:rsid w:val="00A51DD2"/>
    <w:rsid w:val="00A62EFB"/>
    <w:rsid w:val="00A65E39"/>
    <w:rsid w:val="00A77EE1"/>
    <w:rsid w:val="00A82D75"/>
    <w:rsid w:val="00A955A6"/>
    <w:rsid w:val="00AA3A41"/>
    <w:rsid w:val="00AC11B8"/>
    <w:rsid w:val="00AC6F76"/>
    <w:rsid w:val="00AD4E5C"/>
    <w:rsid w:val="00AD7DE7"/>
    <w:rsid w:val="00AE0841"/>
    <w:rsid w:val="00AE401B"/>
    <w:rsid w:val="00AE4FB8"/>
    <w:rsid w:val="00AF19EB"/>
    <w:rsid w:val="00AF1D81"/>
    <w:rsid w:val="00AF23D2"/>
    <w:rsid w:val="00AF2793"/>
    <w:rsid w:val="00AF72DF"/>
    <w:rsid w:val="00B00A59"/>
    <w:rsid w:val="00B00D7A"/>
    <w:rsid w:val="00B07F3F"/>
    <w:rsid w:val="00B121BA"/>
    <w:rsid w:val="00B122D1"/>
    <w:rsid w:val="00B1233F"/>
    <w:rsid w:val="00B12735"/>
    <w:rsid w:val="00B12CF1"/>
    <w:rsid w:val="00B14CB4"/>
    <w:rsid w:val="00B22F40"/>
    <w:rsid w:val="00B23BDC"/>
    <w:rsid w:val="00B255AF"/>
    <w:rsid w:val="00B346B2"/>
    <w:rsid w:val="00B375E3"/>
    <w:rsid w:val="00B40135"/>
    <w:rsid w:val="00B41CFD"/>
    <w:rsid w:val="00B42312"/>
    <w:rsid w:val="00B61F03"/>
    <w:rsid w:val="00B63B7C"/>
    <w:rsid w:val="00B65ECE"/>
    <w:rsid w:val="00B723F1"/>
    <w:rsid w:val="00B72569"/>
    <w:rsid w:val="00B75CE4"/>
    <w:rsid w:val="00B8000A"/>
    <w:rsid w:val="00B8550C"/>
    <w:rsid w:val="00B910E8"/>
    <w:rsid w:val="00B971ED"/>
    <w:rsid w:val="00BA1C17"/>
    <w:rsid w:val="00BA3720"/>
    <w:rsid w:val="00BA7D3D"/>
    <w:rsid w:val="00BB3F04"/>
    <w:rsid w:val="00BC722E"/>
    <w:rsid w:val="00BD067C"/>
    <w:rsid w:val="00BD20B0"/>
    <w:rsid w:val="00BD52A6"/>
    <w:rsid w:val="00BD6081"/>
    <w:rsid w:val="00BD764E"/>
    <w:rsid w:val="00BE06B7"/>
    <w:rsid w:val="00BE550E"/>
    <w:rsid w:val="00BF5BEB"/>
    <w:rsid w:val="00BF6CAB"/>
    <w:rsid w:val="00C03D9B"/>
    <w:rsid w:val="00C043DD"/>
    <w:rsid w:val="00C10321"/>
    <w:rsid w:val="00C10E0F"/>
    <w:rsid w:val="00C11CF6"/>
    <w:rsid w:val="00C156F9"/>
    <w:rsid w:val="00C164B2"/>
    <w:rsid w:val="00C210FC"/>
    <w:rsid w:val="00C34C39"/>
    <w:rsid w:val="00C52589"/>
    <w:rsid w:val="00C57345"/>
    <w:rsid w:val="00C60E00"/>
    <w:rsid w:val="00C62691"/>
    <w:rsid w:val="00C64DC5"/>
    <w:rsid w:val="00C6576E"/>
    <w:rsid w:val="00C72804"/>
    <w:rsid w:val="00C9293B"/>
    <w:rsid w:val="00C93603"/>
    <w:rsid w:val="00C93D54"/>
    <w:rsid w:val="00CA075D"/>
    <w:rsid w:val="00CA713C"/>
    <w:rsid w:val="00CA7E34"/>
    <w:rsid w:val="00CB3E12"/>
    <w:rsid w:val="00CB65DC"/>
    <w:rsid w:val="00CC3C28"/>
    <w:rsid w:val="00CD2EC7"/>
    <w:rsid w:val="00CD421A"/>
    <w:rsid w:val="00CD6FE3"/>
    <w:rsid w:val="00CE4813"/>
    <w:rsid w:val="00CF22A2"/>
    <w:rsid w:val="00CF2AD9"/>
    <w:rsid w:val="00CF4FAB"/>
    <w:rsid w:val="00CF5790"/>
    <w:rsid w:val="00D02662"/>
    <w:rsid w:val="00D02DF2"/>
    <w:rsid w:val="00D0422C"/>
    <w:rsid w:val="00D07036"/>
    <w:rsid w:val="00D1431A"/>
    <w:rsid w:val="00D170EC"/>
    <w:rsid w:val="00D234EB"/>
    <w:rsid w:val="00D40896"/>
    <w:rsid w:val="00D41F82"/>
    <w:rsid w:val="00D44707"/>
    <w:rsid w:val="00D51CDB"/>
    <w:rsid w:val="00D54F0D"/>
    <w:rsid w:val="00D61017"/>
    <w:rsid w:val="00D640FB"/>
    <w:rsid w:val="00D644FE"/>
    <w:rsid w:val="00D64D56"/>
    <w:rsid w:val="00D6787B"/>
    <w:rsid w:val="00D71CE2"/>
    <w:rsid w:val="00D8047B"/>
    <w:rsid w:val="00D833C9"/>
    <w:rsid w:val="00D86BDC"/>
    <w:rsid w:val="00D91C35"/>
    <w:rsid w:val="00D95BD8"/>
    <w:rsid w:val="00DA11F3"/>
    <w:rsid w:val="00DA19B9"/>
    <w:rsid w:val="00DA1B87"/>
    <w:rsid w:val="00DA26B0"/>
    <w:rsid w:val="00DA2FAD"/>
    <w:rsid w:val="00DA3D3E"/>
    <w:rsid w:val="00DA54BF"/>
    <w:rsid w:val="00DA6862"/>
    <w:rsid w:val="00DA6990"/>
    <w:rsid w:val="00DB0CBB"/>
    <w:rsid w:val="00DB6135"/>
    <w:rsid w:val="00DC2881"/>
    <w:rsid w:val="00DD1D2B"/>
    <w:rsid w:val="00DD2B49"/>
    <w:rsid w:val="00DD3FD2"/>
    <w:rsid w:val="00DD7D2E"/>
    <w:rsid w:val="00DE328B"/>
    <w:rsid w:val="00DE5CD9"/>
    <w:rsid w:val="00DE7322"/>
    <w:rsid w:val="00DF569D"/>
    <w:rsid w:val="00DF6B23"/>
    <w:rsid w:val="00DF7AB0"/>
    <w:rsid w:val="00E12ED4"/>
    <w:rsid w:val="00E17B7A"/>
    <w:rsid w:val="00E237AF"/>
    <w:rsid w:val="00E338E0"/>
    <w:rsid w:val="00E36605"/>
    <w:rsid w:val="00E40A64"/>
    <w:rsid w:val="00E46414"/>
    <w:rsid w:val="00E47A80"/>
    <w:rsid w:val="00E50242"/>
    <w:rsid w:val="00E60C93"/>
    <w:rsid w:val="00E610B1"/>
    <w:rsid w:val="00E61CEA"/>
    <w:rsid w:val="00E650B8"/>
    <w:rsid w:val="00E671FF"/>
    <w:rsid w:val="00E719BC"/>
    <w:rsid w:val="00E84108"/>
    <w:rsid w:val="00E858C1"/>
    <w:rsid w:val="00E92217"/>
    <w:rsid w:val="00E93405"/>
    <w:rsid w:val="00E94A57"/>
    <w:rsid w:val="00E97FCF"/>
    <w:rsid w:val="00EA3437"/>
    <w:rsid w:val="00EA5E51"/>
    <w:rsid w:val="00EB41C0"/>
    <w:rsid w:val="00EB5676"/>
    <w:rsid w:val="00EC0831"/>
    <w:rsid w:val="00EC1703"/>
    <w:rsid w:val="00EC1F4E"/>
    <w:rsid w:val="00EC3E9A"/>
    <w:rsid w:val="00EC3F54"/>
    <w:rsid w:val="00EC7241"/>
    <w:rsid w:val="00ED7209"/>
    <w:rsid w:val="00ED7742"/>
    <w:rsid w:val="00EE311F"/>
    <w:rsid w:val="00EF5A69"/>
    <w:rsid w:val="00F028CB"/>
    <w:rsid w:val="00F05055"/>
    <w:rsid w:val="00F12944"/>
    <w:rsid w:val="00F2217B"/>
    <w:rsid w:val="00F2338D"/>
    <w:rsid w:val="00F264ED"/>
    <w:rsid w:val="00F31123"/>
    <w:rsid w:val="00F32669"/>
    <w:rsid w:val="00F338CC"/>
    <w:rsid w:val="00F34AD8"/>
    <w:rsid w:val="00F429B6"/>
    <w:rsid w:val="00F44659"/>
    <w:rsid w:val="00F47FF8"/>
    <w:rsid w:val="00F51C09"/>
    <w:rsid w:val="00F51F20"/>
    <w:rsid w:val="00F538E3"/>
    <w:rsid w:val="00F5405E"/>
    <w:rsid w:val="00F54B6D"/>
    <w:rsid w:val="00F579B8"/>
    <w:rsid w:val="00F744E1"/>
    <w:rsid w:val="00F76DB2"/>
    <w:rsid w:val="00F76F7C"/>
    <w:rsid w:val="00F812F5"/>
    <w:rsid w:val="00F8311C"/>
    <w:rsid w:val="00F85F3A"/>
    <w:rsid w:val="00F8618D"/>
    <w:rsid w:val="00F90316"/>
    <w:rsid w:val="00F93C5F"/>
    <w:rsid w:val="00F94621"/>
    <w:rsid w:val="00F973D2"/>
    <w:rsid w:val="00FA032B"/>
    <w:rsid w:val="00FA7F64"/>
    <w:rsid w:val="00FD2A11"/>
    <w:rsid w:val="00FE5BCD"/>
    <w:rsid w:val="00FE7071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7324853-28E8-4883-92E1-57EF31D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semiHidden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2E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2E33"/>
    <w:rPr>
      <w:rFonts w:ascii="Calibri" w:eastAsia="Calibri" w:hAnsi="Calibri" w:cs="Times New Roman"/>
    </w:rPr>
  </w:style>
  <w:style w:type="character" w:customStyle="1" w:styleId="dxebaseaqua">
    <w:name w:val="dxebase_aqua"/>
    <w:basedOn w:val="a0"/>
    <w:rsid w:val="00817C23"/>
  </w:style>
  <w:style w:type="paragraph" w:customStyle="1" w:styleId="21">
    <w:name w:val="Обычный2"/>
    <w:basedOn w:val="a"/>
    <w:rsid w:val="00817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E246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E24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5B1889"/>
  </w:style>
  <w:style w:type="paragraph" w:styleId="af6">
    <w:name w:val="Revision"/>
    <w:hidden/>
    <w:uiPriority w:val="99"/>
    <w:semiHidden/>
    <w:rsid w:val="00C52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569B-4540-42DF-8904-6F71C22E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21</cp:revision>
  <cp:lastPrinted>2023-07-04T06:27:00Z</cp:lastPrinted>
  <dcterms:created xsi:type="dcterms:W3CDTF">2022-08-22T12:58:00Z</dcterms:created>
  <dcterms:modified xsi:type="dcterms:W3CDTF">2023-07-12T16:59:00Z</dcterms:modified>
</cp:coreProperties>
</file>