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41" w:rsidRDefault="002E4F41" w:rsidP="005C6C8C">
      <w:pPr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F479CA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5C6C8C" w:rsidRPr="005C6C8C" w:rsidRDefault="005C6C8C" w:rsidP="005C6C8C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5C6C8C" w:rsidRPr="005C6C8C" w:rsidRDefault="005C6C8C" w:rsidP="005C6C8C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5C6C8C" w:rsidRPr="005C6C8C" w:rsidRDefault="005C6C8C" w:rsidP="005C6C8C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2E4F41" w:rsidRPr="00F479CA" w:rsidRDefault="002E4F41" w:rsidP="005C6C8C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F479CA"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632D2" w:rsidRPr="00F479CA" w:rsidTr="005C6C8C">
        <w:tc>
          <w:tcPr>
            <w:tcW w:w="9356" w:type="dxa"/>
          </w:tcPr>
          <w:p w:rsidR="002632D2" w:rsidRPr="00F479CA" w:rsidRDefault="002632D2" w:rsidP="005C6C8C">
            <w:pPr>
              <w:jc w:val="center"/>
              <w:rPr>
                <w:rFonts w:eastAsiaTheme="minorHAnsi"/>
                <w:color w:val="FFFFFF" w:themeColor="background1"/>
                <w:sz w:val="28"/>
                <w:szCs w:val="28"/>
              </w:rPr>
            </w:pPr>
            <w:r w:rsidRPr="00F479CA">
              <w:rPr>
                <w:color w:val="FFFFFF" w:themeColor="background1"/>
                <w:sz w:val="28"/>
                <w:szCs w:val="28"/>
              </w:rPr>
              <w:t>[Ячейка: 1 интервал, ширина линии 16,5 см. Строка ниже: точно 2]</w:t>
            </w:r>
          </w:p>
        </w:tc>
      </w:tr>
    </w:tbl>
    <w:p w:rsidR="002632D2" w:rsidRPr="00F479CA" w:rsidRDefault="002632D2" w:rsidP="002632D2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2632D2" w:rsidRPr="00F479CA" w:rsidTr="00F03A0D">
        <w:tc>
          <w:tcPr>
            <w:tcW w:w="5494" w:type="dxa"/>
          </w:tcPr>
          <w:p w:rsidR="002632D2" w:rsidRPr="00F479CA" w:rsidRDefault="002632D2" w:rsidP="005C6C8C">
            <w:pPr>
              <w:spacing w:after="120"/>
              <w:rPr>
                <w:rFonts w:eastAsiaTheme="minorHAnsi"/>
                <w:b/>
                <w:sz w:val="28"/>
                <w:szCs w:val="28"/>
              </w:rPr>
            </w:pPr>
            <w:r w:rsidRPr="00826037">
              <w:rPr>
                <w:b/>
                <w:sz w:val="28"/>
                <w:szCs w:val="28"/>
              </w:rPr>
              <w:t>Флуориметрия</w:t>
            </w:r>
          </w:p>
        </w:tc>
        <w:tc>
          <w:tcPr>
            <w:tcW w:w="283" w:type="dxa"/>
          </w:tcPr>
          <w:p w:rsidR="002632D2" w:rsidRPr="00F479CA" w:rsidRDefault="002632D2" w:rsidP="005C6C8C">
            <w:pPr>
              <w:spacing w:after="12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632D2" w:rsidRPr="00F479CA" w:rsidRDefault="002632D2" w:rsidP="005C6C8C">
            <w:pPr>
              <w:spacing w:after="120"/>
              <w:rPr>
                <w:rFonts w:eastAsiaTheme="minorHAnsi"/>
                <w:b/>
                <w:sz w:val="28"/>
                <w:szCs w:val="28"/>
                <w:lang w:val="en-US"/>
              </w:rPr>
            </w:pPr>
            <w:r w:rsidRPr="00F479CA">
              <w:rPr>
                <w:b/>
                <w:color w:val="000000"/>
                <w:sz w:val="28"/>
                <w:szCs w:val="28"/>
              </w:rPr>
              <w:t>ОФС</w:t>
            </w:r>
            <w:r w:rsidR="00105378">
              <w:rPr>
                <w:b/>
                <w:color w:val="000000"/>
                <w:sz w:val="28"/>
                <w:szCs w:val="28"/>
              </w:rPr>
              <w:t>.1.2.1.1.0006</w:t>
            </w:r>
          </w:p>
        </w:tc>
      </w:tr>
      <w:tr w:rsidR="002632D2" w:rsidRPr="00F479CA" w:rsidTr="00F03A0D">
        <w:tc>
          <w:tcPr>
            <w:tcW w:w="5494" w:type="dxa"/>
          </w:tcPr>
          <w:p w:rsidR="002632D2" w:rsidRPr="00F479CA" w:rsidRDefault="002632D2" w:rsidP="005C6C8C">
            <w:pPr>
              <w:spacing w:after="120"/>
              <w:rPr>
                <w:rFonts w:eastAsiaTheme="min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2632D2" w:rsidRPr="00F479CA" w:rsidRDefault="002632D2" w:rsidP="005C6C8C">
            <w:pPr>
              <w:spacing w:after="120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632D2" w:rsidRPr="00F479CA" w:rsidRDefault="002632D2" w:rsidP="005C6C8C">
            <w:pPr>
              <w:spacing w:after="120"/>
              <w:rPr>
                <w:rFonts w:eastAsiaTheme="minorHAnsi"/>
                <w:b/>
                <w:sz w:val="28"/>
                <w:szCs w:val="28"/>
              </w:rPr>
            </w:pPr>
            <w:r w:rsidRPr="00F479CA">
              <w:rPr>
                <w:b/>
                <w:color w:val="000000"/>
                <w:sz w:val="28"/>
                <w:szCs w:val="28"/>
              </w:rPr>
              <w:t xml:space="preserve">Взамен </w:t>
            </w:r>
            <w:r w:rsidRPr="00826037">
              <w:rPr>
                <w:b/>
                <w:bCs/>
                <w:sz w:val="28"/>
                <w:szCs w:val="28"/>
              </w:rPr>
              <w:t>ОФС.1.2.1.1.0006.15</w:t>
            </w:r>
          </w:p>
        </w:tc>
      </w:tr>
    </w:tbl>
    <w:p w:rsidR="002632D2" w:rsidRPr="00F479CA" w:rsidRDefault="002632D2" w:rsidP="002632D2">
      <w:pPr>
        <w:spacing w:line="40" w:lineRule="exact"/>
        <w:jc w:val="center"/>
        <w:rPr>
          <w:rFonts w:eastAsiaTheme="minorHAnsi"/>
          <w:sz w:val="28"/>
          <w:szCs w:val="28"/>
        </w:rPr>
      </w:pPr>
    </w:p>
    <w:tbl>
      <w:tblPr>
        <w:tblStyle w:val="10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632D2" w:rsidRPr="00F479CA" w:rsidTr="005C6C8C">
        <w:tc>
          <w:tcPr>
            <w:tcW w:w="9356" w:type="dxa"/>
          </w:tcPr>
          <w:p w:rsidR="002632D2" w:rsidRPr="00F479CA" w:rsidRDefault="002632D2" w:rsidP="005C6C8C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2531D1" w:rsidRDefault="002531D1" w:rsidP="006B74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632D2" w:rsidRPr="006B7475" w:rsidRDefault="00244FAF" w:rsidP="006B74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7475">
        <w:rPr>
          <w:sz w:val="28"/>
          <w:szCs w:val="28"/>
        </w:rPr>
        <w:t>М</w:t>
      </w:r>
      <w:r w:rsidR="002632D2" w:rsidRPr="006B7475">
        <w:rPr>
          <w:sz w:val="28"/>
          <w:szCs w:val="28"/>
        </w:rPr>
        <w:t xml:space="preserve">етод </w:t>
      </w:r>
      <w:r w:rsidR="00F457D1" w:rsidRPr="006B7475">
        <w:rPr>
          <w:sz w:val="28"/>
          <w:szCs w:val="28"/>
        </w:rPr>
        <w:t>флуориметри</w:t>
      </w:r>
      <w:r w:rsidR="009D641A">
        <w:rPr>
          <w:sz w:val="28"/>
          <w:szCs w:val="28"/>
        </w:rPr>
        <w:t>и</w:t>
      </w:r>
      <w:r w:rsidR="00F457D1" w:rsidRPr="006B7475">
        <w:rPr>
          <w:sz w:val="28"/>
          <w:szCs w:val="28"/>
        </w:rPr>
        <w:t xml:space="preserve"> </w:t>
      </w:r>
      <w:r w:rsidR="002632D2" w:rsidRPr="006B7475">
        <w:rPr>
          <w:sz w:val="28"/>
          <w:szCs w:val="28"/>
        </w:rPr>
        <w:t>(или флуоресцентная спектрофотомерия),</w:t>
      </w:r>
      <w:r w:rsidRPr="006B7475">
        <w:rPr>
          <w:sz w:val="28"/>
          <w:szCs w:val="28"/>
        </w:rPr>
        <w:t xml:space="preserve"> основан</w:t>
      </w:r>
      <w:r w:rsidR="002632D2" w:rsidRPr="006B7475">
        <w:rPr>
          <w:sz w:val="28"/>
          <w:szCs w:val="28"/>
        </w:rPr>
        <w:t xml:space="preserve"> на измерении интенсивности </w:t>
      </w:r>
      <w:bookmarkStart w:id="0" w:name="_GoBack"/>
      <w:bookmarkEnd w:id="0"/>
      <w:r w:rsidR="002632D2" w:rsidRPr="006B7475">
        <w:rPr>
          <w:sz w:val="28"/>
          <w:szCs w:val="28"/>
        </w:rPr>
        <w:t>флуоресценции</w:t>
      </w:r>
      <w:r w:rsidR="00F457D1" w:rsidRPr="006B7475">
        <w:rPr>
          <w:sz w:val="28"/>
          <w:szCs w:val="28"/>
        </w:rPr>
        <w:t>,</w:t>
      </w:r>
      <w:r w:rsidR="002632D2" w:rsidRPr="006B7475">
        <w:rPr>
          <w:sz w:val="28"/>
          <w:szCs w:val="28"/>
        </w:rPr>
        <w:t xml:space="preserve"> излучаемой испытуемым </w:t>
      </w:r>
      <w:r w:rsidR="00567D1E">
        <w:rPr>
          <w:sz w:val="28"/>
          <w:szCs w:val="28"/>
        </w:rPr>
        <w:t>образцом</w:t>
      </w:r>
      <w:r w:rsidR="002632D2" w:rsidRPr="006B7475">
        <w:rPr>
          <w:sz w:val="28"/>
          <w:szCs w:val="28"/>
        </w:rPr>
        <w:t xml:space="preserve"> относительно флуоресценции, излучаемой стандартным образцом. </w:t>
      </w:r>
    </w:p>
    <w:p w:rsidR="002632D2" w:rsidRDefault="002632D2" w:rsidP="006B7475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D5D55">
        <w:rPr>
          <w:rFonts w:ascii="Times New Roman CYR" w:hAnsi="Times New Roman CYR" w:cs="Times New Roman CYR"/>
          <w:b/>
          <w:sz w:val="28"/>
          <w:szCs w:val="28"/>
        </w:rPr>
        <w:t>Область применения</w:t>
      </w:r>
    </w:p>
    <w:p w:rsidR="002632D2" w:rsidRPr="006B7475" w:rsidRDefault="002632D2" w:rsidP="003948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7475">
        <w:rPr>
          <w:sz w:val="28"/>
          <w:szCs w:val="28"/>
        </w:rPr>
        <w:t>Спектры флуоресценции специфичны для определяемых веществ</w:t>
      </w:r>
      <w:r w:rsidR="00F457D1" w:rsidRPr="006B7475">
        <w:rPr>
          <w:sz w:val="28"/>
          <w:szCs w:val="28"/>
        </w:rPr>
        <w:t>, п</w:t>
      </w:r>
      <w:r w:rsidRPr="006B7475">
        <w:rPr>
          <w:sz w:val="28"/>
          <w:szCs w:val="28"/>
        </w:rPr>
        <w:t xml:space="preserve">оэтому </w:t>
      </w:r>
      <w:r w:rsidR="00F457D1" w:rsidRPr="006B7475">
        <w:rPr>
          <w:sz w:val="28"/>
          <w:szCs w:val="28"/>
        </w:rPr>
        <w:t xml:space="preserve">данный метод </w:t>
      </w:r>
      <w:r w:rsidR="00BD5C2D">
        <w:rPr>
          <w:sz w:val="28"/>
          <w:szCs w:val="28"/>
        </w:rPr>
        <w:t>может быть применё</w:t>
      </w:r>
      <w:r w:rsidRPr="006B7475">
        <w:rPr>
          <w:sz w:val="28"/>
          <w:szCs w:val="28"/>
        </w:rPr>
        <w:t>н для их идентификации. При количественных определениях интенсивность флуоресценции раствора испытуемого образца сравнивают с интенсивностью флуоресценции раствора стандартного образца флуоресцирующего вещества известной концентрации, измеренной в идентичных условиях на одном и том же приборе.</w:t>
      </w:r>
    </w:p>
    <w:p w:rsidR="00E20324" w:rsidRPr="006B7475" w:rsidRDefault="002632D2" w:rsidP="00E2032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6B7475">
        <w:rPr>
          <w:sz w:val="28"/>
          <w:szCs w:val="28"/>
        </w:rPr>
        <w:t>Метод флуориметрии в 10–100 раз чувствительнее абсорбционной спектрофотометрии, но флуоресцентными свойствами обладает только ограниченный круг соединений: ароматические, особенно с конденсированными структурами, гетероциклические и карбонильные соединения. Из фармацевтических субстанций определению методом флуориметрии подлежат</w:t>
      </w:r>
      <w:r w:rsidR="002531D1">
        <w:rPr>
          <w:sz w:val="28"/>
          <w:szCs w:val="28"/>
        </w:rPr>
        <w:t>, например</w:t>
      </w:r>
      <w:r w:rsidRPr="006B7475">
        <w:rPr>
          <w:sz w:val="28"/>
          <w:szCs w:val="28"/>
        </w:rPr>
        <w:t>: аминокислоты (фенилаланин, триптофан, тирозин), алкалоиды (стрихнин, резерпин, хинин), витамины (фолиевая кислота, рибофлавин, ретинола ацетат), стероидные гормоны (этинилэстрадиол).</w:t>
      </w:r>
      <w:r w:rsidRPr="006B7475">
        <w:rPr>
          <w:b/>
          <w:bCs/>
          <w:i/>
          <w:iCs/>
          <w:sz w:val="28"/>
          <w:szCs w:val="28"/>
        </w:rPr>
        <w:t xml:space="preserve"> </w:t>
      </w:r>
    </w:p>
    <w:p w:rsidR="002632D2" w:rsidRPr="00DD5D55" w:rsidRDefault="00B667DD" w:rsidP="003931D7">
      <w:pPr>
        <w:keepNext/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М</w:t>
      </w:r>
      <w:r w:rsidR="002632D2">
        <w:rPr>
          <w:rFonts w:ascii="Times New Roman CYR" w:hAnsi="Times New Roman CYR" w:cs="Times New Roman CYR"/>
          <w:b/>
          <w:sz w:val="28"/>
          <w:szCs w:val="28"/>
        </w:rPr>
        <w:t>етод</w:t>
      </w:r>
    </w:p>
    <w:p w:rsidR="002632D2" w:rsidRPr="00BB3AC9" w:rsidRDefault="002632D2" w:rsidP="00BB3A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3AC9">
        <w:rPr>
          <w:sz w:val="28"/>
          <w:szCs w:val="28"/>
        </w:rPr>
        <w:t xml:space="preserve">Флуоресценция (один из видов люминесценции) – испускание света химическим веществом, находящимся в возбуждённом состоянии, при переходе в основное состояние. Первоначальный переход вещества из основного в возбуждённое состояние происходит при этом виде люминесценции за счёт поглощения им световой энергии при облучении ультрафиолетовым, видимым или иным электромагнитным излучением. Флуоресценция органических соединений охватывает </w:t>
      </w:r>
      <w:r w:rsidR="00F457D1" w:rsidRPr="00BB3AC9">
        <w:rPr>
          <w:sz w:val="28"/>
          <w:szCs w:val="28"/>
        </w:rPr>
        <w:t>область спектра</w:t>
      </w:r>
      <w:r w:rsidRPr="00BB3AC9">
        <w:rPr>
          <w:sz w:val="28"/>
          <w:szCs w:val="28"/>
        </w:rPr>
        <w:t xml:space="preserve"> от 200 до 830 нм.</w:t>
      </w:r>
    </w:p>
    <w:p w:rsidR="002632D2" w:rsidRPr="00BB3AC9" w:rsidRDefault="002632D2" w:rsidP="00BB3AC9">
      <w:pPr>
        <w:spacing w:line="360" w:lineRule="auto"/>
        <w:ind w:firstLine="709"/>
        <w:jc w:val="both"/>
        <w:rPr>
          <w:sz w:val="28"/>
          <w:szCs w:val="28"/>
        </w:rPr>
      </w:pPr>
      <w:r w:rsidRPr="00BB3AC9">
        <w:rPr>
          <w:sz w:val="28"/>
          <w:szCs w:val="28"/>
        </w:rPr>
        <w:t>Как правило, длина волны флуоресцентного излучения больше длины волны возбуждения на 20–30 нм и более из-за потери части энергии в возбуждённом состоянии (Стоксов сдвиг). П</w:t>
      </w:r>
      <w:r w:rsidR="005E3945">
        <w:rPr>
          <w:sz w:val="28"/>
          <w:szCs w:val="28"/>
        </w:rPr>
        <w:t>оглощение и</w:t>
      </w:r>
      <w:r w:rsidRPr="00BB3AC9">
        <w:rPr>
          <w:sz w:val="28"/>
          <w:szCs w:val="28"/>
        </w:rPr>
        <w:t xml:space="preserve"> испускание излучения осу</w:t>
      </w:r>
      <w:r w:rsidR="00FF77E8">
        <w:rPr>
          <w:sz w:val="28"/>
          <w:szCs w:val="28"/>
        </w:rPr>
        <w:t xml:space="preserve">ществляется благодаря переходу электронов между различными </w:t>
      </w:r>
      <w:r w:rsidRPr="00BB3AC9">
        <w:rPr>
          <w:sz w:val="28"/>
          <w:szCs w:val="28"/>
        </w:rPr>
        <w:t>энергетическими уровнями или молекулярными орбиталями. Испускание света происходит через определённый промежуток времени после его поглощения; этот промежуток времени представляет собой длительность пребывания молекулы в возбуждённом состоянии. Для большинства флуоресцирующих веществ время затухания флуоресценции составляет обычно 10</w:t>
      </w:r>
      <w:r w:rsidR="00601679" w:rsidRPr="00BB3AC9">
        <w:rPr>
          <w:sz w:val="28"/>
          <w:szCs w:val="28"/>
          <w:vertAlign w:val="superscript"/>
        </w:rPr>
        <w:t>−</w:t>
      </w:r>
      <w:r w:rsidRPr="00BB3AC9">
        <w:rPr>
          <w:sz w:val="28"/>
          <w:szCs w:val="28"/>
          <w:vertAlign w:val="superscript"/>
        </w:rPr>
        <w:t>9</w:t>
      </w:r>
      <w:r w:rsidRPr="00BB3AC9">
        <w:rPr>
          <w:sz w:val="28"/>
          <w:szCs w:val="28"/>
        </w:rPr>
        <w:t>–10</w:t>
      </w:r>
      <w:r w:rsidR="00601679" w:rsidRPr="00BB3AC9">
        <w:rPr>
          <w:sz w:val="28"/>
          <w:szCs w:val="28"/>
          <w:vertAlign w:val="superscript"/>
        </w:rPr>
        <w:t>−</w:t>
      </w:r>
      <w:r w:rsidRPr="00BB3AC9">
        <w:rPr>
          <w:sz w:val="28"/>
          <w:szCs w:val="28"/>
          <w:vertAlign w:val="superscript"/>
        </w:rPr>
        <w:t>8</w:t>
      </w:r>
      <w:r w:rsidR="00601679" w:rsidRPr="00BB3AC9">
        <w:rPr>
          <w:sz w:val="28"/>
          <w:szCs w:val="28"/>
          <w:vertAlign w:val="superscript"/>
        </w:rPr>
        <w:t> </w:t>
      </w:r>
      <w:r w:rsidRPr="00BB3AC9">
        <w:rPr>
          <w:sz w:val="28"/>
          <w:szCs w:val="28"/>
        </w:rPr>
        <w:t>с. Короткое время жизни флуоресценции отличает этот тип люминесценции от фосфоресценции, которая представляет собой долгоживущее свечение, имеющее время жизни от 10</w:t>
      </w:r>
      <w:r w:rsidR="00601679" w:rsidRPr="00BB3AC9">
        <w:rPr>
          <w:sz w:val="28"/>
          <w:szCs w:val="28"/>
          <w:vertAlign w:val="superscript"/>
        </w:rPr>
        <w:t>−</w:t>
      </w:r>
      <w:r w:rsidRPr="00BB3AC9">
        <w:rPr>
          <w:sz w:val="28"/>
          <w:szCs w:val="28"/>
          <w:vertAlign w:val="superscript"/>
        </w:rPr>
        <w:t>3</w:t>
      </w:r>
      <w:r w:rsidR="00601679" w:rsidRPr="00BB3AC9">
        <w:rPr>
          <w:sz w:val="28"/>
          <w:szCs w:val="28"/>
        </w:rPr>
        <w:t> </w:t>
      </w:r>
      <w:r w:rsidRPr="00BB3AC9">
        <w:rPr>
          <w:sz w:val="28"/>
          <w:szCs w:val="28"/>
        </w:rPr>
        <w:t>с до нескольких мин.</w:t>
      </w:r>
    </w:p>
    <w:p w:rsidR="002632D2" w:rsidRPr="00BB3AC9" w:rsidRDefault="002632D2" w:rsidP="00BB3A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B3AC9">
        <w:rPr>
          <w:sz w:val="28"/>
          <w:szCs w:val="28"/>
        </w:rPr>
        <w:t xml:space="preserve">Интенсивность флуоресценции измеряется в условных единицах, пропорциональных отклику детектора и обозначается символом </w:t>
      </w:r>
      <w:r w:rsidRPr="00BB3AC9">
        <w:rPr>
          <w:i/>
          <w:sz w:val="28"/>
          <w:szCs w:val="28"/>
          <w:lang w:val="en-US"/>
        </w:rPr>
        <w:t>I</w:t>
      </w:r>
      <w:r w:rsidRPr="00BB3AC9">
        <w:rPr>
          <w:sz w:val="28"/>
          <w:szCs w:val="28"/>
        </w:rPr>
        <w:t>.</w:t>
      </w:r>
    </w:p>
    <w:p w:rsidR="002632D2" w:rsidRDefault="002632D2" w:rsidP="008B1A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3AC9">
        <w:rPr>
          <w:bCs/>
          <w:color w:val="000000"/>
          <w:sz w:val="28"/>
          <w:szCs w:val="28"/>
        </w:rPr>
        <w:t>Спектр испускания флуоресценции</w:t>
      </w:r>
      <w:r w:rsidRPr="00BB3AC9">
        <w:rPr>
          <w:color w:val="000000"/>
          <w:sz w:val="28"/>
          <w:szCs w:val="28"/>
        </w:rPr>
        <w:t xml:space="preserve"> представляет собой зависимость интенсивности флуоресценции от длины волны (в нм) или частоты (в см</w:t>
      </w:r>
      <w:r w:rsidR="00524290" w:rsidRPr="00BB3AC9">
        <w:rPr>
          <w:sz w:val="28"/>
          <w:szCs w:val="28"/>
          <w:vertAlign w:val="superscript"/>
        </w:rPr>
        <w:t>−</w:t>
      </w:r>
      <w:r w:rsidRPr="00BB3AC9">
        <w:rPr>
          <w:color w:val="000000"/>
          <w:sz w:val="28"/>
          <w:szCs w:val="28"/>
          <w:vertAlign w:val="superscript"/>
        </w:rPr>
        <w:t>1</w:t>
      </w:r>
      <w:r w:rsidRPr="00BB3AC9">
        <w:rPr>
          <w:color w:val="000000"/>
          <w:sz w:val="28"/>
          <w:szCs w:val="28"/>
        </w:rPr>
        <w:t>)</w:t>
      </w:r>
      <w:r w:rsidRPr="00BB3AC9">
        <w:rPr>
          <w:sz w:val="28"/>
          <w:szCs w:val="28"/>
        </w:rPr>
        <w:t xml:space="preserve"> при заданной длине волны возбуждения. Спектр возбуждения флуоресценции представляет собой зависимость интенсивности излучения в максимуме испускания флуорофора от длины волны или частоты возбуждающего света. При этом спектр возбуждения обычно совпадает со</w:t>
      </w:r>
      <w:r w:rsidR="00E203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5318">
        <w:rPr>
          <w:rFonts w:ascii="Times New Roman CYR" w:hAnsi="Times New Roman CYR" w:cs="Times New Roman CYR"/>
          <w:sz w:val="28"/>
          <w:szCs w:val="28"/>
        </w:rPr>
        <w:lastRenderedPageBreak/>
        <w:t>спектром поглощения, так же как и интенсивность флуоресценции пропорциональна светопоглощению. Комбинирование спектров испускания, полученных при различных длинах волн возбуждения, даёт трёхмерную карту испускания.</w:t>
      </w:r>
    </w:p>
    <w:p w:rsidR="00A302AE" w:rsidRPr="00F40D7D" w:rsidRDefault="00A302AE" w:rsidP="00A30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D7D">
        <w:rPr>
          <w:sz w:val="28"/>
          <w:szCs w:val="28"/>
        </w:rPr>
        <w:t xml:space="preserve">Интенсивность флуоресценции зависит от: </w:t>
      </w:r>
    </w:p>
    <w:p w:rsidR="00A302AE" w:rsidRPr="00F40D7D" w:rsidRDefault="00A302AE" w:rsidP="00A30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D7D">
        <w:rPr>
          <w:sz w:val="28"/>
          <w:szCs w:val="28"/>
        </w:rPr>
        <w:t>- температуры;</w:t>
      </w:r>
    </w:p>
    <w:p w:rsidR="00A302AE" w:rsidRPr="00F40D7D" w:rsidRDefault="00A302AE" w:rsidP="00A30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D7D">
        <w:rPr>
          <w:sz w:val="28"/>
          <w:szCs w:val="28"/>
        </w:rPr>
        <w:t>- растворителя;</w:t>
      </w:r>
    </w:p>
    <w:p w:rsidR="00A302AE" w:rsidRPr="00F40D7D" w:rsidRDefault="00A302AE" w:rsidP="00A30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D7D">
        <w:rPr>
          <w:sz w:val="28"/>
          <w:szCs w:val="28"/>
        </w:rPr>
        <w:t>- величины рН испытуемого раствора;</w:t>
      </w:r>
    </w:p>
    <w:p w:rsidR="00A302AE" w:rsidRPr="00F40D7D" w:rsidRDefault="00A302AE" w:rsidP="00A30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D7D">
        <w:rPr>
          <w:sz w:val="28"/>
          <w:szCs w:val="28"/>
        </w:rPr>
        <w:t>- присутствия в растворе посторонних частиц;</w:t>
      </w:r>
    </w:p>
    <w:p w:rsidR="00A302AE" w:rsidRPr="00F40D7D" w:rsidRDefault="00A302AE" w:rsidP="00A30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D7D">
        <w:rPr>
          <w:sz w:val="28"/>
          <w:szCs w:val="28"/>
        </w:rPr>
        <w:t>- концентрации кислорода в испытуемом растворе;</w:t>
      </w:r>
    </w:p>
    <w:p w:rsidR="00A302AE" w:rsidRPr="00F40D7D" w:rsidRDefault="00A302AE" w:rsidP="00A30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D7D">
        <w:rPr>
          <w:sz w:val="28"/>
          <w:szCs w:val="28"/>
        </w:rPr>
        <w:t>- постороннего освещения.</w:t>
      </w:r>
    </w:p>
    <w:p w:rsidR="00A302AE" w:rsidRPr="00F40D7D" w:rsidRDefault="00A302AE" w:rsidP="00A30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D7D">
        <w:rPr>
          <w:sz w:val="28"/>
          <w:szCs w:val="28"/>
        </w:rPr>
        <w:t>Эффективность флуоресценции обратно пропорциональна температуре. Для некоторых веществ эффективность флуоресценции может снижаться на 1,0–2,0 % при повышении температуры на 1 °С. В таких случаях требуется термостатирование образцов.</w:t>
      </w:r>
    </w:p>
    <w:p w:rsidR="00A302AE" w:rsidRPr="00F40D7D" w:rsidRDefault="00A302AE" w:rsidP="00A30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D7D">
        <w:rPr>
          <w:sz w:val="28"/>
          <w:szCs w:val="28"/>
        </w:rPr>
        <w:t>Флуоресценцию определяют в растворах с концентрацией от 10</w:t>
      </w:r>
      <w:r w:rsidRPr="00F40D7D">
        <w:rPr>
          <w:sz w:val="28"/>
          <w:szCs w:val="28"/>
          <w:vertAlign w:val="superscript"/>
        </w:rPr>
        <w:t>−5 </w:t>
      </w:r>
      <w:r w:rsidRPr="00F40D7D">
        <w:rPr>
          <w:sz w:val="28"/>
          <w:szCs w:val="28"/>
        </w:rPr>
        <w:t>М и менее, в диапазоне, для которого наблюдается прямая зависимость интенсивности флуоресценции от концентрации. При более высоких концентрациях всё более значительная часть поступающего света абсорбируется образцом вблизи поверхности кюветы, и линейная зависимость величины сигнала от концентрации определяемого вещества нарушается.</w:t>
      </w:r>
    </w:p>
    <w:p w:rsidR="00A302AE" w:rsidRPr="00F40D7D" w:rsidRDefault="00A302AE" w:rsidP="00A30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D7D">
        <w:rPr>
          <w:sz w:val="28"/>
          <w:szCs w:val="28"/>
        </w:rPr>
        <w:t>Интенсивность и спектральное распределение флуоресценции зависит от растворителя.</w:t>
      </w:r>
      <w:r w:rsidRPr="00F40D7D">
        <w:t xml:space="preserve"> </w:t>
      </w:r>
      <w:r w:rsidRPr="00F40D7D">
        <w:rPr>
          <w:sz w:val="28"/>
          <w:szCs w:val="28"/>
        </w:rPr>
        <w:t xml:space="preserve">Растворитель, используемый для измерения, должен быть правильно подобран. Его чистота и рН могут заметно влиять на результат испытаний. Многие соединения, флуоресцирующие в органических растворителях, </w:t>
      </w:r>
      <w:r>
        <w:rPr>
          <w:sz w:val="28"/>
          <w:szCs w:val="28"/>
        </w:rPr>
        <w:t>практически</w:t>
      </w:r>
      <w:r w:rsidRPr="00F40D7D">
        <w:rPr>
          <w:sz w:val="28"/>
          <w:szCs w:val="28"/>
        </w:rPr>
        <w:t xml:space="preserve"> не флуоресцируют в воде. Все замеры интенсивности флуоресценции должны быть скорректированы </w:t>
      </w:r>
      <w:r>
        <w:rPr>
          <w:sz w:val="28"/>
          <w:szCs w:val="28"/>
        </w:rPr>
        <w:t>относительно растворителя</w:t>
      </w:r>
      <w:r w:rsidRPr="00F40D7D">
        <w:rPr>
          <w:sz w:val="28"/>
          <w:szCs w:val="28"/>
        </w:rPr>
        <w:t>.</w:t>
      </w:r>
    </w:p>
    <w:p w:rsidR="00A302AE" w:rsidRPr="00B64598" w:rsidRDefault="00A302AE" w:rsidP="00A30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0D7D">
        <w:rPr>
          <w:sz w:val="28"/>
          <w:szCs w:val="28"/>
        </w:rPr>
        <w:t>Перед измерением флуоресценции из испытуемого раствора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4598">
        <w:rPr>
          <w:sz w:val="28"/>
          <w:szCs w:val="28"/>
        </w:rPr>
        <w:lastRenderedPageBreak/>
        <w:t>фильтрованием или центрифугированием должны быть удалены твёрдые частицы, так как они могут поглощать некоторую долю возбуждающей энергии, дезактивировать возбужденные молекулы или завышать измеряемую величину из-за многократных отражений в кювете с образцом. При фильтровании через фильтр следует учитывать, что материал фильтра может содержать флуоресцентные примеси.</w:t>
      </w:r>
    </w:p>
    <w:p w:rsidR="00A302AE" w:rsidRPr="00B64598" w:rsidRDefault="00A302AE" w:rsidP="00A30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4598">
        <w:rPr>
          <w:sz w:val="28"/>
          <w:szCs w:val="28"/>
        </w:rPr>
        <w:t>Интенсивность флуоресценции обратно пропорциональна концентрации кислорода, являющегося сильным гасителем флуоресценции. По степени тушения флуоресценции можно определять концентрацию кислорода в окружающей среде. Для удаления кислорода через испытуемый образец пропускают азот или гелий.</w:t>
      </w:r>
    </w:p>
    <w:p w:rsidR="00A302AE" w:rsidRDefault="00A302AE" w:rsidP="00A302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4598">
        <w:rPr>
          <w:sz w:val="28"/>
          <w:szCs w:val="28"/>
        </w:rPr>
        <w:t>Большинство флуоресцирующих веществ чувствительно к свету. Во время облучения во флуориметре они могут подвергаться фоторазложению с образованием других флуоресцирующих продукт</w:t>
      </w:r>
      <w:r w:rsidR="00080B5A">
        <w:rPr>
          <w:sz w:val="28"/>
          <w:szCs w:val="28"/>
        </w:rPr>
        <w:t>ов. Такие эффекты обнаруживают</w:t>
      </w:r>
      <w:r w:rsidRPr="00B64598">
        <w:rPr>
          <w:sz w:val="28"/>
          <w:szCs w:val="28"/>
        </w:rPr>
        <w:t xml:space="preserve"> при наблюдении за показаниями детектора во времени и могут быть снижены путём приглушения света с помощью светофильтров или экранов.</w:t>
      </w:r>
    </w:p>
    <w:p w:rsidR="009649FE" w:rsidRDefault="009649FE" w:rsidP="009649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0D7D">
        <w:rPr>
          <w:color w:val="000000"/>
          <w:sz w:val="28"/>
          <w:szCs w:val="28"/>
        </w:rPr>
        <w:t xml:space="preserve">Шкала длин волн </w:t>
      </w:r>
      <w:r w:rsidRPr="00F40D7D">
        <w:rPr>
          <w:sz w:val="28"/>
          <w:szCs w:val="28"/>
        </w:rPr>
        <w:t xml:space="preserve">фильтрационных флуориметров и спектрофлуориметров </w:t>
      </w:r>
      <w:r w:rsidRPr="00F40D7D">
        <w:rPr>
          <w:color w:val="000000"/>
          <w:sz w:val="28"/>
          <w:szCs w:val="28"/>
        </w:rPr>
        <w:t>должна периодически калиброваться.</w:t>
      </w:r>
    </w:p>
    <w:p w:rsidR="002632D2" w:rsidRDefault="002632D2" w:rsidP="008B1AD6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Оборудование</w:t>
      </w:r>
    </w:p>
    <w:p w:rsidR="002632D2" w:rsidRPr="00235353" w:rsidRDefault="002632D2" w:rsidP="008B1A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25318">
        <w:rPr>
          <w:rFonts w:ascii="Times New Roman CYR" w:hAnsi="Times New Roman CYR" w:cs="Times New Roman CYR"/>
          <w:sz w:val="28"/>
          <w:szCs w:val="28"/>
        </w:rPr>
        <w:t xml:space="preserve">Для проведения флуориметрического </w:t>
      </w:r>
      <w:r w:rsidR="00F56240">
        <w:rPr>
          <w:rFonts w:ascii="Times New Roman CYR" w:hAnsi="Times New Roman CYR" w:cs="Times New Roman CYR"/>
          <w:sz w:val="28"/>
          <w:szCs w:val="28"/>
        </w:rPr>
        <w:t>испытания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 используют приборы двух типов: </w:t>
      </w:r>
      <w:r w:rsidRPr="00235353">
        <w:rPr>
          <w:rFonts w:ascii="Times New Roman CYR" w:hAnsi="Times New Roman CYR" w:cs="Times New Roman CYR"/>
          <w:sz w:val="28"/>
          <w:szCs w:val="28"/>
        </w:rPr>
        <w:t>фильтрационный флуориметр и спектрофлуориметр.</w:t>
      </w:r>
    </w:p>
    <w:p w:rsidR="002632D2" w:rsidRPr="00E25318" w:rsidRDefault="002632D2" w:rsidP="008B1A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35353">
        <w:rPr>
          <w:rFonts w:ascii="Times New Roman CYR" w:hAnsi="Times New Roman CYR" w:cs="Times New Roman CYR"/>
          <w:b/>
          <w:i/>
          <w:iCs/>
          <w:sz w:val="28"/>
          <w:szCs w:val="28"/>
        </w:rPr>
        <w:t>Фильтрационный флуориметр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 состоит из источника излучения, первичного фильтра длин волн, камеры для образца, вторичного фильтра длин волн и системы детектирования флуоресценц</w:t>
      </w:r>
      <w:r w:rsidR="00F97389">
        <w:rPr>
          <w:rFonts w:ascii="Times New Roman CYR" w:hAnsi="Times New Roman CYR" w:cs="Times New Roman CYR"/>
          <w:sz w:val="28"/>
          <w:szCs w:val="28"/>
        </w:rPr>
        <w:t>ии. Как правило, детектор помещё</w:t>
      </w:r>
      <w:r w:rsidRPr="00E25318">
        <w:rPr>
          <w:rFonts w:ascii="Times New Roman CYR" w:hAnsi="Times New Roman CYR" w:cs="Times New Roman CYR"/>
          <w:sz w:val="28"/>
          <w:szCs w:val="28"/>
        </w:rPr>
        <w:t>н под углом 90</w:t>
      </w:r>
      <w:r w:rsidR="00DB03AC" w:rsidRPr="00394861">
        <w:rPr>
          <w:rFonts w:ascii="Times New Roman CYR" w:hAnsi="Times New Roman CYR" w:cs="Times New Roman CYR"/>
          <w:sz w:val="28"/>
          <w:szCs w:val="28"/>
        </w:rPr>
        <w:t>°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 к возбуждающему световому потоку. Геометрия прямого угла предусматривает</w:t>
      </w:r>
      <w:r w:rsidR="0018512D">
        <w:rPr>
          <w:rFonts w:ascii="Times New Roman CYR" w:hAnsi="Times New Roman CYR" w:cs="Times New Roman CYR"/>
          <w:sz w:val="28"/>
          <w:szCs w:val="28"/>
        </w:rPr>
        <w:t xml:space="preserve"> детектирование только произведё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нного флуоресцентного сигнала. </w:t>
      </w:r>
      <w:r w:rsidR="00F457D1">
        <w:rPr>
          <w:rFonts w:ascii="Times New Roman CYR" w:hAnsi="Times New Roman CYR" w:cs="Times New Roman CYR"/>
          <w:sz w:val="28"/>
          <w:szCs w:val="28"/>
        </w:rPr>
        <w:t>Д</w:t>
      </w:r>
      <w:r w:rsidR="00F457D1" w:rsidRPr="00E25318">
        <w:rPr>
          <w:rFonts w:ascii="Times New Roman CYR" w:hAnsi="Times New Roman CYR" w:cs="Times New Roman CYR"/>
          <w:sz w:val="28"/>
          <w:szCs w:val="28"/>
        </w:rPr>
        <w:t xml:space="preserve">етектор 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получает часть возбуждающего излучения в результате рассеивающих свойств самого раствора, а также </w:t>
      </w:r>
      <w:r w:rsidR="00236B45">
        <w:rPr>
          <w:rFonts w:ascii="Times New Roman CYR" w:hAnsi="Times New Roman CYR" w:cs="Times New Roman CYR"/>
          <w:sz w:val="28"/>
          <w:szCs w:val="28"/>
        </w:rPr>
        <w:t>из-за присутствия в растворе твё</w:t>
      </w:r>
      <w:r w:rsidRPr="00E25318">
        <w:rPr>
          <w:rFonts w:ascii="Times New Roman CYR" w:hAnsi="Times New Roman CYR" w:cs="Times New Roman CYR"/>
          <w:sz w:val="28"/>
          <w:szCs w:val="28"/>
        </w:rPr>
        <w:t>рдых частиц. Для устранения этого остаточн</w:t>
      </w:r>
      <w:r w:rsidR="00E7338A">
        <w:rPr>
          <w:rFonts w:ascii="Times New Roman CYR" w:hAnsi="Times New Roman CYR" w:cs="Times New Roman CYR"/>
          <w:sz w:val="28"/>
          <w:szCs w:val="28"/>
        </w:rPr>
        <w:t xml:space="preserve">ого </w:t>
      </w:r>
      <w:r w:rsidR="00E7338A">
        <w:rPr>
          <w:rFonts w:ascii="Times New Roman CYR" w:hAnsi="Times New Roman CYR" w:cs="Times New Roman CYR"/>
          <w:sz w:val="28"/>
          <w:szCs w:val="28"/>
        </w:rPr>
        <w:lastRenderedPageBreak/>
        <w:t>рассеяния используют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 спектральные фильтры. Первичный фильтр отбирает коротковолновое излучение, способное к возбуждению испытуемых образцов, вторичный фильтр пропускает флуоресценцию в длинноволновой области, но блокирует рассеянное возбуждение.</w:t>
      </w:r>
    </w:p>
    <w:p w:rsidR="002632D2" w:rsidRDefault="002632D2" w:rsidP="008B1A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E25318">
        <w:rPr>
          <w:rFonts w:ascii="Times New Roman CYR" w:hAnsi="Times New Roman CYR" w:cs="Times New Roman CYR"/>
          <w:sz w:val="28"/>
          <w:szCs w:val="28"/>
        </w:rPr>
        <w:t xml:space="preserve">Детекторы флуориметров преобразуют оптический сигнал в электрический с помощью фотоумножителей разных типов. Каждый тип детектора имеет специальные характеристики: спектральная область максимальной чувствительности, степень усиления, соотношение сигнал/шум. </w:t>
      </w:r>
    </w:p>
    <w:p w:rsidR="002632D2" w:rsidRPr="00E162BF" w:rsidRDefault="002632D2" w:rsidP="008B1A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35353">
        <w:rPr>
          <w:rFonts w:ascii="Times New Roman CYR" w:hAnsi="Times New Roman CYR" w:cs="Times New Roman CYR"/>
          <w:b/>
          <w:i/>
          <w:iCs/>
          <w:sz w:val="28"/>
          <w:szCs w:val="28"/>
        </w:rPr>
        <w:t>Спектрофлуориметры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 отличаются от фильтрационных флуориметров тем, что вместо спектрал</w:t>
      </w:r>
      <w:r w:rsidR="00114997">
        <w:rPr>
          <w:rFonts w:ascii="Times New Roman CYR" w:hAnsi="Times New Roman CYR" w:cs="Times New Roman CYR"/>
          <w:sz w:val="28"/>
          <w:szCs w:val="28"/>
        </w:rPr>
        <w:t>ьных фильтров в них используют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 монохроматоры типа призмы или реш</w:t>
      </w:r>
      <w:r w:rsidR="00A20490">
        <w:rPr>
          <w:rFonts w:ascii="Times New Roman CYR" w:hAnsi="Times New Roman CYR" w:cs="Times New Roman CYR"/>
          <w:sz w:val="28"/>
          <w:szCs w:val="28"/>
        </w:rPr>
        <w:t>ё</w:t>
      </w:r>
      <w:r w:rsidRPr="00E25318">
        <w:rPr>
          <w:rFonts w:ascii="Times New Roman CYR" w:hAnsi="Times New Roman CYR" w:cs="Times New Roman CYR"/>
          <w:sz w:val="28"/>
          <w:szCs w:val="28"/>
        </w:rPr>
        <w:t>тки. Эти приборы более предпочтительны для аналитических целей. В спектрофлуориметрах монохроматоры снабжены щелями. Чем уже щель, тем выше разрешение и спектральная чистота, но</w:t>
      </w:r>
      <w:r w:rsidR="00F457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меньше чувствительность. Выбор размера щели определяется разделением </w:t>
      </w:r>
      <w:r w:rsidRPr="00E162BF">
        <w:rPr>
          <w:sz w:val="28"/>
          <w:szCs w:val="28"/>
        </w:rPr>
        <w:t>между длинами волн возбуждающего и испускаемого излучения и необходимым уровнем чувствительности.</w:t>
      </w:r>
    </w:p>
    <w:p w:rsidR="002632D2" w:rsidRPr="00E162BF" w:rsidRDefault="002632D2" w:rsidP="006C1B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62BF">
        <w:rPr>
          <w:sz w:val="28"/>
          <w:szCs w:val="28"/>
        </w:rPr>
        <w:t>В качестве источников возбуждающего излучения в флуориметрах используют:</w:t>
      </w:r>
    </w:p>
    <w:p w:rsidR="002632D2" w:rsidRPr="00E162BF" w:rsidRDefault="002632D2" w:rsidP="006C1B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62BF">
        <w:rPr>
          <w:sz w:val="28"/>
          <w:szCs w:val="28"/>
        </w:rPr>
        <w:t>-</w:t>
      </w:r>
      <w:r w:rsidR="006E0F8D" w:rsidRPr="00E162BF">
        <w:rPr>
          <w:sz w:val="28"/>
          <w:szCs w:val="28"/>
        </w:rPr>
        <w:t> </w:t>
      </w:r>
      <w:r w:rsidRPr="00E162BF">
        <w:rPr>
          <w:sz w:val="28"/>
          <w:szCs w:val="28"/>
        </w:rPr>
        <w:t>ртутные лампы низкого давления, предоставляющие большое количество длин волн возбуждения, но не являющиеся источником излучения равномерного спектра;</w:t>
      </w:r>
    </w:p>
    <w:p w:rsidR="002632D2" w:rsidRPr="00E162BF" w:rsidRDefault="002632D2" w:rsidP="006C1B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62BF">
        <w:rPr>
          <w:sz w:val="28"/>
          <w:szCs w:val="28"/>
        </w:rPr>
        <w:t>-</w:t>
      </w:r>
      <w:r w:rsidR="006E0F8D" w:rsidRPr="00E162BF">
        <w:rPr>
          <w:sz w:val="28"/>
          <w:szCs w:val="28"/>
        </w:rPr>
        <w:t> </w:t>
      </w:r>
      <w:r w:rsidRPr="00E162BF">
        <w:rPr>
          <w:sz w:val="28"/>
          <w:szCs w:val="28"/>
        </w:rPr>
        <w:t>ксеноновые газоразрядные лампы, обеспечивающие высокоинтенсивное почти равномерное излучение в широком диапазоне спектра (300–800 нм) и достаточно интенсивное в коротковолновой области до 200 нм;</w:t>
      </w:r>
    </w:p>
    <w:p w:rsidR="00DB03AC" w:rsidRPr="00E162BF" w:rsidRDefault="002632D2" w:rsidP="006C1B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62BF">
        <w:rPr>
          <w:sz w:val="28"/>
          <w:szCs w:val="28"/>
        </w:rPr>
        <w:t>-</w:t>
      </w:r>
      <w:r w:rsidR="006E0F8D" w:rsidRPr="00E162BF">
        <w:rPr>
          <w:sz w:val="28"/>
          <w:szCs w:val="28"/>
        </w:rPr>
        <w:t> </w:t>
      </w:r>
      <w:r w:rsidRPr="00E162BF">
        <w:rPr>
          <w:sz w:val="28"/>
          <w:szCs w:val="28"/>
        </w:rPr>
        <w:t xml:space="preserve">лазеры, излучающие свет высокой интенсивности в очень узком интервале длин волн (не более 0,01 нм) и позволяющие благодаря этому не использовать монохроматоры или первичные светофильтры; </w:t>
      </w:r>
    </w:p>
    <w:p w:rsidR="002632D2" w:rsidRPr="00E162BF" w:rsidRDefault="00DB03AC" w:rsidP="006C1B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62BF">
        <w:rPr>
          <w:sz w:val="28"/>
          <w:szCs w:val="28"/>
        </w:rPr>
        <w:t>-</w:t>
      </w:r>
      <w:r w:rsidR="006E0F8D" w:rsidRPr="00E162BF">
        <w:rPr>
          <w:sz w:val="28"/>
          <w:szCs w:val="28"/>
        </w:rPr>
        <w:t> </w:t>
      </w:r>
      <w:r w:rsidR="002632D2" w:rsidRPr="00E162BF">
        <w:rPr>
          <w:sz w:val="28"/>
          <w:szCs w:val="28"/>
        </w:rPr>
        <w:t xml:space="preserve">светодиоды и светодиодные матрицы, излучающие свет в </w:t>
      </w:r>
      <w:r w:rsidR="002632D2" w:rsidRPr="00E162BF">
        <w:rPr>
          <w:sz w:val="28"/>
          <w:szCs w:val="28"/>
        </w:rPr>
        <w:lastRenderedPageBreak/>
        <w:t>определённых диапазонах длин волн.</w:t>
      </w:r>
    </w:p>
    <w:p w:rsidR="002632D2" w:rsidRPr="00E162BF" w:rsidRDefault="002632D2" w:rsidP="006C1B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62BF">
        <w:rPr>
          <w:sz w:val="28"/>
          <w:szCs w:val="28"/>
        </w:rPr>
        <w:t xml:space="preserve">Для размещения </w:t>
      </w:r>
      <w:r w:rsidR="00114997">
        <w:rPr>
          <w:sz w:val="28"/>
          <w:szCs w:val="28"/>
        </w:rPr>
        <w:t>испытуемых образцов</w:t>
      </w:r>
      <w:r w:rsidRPr="00E162BF">
        <w:rPr>
          <w:sz w:val="28"/>
          <w:szCs w:val="28"/>
        </w:rPr>
        <w:t xml:space="preserve"> в флуориметрах используют, как правило, прямоугольные кварцевые кюветы, отполированные со всех</w:t>
      </w:r>
      <w:r w:rsidR="006E0F8D" w:rsidRPr="00E162BF">
        <w:rPr>
          <w:sz w:val="28"/>
          <w:szCs w:val="28"/>
        </w:rPr>
        <w:t xml:space="preserve"> </w:t>
      </w:r>
      <w:r w:rsidRPr="00E162BF">
        <w:rPr>
          <w:sz w:val="28"/>
          <w:szCs w:val="28"/>
        </w:rPr>
        <w:t>4</w:t>
      </w:r>
      <w:r w:rsidR="00524290" w:rsidRPr="00E162BF">
        <w:rPr>
          <w:sz w:val="28"/>
          <w:szCs w:val="28"/>
        </w:rPr>
        <w:t> </w:t>
      </w:r>
      <w:r w:rsidRPr="00E162BF">
        <w:rPr>
          <w:sz w:val="28"/>
          <w:szCs w:val="28"/>
        </w:rPr>
        <w:t xml:space="preserve">вертикальных сторон, иногда – цилиндрические </w:t>
      </w:r>
      <w:r w:rsidR="00E31B50">
        <w:rPr>
          <w:sz w:val="28"/>
          <w:szCs w:val="28"/>
        </w:rPr>
        <w:t>кюветы или пробирки. Обычно объё</w:t>
      </w:r>
      <w:r w:rsidRPr="00E162BF">
        <w:rPr>
          <w:sz w:val="28"/>
          <w:szCs w:val="28"/>
        </w:rPr>
        <w:t>м испытуемых образцов составляет 2–3 мл, но к некоторым приборам прилагаются кюветы вместимостью от 100 до 300 мкл и</w:t>
      </w:r>
      <w:r w:rsidR="00716E71">
        <w:rPr>
          <w:sz w:val="28"/>
          <w:szCs w:val="28"/>
        </w:rPr>
        <w:t>ли капиллярные держатели для ещё меньшего объё</w:t>
      </w:r>
      <w:r w:rsidRPr="00E162BF">
        <w:rPr>
          <w:sz w:val="28"/>
          <w:szCs w:val="28"/>
        </w:rPr>
        <w:t>ма.</w:t>
      </w:r>
    </w:p>
    <w:p w:rsidR="002632D2" w:rsidRPr="009649FE" w:rsidRDefault="003103F1" w:rsidP="009649FE">
      <w:pPr>
        <w:keepNext/>
        <w:widowControl w:val="0"/>
        <w:autoSpaceDE w:val="0"/>
        <w:autoSpaceDN w:val="0"/>
        <w:adjustRightInd w:val="0"/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9649FE">
        <w:rPr>
          <w:b/>
          <w:sz w:val="28"/>
          <w:szCs w:val="28"/>
        </w:rPr>
        <w:t>Метод</w:t>
      </w:r>
      <w:r w:rsidR="0079106C" w:rsidRPr="009649FE">
        <w:rPr>
          <w:b/>
          <w:sz w:val="28"/>
          <w:szCs w:val="28"/>
        </w:rPr>
        <w:t>ика</w:t>
      </w:r>
    </w:p>
    <w:p w:rsidR="002632D2" w:rsidRPr="00B64598" w:rsidRDefault="002632D2" w:rsidP="00B645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4598">
        <w:rPr>
          <w:sz w:val="28"/>
          <w:szCs w:val="28"/>
        </w:rPr>
        <w:t>Испытуемый образец растворяют в растворителе или смеси растворителей, указанных в фармакопейной статье. Настраивают прибор в соответствии с инструкцией производителя. Полученный раствор помещают в кювету или камеру флуориметра и облучают возбуждающим светом, имеющим как можно большую монохроматичность, при длине волны, указанной в фармакопейной статье.</w:t>
      </w:r>
    </w:p>
    <w:p w:rsidR="00EA5552" w:rsidRPr="00B64598" w:rsidRDefault="002632D2" w:rsidP="00B645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4598">
        <w:rPr>
          <w:sz w:val="28"/>
          <w:szCs w:val="28"/>
        </w:rPr>
        <w:t>Измеряют интенсивность испускаемого света под углом 90</w:t>
      </w:r>
      <w:r w:rsidR="00DB03AC" w:rsidRPr="00B64598">
        <w:rPr>
          <w:sz w:val="28"/>
          <w:szCs w:val="28"/>
        </w:rPr>
        <w:t>°</w:t>
      </w:r>
      <w:r w:rsidR="00DB03AC" w:rsidRPr="00B64598">
        <w:rPr>
          <w:sz w:val="28"/>
          <w:szCs w:val="28"/>
          <w:vertAlign w:val="superscript"/>
        </w:rPr>
        <w:t xml:space="preserve"> </w:t>
      </w:r>
      <w:r w:rsidRPr="00B64598">
        <w:rPr>
          <w:sz w:val="28"/>
          <w:szCs w:val="28"/>
        </w:rPr>
        <w:t>относительно возбуждающего света после прохождения сквозь светофильтр или монохроматор, избирательно пропускающий свет с длиной волны максимальной флуоресценции</w:t>
      </w:r>
      <w:r w:rsidR="0075172A" w:rsidRPr="00B64598">
        <w:rPr>
          <w:sz w:val="28"/>
          <w:szCs w:val="28"/>
        </w:rPr>
        <w:t>.</w:t>
      </w:r>
    </w:p>
    <w:p w:rsidR="0075172A" w:rsidRPr="000B0AB2" w:rsidRDefault="002632D2" w:rsidP="00985F3E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0AB2">
        <w:rPr>
          <w:b/>
          <w:i/>
          <w:sz w:val="28"/>
          <w:szCs w:val="28"/>
        </w:rPr>
        <w:t xml:space="preserve">Последовательность выполнения </w:t>
      </w:r>
      <w:r w:rsidR="009714C5" w:rsidRPr="000B0AB2">
        <w:rPr>
          <w:b/>
          <w:i/>
          <w:sz w:val="28"/>
          <w:szCs w:val="28"/>
        </w:rPr>
        <w:t xml:space="preserve">количественного </w:t>
      </w:r>
      <w:r w:rsidR="00A302AE">
        <w:rPr>
          <w:b/>
          <w:i/>
          <w:sz w:val="28"/>
          <w:szCs w:val="28"/>
        </w:rPr>
        <w:t>определения</w:t>
      </w:r>
    </w:p>
    <w:p w:rsidR="002632D2" w:rsidRPr="000A6645" w:rsidRDefault="002632D2" w:rsidP="000B0A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B0AB2">
        <w:rPr>
          <w:sz w:val="28"/>
          <w:szCs w:val="28"/>
        </w:rPr>
        <w:t>В прибор помещают растворитель или смесь растворителей, используемые для растворения</w:t>
      </w:r>
      <w:r w:rsidR="0075172A" w:rsidRPr="000B0AB2">
        <w:rPr>
          <w:sz w:val="28"/>
          <w:szCs w:val="28"/>
        </w:rPr>
        <w:t xml:space="preserve"> </w:t>
      </w:r>
      <w:r w:rsidRPr="000B0AB2">
        <w:rPr>
          <w:sz w:val="28"/>
          <w:szCs w:val="28"/>
        </w:rPr>
        <w:t xml:space="preserve">испытуемого </w:t>
      </w:r>
      <w:r w:rsidR="004D16BC">
        <w:rPr>
          <w:sz w:val="28"/>
          <w:szCs w:val="28"/>
        </w:rPr>
        <w:t>образца</w:t>
      </w:r>
      <w:r w:rsidRPr="000B0AB2">
        <w:rPr>
          <w:sz w:val="28"/>
          <w:szCs w:val="28"/>
        </w:rPr>
        <w:t xml:space="preserve">, и устанавливают регистрирующее устройство на нулевое значение. Затем помещают раствор стандартного образца и устанавливают чувствительность прибора таким образом, чтобы отклик показаний был не менее 50. Если для регулировки чувствительности требуется изменение ширины щели, должны быть повторены обнуление прибора </w:t>
      </w:r>
      <w:r w:rsidR="009D641A">
        <w:rPr>
          <w:sz w:val="28"/>
          <w:szCs w:val="28"/>
        </w:rPr>
        <w:t>относительно</w:t>
      </w:r>
      <w:r w:rsidRPr="000B0AB2">
        <w:rPr>
          <w:sz w:val="28"/>
          <w:szCs w:val="28"/>
        </w:rPr>
        <w:t xml:space="preserve"> растворител</w:t>
      </w:r>
      <w:r w:rsidR="009D641A">
        <w:rPr>
          <w:sz w:val="28"/>
          <w:szCs w:val="28"/>
        </w:rPr>
        <w:t>я</w:t>
      </w:r>
      <w:r w:rsidRPr="000B0AB2">
        <w:rPr>
          <w:sz w:val="28"/>
          <w:szCs w:val="28"/>
        </w:rPr>
        <w:t xml:space="preserve"> и измерение интенсивности флуоресценции стандартного образца. После этого в прибор помещают раствор испытуемого образца с неизвестн</w:t>
      </w:r>
      <w:r w:rsidR="005A72DF">
        <w:rPr>
          <w:sz w:val="28"/>
          <w:szCs w:val="28"/>
        </w:rPr>
        <w:t>ой концентрацией и регистрируют</w:t>
      </w:r>
      <w:r w:rsidRPr="000B0AB2">
        <w:rPr>
          <w:sz w:val="28"/>
          <w:szCs w:val="28"/>
        </w:rPr>
        <w:t xml:space="preserve"> показания прибора. В случае линейной зависимости интенсивности испускаемого света от концентрации вещества рассчитывают </w:t>
      </w:r>
      <w:r w:rsidRPr="000B0AB2">
        <w:rPr>
          <w:sz w:val="28"/>
          <w:szCs w:val="28"/>
        </w:rPr>
        <w:lastRenderedPageBreak/>
        <w:t>последнюю в</w:t>
      </w:r>
      <w:r w:rsidR="00EB4509">
        <w:rPr>
          <w:sz w:val="28"/>
          <w:szCs w:val="28"/>
        </w:rPr>
        <w:t xml:space="preserve"> растворе испытуемого образца </w:t>
      </w:r>
      <w:r w:rsidRPr="000A6645">
        <w:rPr>
          <w:sz w:val="28"/>
          <w:szCs w:val="28"/>
        </w:rPr>
        <w:t>(</w:t>
      </w:r>
      <w:r w:rsidRPr="000B0AB2">
        <w:rPr>
          <w:rFonts w:ascii="Cambria Math" w:hAnsi="Cambria Math"/>
          <w:i/>
          <w:iCs/>
          <w:sz w:val="28"/>
          <w:szCs w:val="28"/>
        </w:rPr>
        <w:t>C</w:t>
      </w:r>
      <w:r w:rsidR="00EB4509">
        <w:rPr>
          <w:i/>
          <w:iCs/>
          <w:sz w:val="28"/>
          <w:szCs w:val="28"/>
        </w:rPr>
        <w:t>)</w:t>
      </w:r>
      <w:r w:rsidRPr="000A6645">
        <w:rPr>
          <w:sz w:val="28"/>
          <w:szCs w:val="28"/>
        </w:rPr>
        <w:t xml:space="preserve"> по формуле:</w:t>
      </w:r>
    </w:p>
    <w:tbl>
      <w:tblPr>
        <w:tblStyle w:val="af1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02"/>
        <w:gridCol w:w="283"/>
        <w:gridCol w:w="1806"/>
        <w:gridCol w:w="3191"/>
        <w:gridCol w:w="3191"/>
      </w:tblGrid>
      <w:tr w:rsidR="002632D2" w:rsidTr="00F03A0D">
        <w:trPr>
          <w:trHeight w:val="707"/>
          <w:jc w:val="center"/>
        </w:trPr>
        <w:tc>
          <w:tcPr>
            <w:tcW w:w="3190" w:type="dxa"/>
            <w:gridSpan w:val="4"/>
          </w:tcPr>
          <w:p w:rsidR="002632D2" w:rsidRDefault="002632D2" w:rsidP="00F03A0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632D2" w:rsidRPr="008F3F1C" w:rsidRDefault="002632D2" w:rsidP="000B0AB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3191" w:type="dxa"/>
          </w:tcPr>
          <w:p w:rsidR="002632D2" w:rsidRDefault="002632D2" w:rsidP="00F03A0D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sz w:val="28"/>
                <w:szCs w:val="28"/>
              </w:rPr>
            </w:pPr>
          </w:p>
        </w:tc>
      </w:tr>
      <w:tr w:rsidR="002632D2" w:rsidTr="00F03A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632D2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где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2632D2" w:rsidRPr="000A6645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0A6645">
              <w:rPr>
                <w:rFonts w:ascii="Cambria Math" w:hAnsi="Cambria Math"/>
                <w:i/>
                <w:sz w:val="28"/>
                <w:szCs w:val="28"/>
              </w:rPr>
              <w:t>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32D2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2D2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52706">
              <w:rPr>
                <w:sz w:val="28"/>
                <w:szCs w:val="28"/>
              </w:rPr>
              <w:t>концентрация испытуемого раствора;</w:t>
            </w:r>
          </w:p>
        </w:tc>
      </w:tr>
      <w:tr w:rsidR="002632D2" w:rsidTr="00F03A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632D2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2632D2" w:rsidRPr="00216383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</w:rPr>
            </w:pPr>
            <w:r w:rsidRPr="000A6645">
              <w:rPr>
                <w:rFonts w:ascii="Cambria Math" w:hAnsi="Cambria Math"/>
                <w:i/>
                <w:iCs/>
                <w:sz w:val="28"/>
                <w:szCs w:val="28"/>
              </w:rPr>
              <w:t>C</w:t>
            </w:r>
            <w:r w:rsidRPr="008F3F1C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32D2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</w:rPr>
              <w:t>–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2D2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52706">
              <w:rPr>
                <w:sz w:val="28"/>
                <w:szCs w:val="28"/>
              </w:rPr>
              <w:t>концентрация вещества в стандартном растворе;</w:t>
            </w:r>
          </w:p>
        </w:tc>
      </w:tr>
      <w:tr w:rsidR="002632D2" w:rsidTr="00F03A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632D2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2632D2" w:rsidRPr="000A6645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/>
                <w:iCs/>
                <w:sz w:val="28"/>
                <w:szCs w:val="28"/>
                <w:lang w:val="en-US"/>
              </w:rPr>
            </w:pPr>
            <w:r w:rsidRPr="000A6645">
              <w:rPr>
                <w:rFonts w:ascii="Cambria Math" w:hAnsi="Cambria Math"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32D2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en-US"/>
              </w:rPr>
            </w:pPr>
            <w:r w:rsidRPr="00F479CA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2D2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52706">
              <w:rPr>
                <w:sz w:val="28"/>
                <w:szCs w:val="28"/>
              </w:rPr>
              <w:t>интенсивность света, испускаемого испытуемым раствором;</w:t>
            </w:r>
          </w:p>
        </w:tc>
      </w:tr>
      <w:tr w:rsidR="002632D2" w:rsidTr="00F03A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632D2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2632D2" w:rsidRPr="00952706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mbria Math" w:hAnsi="Cambria Math"/>
                <w:iCs/>
                <w:sz w:val="28"/>
                <w:szCs w:val="28"/>
              </w:rPr>
            </w:pPr>
            <w:r w:rsidRPr="000A6645">
              <w:rPr>
                <w:rFonts w:ascii="Cambria Math" w:hAnsi="Cambria Math"/>
                <w:i/>
                <w:iCs/>
                <w:sz w:val="28"/>
                <w:szCs w:val="28"/>
              </w:rPr>
              <w:t>I</w:t>
            </w:r>
            <w:r w:rsidRPr="00952706">
              <w:rPr>
                <w:rFonts w:ascii="Cambria Math" w:hAnsi="Cambria Math"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32D2" w:rsidRPr="008F3F1C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479CA"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2D2" w:rsidRDefault="002632D2" w:rsidP="000B0AB2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52706">
              <w:rPr>
                <w:sz w:val="28"/>
                <w:szCs w:val="28"/>
              </w:rPr>
              <w:t>интенсивность света, испускаемого стандартным раствором.</w:t>
            </w:r>
          </w:p>
        </w:tc>
      </w:tr>
    </w:tbl>
    <w:p w:rsidR="002632D2" w:rsidRPr="00704670" w:rsidRDefault="002632D2" w:rsidP="00917F86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E25318">
        <w:rPr>
          <w:rFonts w:ascii="Times New Roman CYR" w:hAnsi="Times New Roman CYR" w:cs="Times New Roman CYR"/>
          <w:sz w:val="28"/>
          <w:szCs w:val="28"/>
        </w:rPr>
        <w:t xml:space="preserve">Если </w:t>
      </w:r>
      <w:r>
        <w:rPr>
          <w:rFonts w:ascii="Times New Roman CYR" w:hAnsi="Times New Roman CYR" w:cs="Times New Roman CYR"/>
          <w:sz w:val="28"/>
          <w:szCs w:val="28"/>
        </w:rPr>
        <w:t>значение интенсивности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 флуоресценции не прямо пропорциональн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значению 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концентрации раствора, измерение может быть произведено с использованием </w:t>
      </w:r>
      <w:r>
        <w:rPr>
          <w:rFonts w:ascii="Times New Roman CYR" w:hAnsi="Times New Roman CYR" w:cs="Times New Roman CYR"/>
          <w:sz w:val="28"/>
          <w:szCs w:val="28"/>
        </w:rPr>
        <w:t>калибровочного графика</w:t>
      </w:r>
      <w:r w:rsidRPr="00E25318">
        <w:rPr>
          <w:rFonts w:ascii="Times New Roman CYR" w:hAnsi="Times New Roman CYR" w:cs="Times New Roman CYR"/>
          <w:sz w:val="28"/>
          <w:szCs w:val="28"/>
        </w:rPr>
        <w:t>.</w:t>
      </w:r>
    </w:p>
    <w:p w:rsidR="002632D2" w:rsidRPr="009D641A" w:rsidRDefault="002632D2" w:rsidP="009D641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25318">
        <w:rPr>
          <w:rFonts w:ascii="Times New Roman CYR" w:hAnsi="Times New Roman CYR" w:cs="Times New Roman CYR"/>
          <w:sz w:val="28"/>
          <w:szCs w:val="28"/>
        </w:rPr>
        <w:t>В некоторых случаях измерени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 флуоресценции испытуемого образца </w:t>
      </w:r>
      <w:r>
        <w:rPr>
          <w:rFonts w:ascii="Times New Roman CYR" w:hAnsi="Times New Roman CYR" w:cs="Times New Roman CYR"/>
          <w:sz w:val="28"/>
          <w:szCs w:val="28"/>
        </w:rPr>
        <w:t>могут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производиться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 использованием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 независимого стандарта (флуоресцентного стекла или раствора другого флуоресцентного вещества). В качестве стандартов могут быть использованы: раствор известной концентрации хинина в </w:t>
      </w:r>
      <w:r w:rsidR="00453D69">
        <w:rPr>
          <w:rFonts w:ascii="Times New Roman CYR" w:hAnsi="Times New Roman CYR" w:cs="Times New Roman CYR"/>
          <w:sz w:val="28"/>
          <w:szCs w:val="28"/>
        </w:rPr>
        <w:t>серной кислоты</w:t>
      </w:r>
      <w:r>
        <w:rPr>
          <w:rFonts w:ascii="Times New Roman CYR" w:hAnsi="Times New Roman CYR" w:cs="Times New Roman CYR"/>
          <w:sz w:val="28"/>
          <w:szCs w:val="28"/>
        </w:rPr>
        <w:t xml:space="preserve"> растворе </w:t>
      </w:r>
      <w:r w:rsidRPr="00E25318">
        <w:rPr>
          <w:rFonts w:ascii="Times New Roman CYR" w:hAnsi="Times New Roman CYR" w:cs="Times New Roman CYR"/>
          <w:sz w:val="28"/>
          <w:szCs w:val="28"/>
        </w:rPr>
        <w:t>0,05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E25318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5318">
        <w:rPr>
          <w:rFonts w:ascii="Times New Roman CYR" w:hAnsi="Times New Roman CYR" w:cs="Times New Roman CYR"/>
          <w:sz w:val="28"/>
          <w:szCs w:val="28"/>
        </w:rPr>
        <w:t>или раствор флуоресцеина в растворе натрия гидроксида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5318">
        <w:rPr>
          <w:rFonts w:ascii="Times New Roman CYR" w:hAnsi="Times New Roman CYR" w:cs="Times New Roman CYR"/>
          <w:sz w:val="28"/>
          <w:szCs w:val="28"/>
        </w:rPr>
        <w:t>0,1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E25318">
        <w:rPr>
          <w:rFonts w:ascii="Times New Roman CYR" w:hAnsi="Times New Roman CYR" w:cs="Times New Roman CYR"/>
          <w:sz w:val="28"/>
          <w:szCs w:val="28"/>
        </w:rPr>
        <w:t>М. В таких случаях концентрацию испытуемого образца следует определять с использованием предварительно полученно</w:t>
      </w:r>
      <w:r>
        <w:rPr>
          <w:rFonts w:ascii="Times New Roman CYR" w:hAnsi="Times New Roman CYR" w:cs="Times New Roman CYR"/>
          <w:sz w:val="28"/>
          <w:szCs w:val="28"/>
        </w:rPr>
        <w:t xml:space="preserve">го </w:t>
      </w:r>
      <w:r w:rsidRPr="00E25318">
        <w:rPr>
          <w:rFonts w:ascii="Times New Roman CYR" w:hAnsi="Times New Roman CYR" w:cs="Times New Roman CYR"/>
          <w:sz w:val="28"/>
          <w:szCs w:val="28"/>
        </w:rPr>
        <w:t xml:space="preserve">в тех же условиях </w:t>
      </w:r>
      <w:r>
        <w:rPr>
          <w:rFonts w:ascii="Times New Roman CYR" w:hAnsi="Times New Roman CYR" w:cs="Times New Roman CYR"/>
          <w:sz w:val="28"/>
          <w:szCs w:val="28"/>
        </w:rPr>
        <w:t>калибровочного графика</w:t>
      </w:r>
      <w:r w:rsidR="009D641A">
        <w:rPr>
          <w:rFonts w:ascii="Times New Roman CYR" w:hAnsi="Times New Roman CYR" w:cs="Times New Roman CYR"/>
          <w:sz w:val="28"/>
          <w:szCs w:val="28"/>
        </w:rPr>
        <w:t>.</w:t>
      </w:r>
    </w:p>
    <w:sectPr w:rsidR="002632D2" w:rsidRPr="009D641A" w:rsidSect="00394861">
      <w:headerReference w:type="default" r:id="rId8"/>
      <w:footerReference w:type="default" r:id="rId9"/>
      <w:footerReference w:type="first" r:id="rId10"/>
      <w:pgSz w:w="11907" w:h="16840" w:code="9"/>
      <w:pgMar w:top="1134" w:right="850" w:bottom="1134" w:left="1701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41A" w:rsidRDefault="009D641A" w:rsidP="0025099C">
      <w:r>
        <w:separator/>
      </w:r>
    </w:p>
  </w:endnote>
  <w:endnote w:type="continuationSeparator" w:id="0">
    <w:p w:rsidR="009D641A" w:rsidRDefault="009D641A" w:rsidP="002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55954"/>
      <w:docPartObj>
        <w:docPartGallery w:val="Page Numbers (Bottom of Page)"/>
        <w:docPartUnique/>
      </w:docPartObj>
    </w:sdtPr>
    <w:sdtEndPr/>
    <w:sdtContent>
      <w:p w:rsidR="009D641A" w:rsidRPr="00D464B6" w:rsidRDefault="002259D9" w:rsidP="00D464B6">
        <w:pPr>
          <w:pStyle w:val="a7"/>
          <w:jc w:val="center"/>
        </w:pPr>
        <w:r w:rsidRPr="00394861">
          <w:rPr>
            <w:sz w:val="28"/>
            <w:szCs w:val="28"/>
          </w:rPr>
          <w:fldChar w:fldCharType="begin"/>
        </w:r>
        <w:r w:rsidR="009D641A" w:rsidRPr="00394861">
          <w:rPr>
            <w:sz w:val="28"/>
            <w:szCs w:val="28"/>
          </w:rPr>
          <w:instrText xml:space="preserve"> PAGE   \* MERGEFORMAT </w:instrText>
        </w:r>
        <w:r w:rsidRPr="00394861">
          <w:rPr>
            <w:sz w:val="28"/>
            <w:szCs w:val="28"/>
          </w:rPr>
          <w:fldChar w:fldCharType="separate"/>
        </w:r>
        <w:r w:rsidR="00105378">
          <w:rPr>
            <w:noProof/>
            <w:sz w:val="28"/>
            <w:szCs w:val="28"/>
          </w:rPr>
          <w:t>2</w:t>
        </w:r>
        <w:r w:rsidRPr="00394861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1A" w:rsidRPr="00D464B6" w:rsidRDefault="009D641A" w:rsidP="00D464B6">
    <w:pPr>
      <w:pStyle w:val="a7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41A" w:rsidRDefault="009D641A" w:rsidP="0025099C">
      <w:r>
        <w:separator/>
      </w:r>
    </w:p>
  </w:footnote>
  <w:footnote w:type="continuationSeparator" w:id="0">
    <w:p w:rsidR="009D641A" w:rsidRDefault="009D641A" w:rsidP="0025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41A" w:rsidRPr="00134ED7" w:rsidRDefault="009D641A" w:rsidP="00F03A0D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C2FA3"/>
    <w:multiLevelType w:val="hybridMultilevel"/>
    <w:tmpl w:val="AADA1756"/>
    <w:lvl w:ilvl="0" w:tplc="19D4419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33213"/>
    <w:multiLevelType w:val="hybridMultilevel"/>
    <w:tmpl w:val="67F478B8"/>
    <w:lvl w:ilvl="0" w:tplc="5878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4CA"/>
    <w:rsid w:val="00001BC1"/>
    <w:rsid w:val="00002EC5"/>
    <w:rsid w:val="000036E9"/>
    <w:rsid w:val="00004098"/>
    <w:rsid w:val="00004839"/>
    <w:rsid w:val="00011363"/>
    <w:rsid w:val="00011DD7"/>
    <w:rsid w:val="00012BE1"/>
    <w:rsid w:val="00014E16"/>
    <w:rsid w:val="00015075"/>
    <w:rsid w:val="00025CDD"/>
    <w:rsid w:val="00025DF1"/>
    <w:rsid w:val="00026DCA"/>
    <w:rsid w:val="00027AC0"/>
    <w:rsid w:val="0003001B"/>
    <w:rsid w:val="00030D11"/>
    <w:rsid w:val="00031E93"/>
    <w:rsid w:val="00041DE0"/>
    <w:rsid w:val="00043964"/>
    <w:rsid w:val="000506F2"/>
    <w:rsid w:val="00052300"/>
    <w:rsid w:val="0005362F"/>
    <w:rsid w:val="0005550C"/>
    <w:rsid w:val="00056019"/>
    <w:rsid w:val="0006138C"/>
    <w:rsid w:val="0006224A"/>
    <w:rsid w:val="00070AD4"/>
    <w:rsid w:val="000766E5"/>
    <w:rsid w:val="00077BA4"/>
    <w:rsid w:val="00080219"/>
    <w:rsid w:val="00080B5A"/>
    <w:rsid w:val="0008265D"/>
    <w:rsid w:val="00087E3B"/>
    <w:rsid w:val="00094074"/>
    <w:rsid w:val="00095B68"/>
    <w:rsid w:val="00097347"/>
    <w:rsid w:val="000A09A2"/>
    <w:rsid w:val="000A2F35"/>
    <w:rsid w:val="000B077B"/>
    <w:rsid w:val="000B0AB2"/>
    <w:rsid w:val="000B2E83"/>
    <w:rsid w:val="000C0A1F"/>
    <w:rsid w:val="000C1064"/>
    <w:rsid w:val="000C2E12"/>
    <w:rsid w:val="000C6F6B"/>
    <w:rsid w:val="000D1E63"/>
    <w:rsid w:val="000D3167"/>
    <w:rsid w:val="000D336B"/>
    <w:rsid w:val="000E4C23"/>
    <w:rsid w:val="000E55AD"/>
    <w:rsid w:val="000E7349"/>
    <w:rsid w:val="0010173D"/>
    <w:rsid w:val="001042C2"/>
    <w:rsid w:val="001042D3"/>
    <w:rsid w:val="00105378"/>
    <w:rsid w:val="001119F4"/>
    <w:rsid w:val="001140AA"/>
    <w:rsid w:val="00114997"/>
    <w:rsid w:val="00115453"/>
    <w:rsid w:val="00116810"/>
    <w:rsid w:val="001213A5"/>
    <w:rsid w:val="00125EE8"/>
    <w:rsid w:val="00134ED7"/>
    <w:rsid w:val="00143337"/>
    <w:rsid w:val="0014707D"/>
    <w:rsid w:val="001503F4"/>
    <w:rsid w:val="001545D4"/>
    <w:rsid w:val="001575FD"/>
    <w:rsid w:val="001606EB"/>
    <w:rsid w:val="001631BA"/>
    <w:rsid w:val="001701FE"/>
    <w:rsid w:val="00173683"/>
    <w:rsid w:val="0017549E"/>
    <w:rsid w:val="00176719"/>
    <w:rsid w:val="00184EA9"/>
    <w:rsid w:val="0018512D"/>
    <w:rsid w:val="00192993"/>
    <w:rsid w:val="00193A01"/>
    <w:rsid w:val="00194A0C"/>
    <w:rsid w:val="00195F7A"/>
    <w:rsid w:val="001A09F8"/>
    <w:rsid w:val="001A2F0D"/>
    <w:rsid w:val="001A5BE1"/>
    <w:rsid w:val="001B2139"/>
    <w:rsid w:val="001B2F95"/>
    <w:rsid w:val="001B47A4"/>
    <w:rsid w:val="001C2603"/>
    <w:rsid w:val="001C2A58"/>
    <w:rsid w:val="001C2D0C"/>
    <w:rsid w:val="001C7800"/>
    <w:rsid w:val="001C7B51"/>
    <w:rsid w:val="001D1CBA"/>
    <w:rsid w:val="001D36F0"/>
    <w:rsid w:val="001D79B1"/>
    <w:rsid w:val="001E3531"/>
    <w:rsid w:val="001E5592"/>
    <w:rsid w:val="001E6568"/>
    <w:rsid w:val="001F39EC"/>
    <w:rsid w:val="001F3A31"/>
    <w:rsid w:val="001F55C5"/>
    <w:rsid w:val="00205627"/>
    <w:rsid w:val="002113F2"/>
    <w:rsid w:val="00216383"/>
    <w:rsid w:val="00221E2B"/>
    <w:rsid w:val="00222424"/>
    <w:rsid w:val="00222761"/>
    <w:rsid w:val="00225755"/>
    <w:rsid w:val="002259D9"/>
    <w:rsid w:val="00230444"/>
    <w:rsid w:val="00230BD2"/>
    <w:rsid w:val="00233DFA"/>
    <w:rsid w:val="002349CF"/>
    <w:rsid w:val="00236B45"/>
    <w:rsid w:val="00244FAF"/>
    <w:rsid w:val="002456AF"/>
    <w:rsid w:val="00246E2E"/>
    <w:rsid w:val="002473CA"/>
    <w:rsid w:val="0025099C"/>
    <w:rsid w:val="002531D1"/>
    <w:rsid w:val="00256057"/>
    <w:rsid w:val="002578A3"/>
    <w:rsid w:val="0026248B"/>
    <w:rsid w:val="002632D2"/>
    <w:rsid w:val="002708E5"/>
    <w:rsid w:val="0027198D"/>
    <w:rsid w:val="00277E4E"/>
    <w:rsid w:val="00280C87"/>
    <w:rsid w:val="002838C7"/>
    <w:rsid w:val="00284FC8"/>
    <w:rsid w:val="0029366A"/>
    <w:rsid w:val="002959C3"/>
    <w:rsid w:val="002972ED"/>
    <w:rsid w:val="00297A42"/>
    <w:rsid w:val="002A0BD5"/>
    <w:rsid w:val="002B1ECD"/>
    <w:rsid w:val="002C3D3D"/>
    <w:rsid w:val="002C6669"/>
    <w:rsid w:val="002C70AC"/>
    <w:rsid w:val="002D1F22"/>
    <w:rsid w:val="002D20F3"/>
    <w:rsid w:val="002E4F41"/>
    <w:rsid w:val="002E76A4"/>
    <w:rsid w:val="002F22CB"/>
    <w:rsid w:val="002F3F1A"/>
    <w:rsid w:val="002F6EF2"/>
    <w:rsid w:val="00304A94"/>
    <w:rsid w:val="00304F00"/>
    <w:rsid w:val="0030662B"/>
    <w:rsid w:val="003103F1"/>
    <w:rsid w:val="00312552"/>
    <w:rsid w:val="003139EC"/>
    <w:rsid w:val="0031542D"/>
    <w:rsid w:val="00316F87"/>
    <w:rsid w:val="003226EE"/>
    <w:rsid w:val="00325DC2"/>
    <w:rsid w:val="00327D79"/>
    <w:rsid w:val="00334FBE"/>
    <w:rsid w:val="00343420"/>
    <w:rsid w:val="00343971"/>
    <w:rsid w:val="00347BDA"/>
    <w:rsid w:val="00350A02"/>
    <w:rsid w:val="00352B08"/>
    <w:rsid w:val="00353114"/>
    <w:rsid w:val="003550CA"/>
    <w:rsid w:val="00355ED6"/>
    <w:rsid w:val="003567D6"/>
    <w:rsid w:val="00356BAD"/>
    <w:rsid w:val="003608EA"/>
    <w:rsid w:val="003713A1"/>
    <w:rsid w:val="00377604"/>
    <w:rsid w:val="00383F07"/>
    <w:rsid w:val="00385D12"/>
    <w:rsid w:val="00385FF7"/>
    <w:rsid w:val="00386C77"/>
    <w:rsid w:val="00391423"/>
    <w:rsid w:val="003931D7"/>
    <w:rsid w:val="00394861"/>
    <w:rsid w:val="003A4D82"/>
    <w:rsid w:val="003B0671"/>
    <w:rsid w:val="003B06C2"/>
    <w:rsid w:val="003B10ED"/>
    <w:rsid w:val="003B1A63"/>
    <w:rsid w:val="003B61CA"/>
    <w:rsid w:val="003C0B05"/>
    <w:rsid w:val="003C2CBF"/>
    <w:rsid w:val="003C67F9"/>
    <w:rsid w:val="003C7572"/>
    <w:rsid w:val="003D715C"/>
    <w:rsid w:val="003E10E5"/>
    <w:rsid w:val="003E689C"/>
    <w:rsid w:val="003F0F40"/>
    <w:rsid w:val="003F1D02"/>
    <w:rsid w:val="003F60C5"/>
    <w:rsid w:val="00403109"/>
    <w:rsid w:val="00413E50"/>
    <w:rsid w:val="00416A45"/>
    <w:rsid w:val="0041743E"/>
    <w:rsid w:val="00422BDF"/>
    <w:rsid w:val="00424171"/>
    <w:rsid w:val="004254F4"/>
    <w:rsid w:val="00427B51"/>
    <w:rsid w:val="00431B95"/>
    <w:rsid w:val="004323A8"/>
    <w:rsid w:val="00435E47"/>
    <w:rsid w:val="004362CB"/>
    <w:rsid w:val="0043643C"/>
    <w:rsid w:val="00443569"/>
    <w:rsid w:val="00450490"/>
    <w:rsid w:val="00452F9C"/>
    <w:rsid w:val="00453D69"/>
    <w:rsid w:val="004543B6"/>
    <w:rsid w:val="0045529B"/>
    <w:rsid w:val="004636F6"/>
    <w:rsid w:val="004646AA"/>
    <w:rsid w:val="004670B2"/>
    <w:rsid w:val="00467454"/>
    <w:rsid w:val="004710B7"/>
    <w:rsid w:val="00473D02"/>
    <w:rsid w:val="00474098"/>
    <w:rsid w:val="00481B95"/>
    <w:rsid w:val="00494F59"/>
    <w:rsid w:val="00495183"/>
    <w:rsid w:val="0049674C"/>
    <w:rsid w:val="004A01C0"/>
    <w:rsid w:val="004A1CDD"/>
    <w:rsid w:val="004A4EB3"/>
    <w:rsid w:val="004A55C3"/>
    <w:rsid w:val="004A637A"/>
    <w:rsid w:val="004B0578"/>
    <w:rsid w:val="004B4EA7"/>
    <w:rsid w:val="004C37BE"/>
    <w:rsid w:val="004C471F"/>
    <w:rsid w:val="004C5C72"/>
    <w:rsid w:val="004D16BC"/>
    <w:rsid w:val="004D29FF"/>
    <w:rsid w:val="004D618A"/>
    <w:rsid w:val="004E4BC3"/>
    <w:rsid w:val="004F0725"/>
    <w:rsid w:val="004F0BB3"/>
    <w:rsid w:val="004F2AF3"/>
    <w:rsid w:val="004F3F44"/>
    <w:rsid w:val="004F4100"/>
    <w:rsid w:val="004F4703"/>
    <w:rsid w:val="005167E8"/>
    <w:rsid w:val="00517403"/>
    <w:rsid w:val="00517678"/>
    <w:rsid w:val="00521A7F"/>
    <w:rsid w:val="00522056"/>
    <w:rsid w:val="00524290"/>
    <w:rsid w:val="0053053E"/>
    <w:rsid w:val="0054680F"/>
    <w:rsid w:val="00550879"/>
    <w:rsid w:val="005521E6"/>
    <w:rsid w:val="00555DFF"/>
    <w:rsid w:val="005638DF"/>
    <w:rsid w:val="00563C04"/>
    <w:rsid w:val="00566C47"/>
    <w:rsid w:val="00567D1E"/>
    <w:rsid w:val="00570FEC"/>
    <w:rsid w:val="00571E38"/>
    <w:rsid w:val="00574A5C"/>
    <w:rsid w:val="00574D83"/>
    <w:rsid w:val="00576FE9"/>
    <w:rsid w:val="00580441"/>
    <w:rsid w:val="00581166"/>
    <w:rsid w:val="00581D51"/>
    <w:rsid w:val="00582DA2"/>
    <w:rsid w:val="005856F8"/>
    <w:rsid w:val="00593886"/>
    <w:rsid w:val="005A2C7A"/>
    <w:rsid w:val="005A497E"/>
    <w:rsid w:val="005A72DF"/>
    <w:rsid w:val="005B411D"/>
    <w:rsid w:val="005B4731"/>
    <w:rsid w:val="005B5443"/>
    <w:rsid w:val="005B5CDE"/>
    <w:rsid w:val="005B76D6"/>
    <w:rsid w:val="005C6C8C"/>
    <w:rsid w:val="005D370B"/>
    <w:rsid w:val="005D3C55"/>
    <w:rsid w:val="005D3CE2"/>
    <w:rsid w:val="005E0C21"/>
    <w:rsid w:val="005E3945"/>
    <w:rsid w:val="005E642F"/>
    <w:rsid w:val="005E6CC4"/>
    <w:rsid w:val="005F6F09"/>
    <w:rsid w:val="00601679"/>
    <w:rsid w:val="006116F4"/>
    <w:rsid w:val="006164E0"/>
    <w:rsid w:val="00620B63"/>
    <w:rsid w:val="00624C9B"/>
    <w:rsid w:val="00630861"/>
    <w:rsid w:val="0064019A"/>
    <w:rsid w:val="006460D0"/>
    <w:rsid w:val="00657806"/>
    <w:rsid w:val="00660771"/>
    <w:rsid w:val="00661257"/>
    <w:rsid w:val="0066470F"/>
    <w:rsid w:val="006672D0"/>
    <w:rsid w:val="00671B3F"/>
    <w:rsid w:val="0067214E"/>
    <w:rsid w:val="00675B63"/>
    <w:rsid w:val="006876F4"/>
    <w:rsid w:val="00691AB9"/>
    <w:rsid w:val="006942FE"/>
    <w:rsid w:val="00694AA6"/>
    <w:rsid w:val="006B35BB"/>
    <w:rsid w:val="006B6DCF"/>
    <w:rsid w:val="006B7475"/>
    <w:rsid w:val="006C04FF"/>
    <w:rsid w:val="006C1BAD"/>
    <w:rsid w:val="006C2946"/>
    <w:rsid w:val="006C3151"/>
    <w:rsid w:val="006C398F"/>
    <w:rsid w:val="006C7858"/>
    <w:rsid w:val="006D0DE4"/>
    <w:rsid w:val="006D565C"/>
    <w:rsid w:val="006E0F8D"/>
    <w:rsid w:val="006E3AEF"/>
    <w:rsid w:val="006E7056"/>
    <w:rsid w:val="0070128E"/>
    <w:rsid w:val="00703B6E"/>
    <w:rsid w:val="00704670"/>
    <w:rsid w:val="00705F52"/>
    <w:rsid w:val="0070687E"/>
    <w:rsid w:val="00713452"/>
    <w:rsid w:val="00714DC2"/>
    <w:rsid w:val="00716E71"/>
    <w:rsid w:val="00717A9B"/>
    <w:rsid w:val="00730358"/>
    <w:rsid w:val="00734293"/>
    <w:rsid w:val="007344D3"/>
    <w:rsid w:val="0073534E"/>
    <w:rsid w:val="00740F72"/>
    <w:rsid w:val="00746CBC"/>
    <w:rsid w:val="00750E40"/>
    <w:rsid w:val="0075172A"/>
    <w:rsid w:val="0075410B"/>
    <w:rsid w:val="007612C5"/>
    <w:rsid w:val="00762080"/>
    <w:rsid w:val="00765667"/>
    <w:rsid w:val="007663F3"/>
    <w:rsid w:val="0077004A"/>
    <w:rsid w:val="00773C8A"/>
    <w:rsid w:val="00774B13"/>
    <w:rsid w:val="00774E4A"/>
    <w:rsid w:val="00780182"/>
    <w:rsid w:val="00782E04"/>
    <w:rsid w:val="00784694"/>
    <w:rsid w:val="0078534E"/>
    <w:rsid w:val="0079106C"/>
    <w:rsid w:val="007C5F39"/>
    <w:rsid w:val="007D0631"/>
    <w:rsid w:val="007D5EAC"/>
    <w:rsid w:val="007E2146"/>
    <w:rsid w:val="007E2807"/>
    <w:rsid w:val="007E4644"/>
    <w:rsid w:val="007E593C"/>
    <w:rsid w:val="007F592E"/>
    <w:rsid w:val="007F6B5F"/>
    <w:rsid w:val="00806E5D"/>
    <w:rsid w:val="00822D69"/>
    <w:rsid w:val="008269B8"/>
    <w:rsid w:val="008369C0"/>
    <w:rsid w:val="008379CA"/>
    <w:rsid w:val="0084549C"/>
    <w:rsid w:val="00847440"/>
    <w:rsid w:val="00851EEC"/>
    <w:rsid w:val="0085304F"/>
    <w:rsid w:val="0085478F"/>
    <w:rsid w:val="00854E1E"/>
    <w:rsid w:val="0086018C"/>
    <w:rsid w:val="00870F31"/>
    <w:rsid w:val="0087676D"/>
    <w:rsid w:val="00880AFC"/>
    <w:rsid w:val="00884006"/>
    <w:rsid w:val="00890B76"/>
    <w:rsid w:val="00894D27"/>
    <w:rsid w:val="008A0855"/>
    <w:rsid w:val="008A161B"/>
    <w:rsid w:val="008A2F3B"/>
    <w:rsid w:val="008A3648"/>
    <w:rsid w:val="008A44E6"/>
    <w:rsid w:val="008A4B00"/>
    <w:rsid w:val="008B1AD6"/>
    <w:rsid w:val="008B35DF"/>
    <w:rsid w:val="008B7C70"/>
    <w:rsid w:val="008C68FB"/>
    <w:rsid w:val="008D008C"/>
    <w:rsid w:val="008D7952"/>
    <w:rsid w:val="008E4D53"/>
    <w:rsid w:val="008E65C3"/>
    <w:rsid w:val="008E6CD3"/>
    <w:rsid w:val="008E7DA4"/>
    <w:rsid w:val="008F7F33"/>
    <w:rsid w:val="009012E6"/>
    <w:rsid w:val="00903557"/>
    <w:rsid w:val="0090373D"/>
    <w:rsid w:val="00912011"/>
    <w:rsid w:val="00912A7B"/>
    <w:rsid w:val="00914EB6"/>
    <w:rsid w:val="00915A27"/>
    <w:rsid w:val="00917F86"/>
    <w:rsid w:val="00921163"/>
    <w:rsid w:val="00922403"/>
    <w:rsid w:val="00922973"/>
    <w:rsid w:val="009258D3"/>
    <w:rsid w:val="00932260"/>
    <w:rsid w:val="009341F6"/>
    <w:rsid w:val="00944B1D"/>
    <w:rsid w:val="0095470D"/>
    <w:rsid w:val="0095679C"/>
    <w:rsid w:val="009567BA"/>
    <w:rsid w:val="00962572"/>
    <w:rsid w:val="009639D6"/>
    <w:rsid w:val="0096410F"/>
    <w:rsid w:val="009649FE"/>
    <w:rsid w:val="009714C5"/>
    <w:rsid w:val="009726DB"/>
    <w:rsid w:val="009751E0"/>
    <w:rsid w:val="00985E0C"/>
    <w:rsid w:val="00985F3E"/>
    <w:rsid w:val="00986A31"/>
    <w:rsid w:val="009904B1"/>
    <w:rsid w:val="00993458"/>
    <w:rsid w:val="0099634F"/>
    <w:rsid w:val="00997D6A"/>
    <w:rsid w:val="009A0B19"/>
    <w:rsid w:val="009A3F37"/>
    <w:rsid w:val="009A6665"/>
    <w:rsid w:val="009A7272"/>
    <w:rsid w:val="009A758C"/>
    <w:rsid w:val="009B23B4"/>
    <w:rsid w:val="009B3F08"/>
    <w:rsid w:val="009B4D46"/>
    <w:rsid w:val="009D5FA0"/>
    <w:rsid w:val="009D641A"/>
    <w:rsid w:val="009E2319"/>
    <w:rsid w:val="009E2A2A"/>
    <w:rsid w:val="009E376E"/>
    <w:rsid w:val="009E76DD"/>
    <w:rsid w:val="00A01237"/>
    <w:rsid w:val="00A06B94"/>
    <w:rsid w:val="00A1380A"/>
    <w:rsid w:val="00A20490"/>
    <w:rsid w:val="00A302AE"/>
    <w:rsid w:val="00A312CB"/>
    <w:rsid w:val="00A32A14"/>
    <w:rsid w:val="00A354B6"/>
    <w:rsid w:val="00A4069F"/>
    <w:rsid w:val="00A50222"/>
    <w:rsid w:val="00A53387"/>
    <w:rsid w:val="00A654CA"/>
    <w:rsid w:val="00A66DB1"/>
    <w:rsid w:val="00A7256F"/>
    <w:rsid w:val="00A83E84"/>
    <w:rsid w:val="00A924FD"/>
    <w:rsid w:val="00A9577C"/>
    <w:rsid w:val="00A95848"/>
    <w:rsid w:val="00A97139"/>
    <w:rsid w:val="00A97917"/>
    <w:rsid w:val="00AA1F57"/>
    <w:rsid w:val="00AA2774"/>
    <w:rsid w:val="00AA5671"/>
    <w:rsid w:val="00AB1E4F"/>
    <w:rsid w:val="00AC3559"/>
    <w:rsid w:val="00AC5A8E"/>
    <w:rsid w:val="00AD5145"/>
    <w:rsid w:val="00AD5E7A"/>
    <w:rsid w:val="00AE12D5"/>
    <w:rsid w:val="00AE21F9"/>
    <w:rsid w:val="00AE38BF"/>
    <w:rsid w:val="00AE41F4"/>
    <w:rsid w:val="00AE4735"/>
    <w:rsid w:val="00AE7DAF"/>
    <w:rsid w:val="00AF39C4"/>
    <w:rsid w:val="00AF7BB5"/>
    <w:rsid w:val="00B0359C"/>
    <w:rsid w:val="00B0446F"/>
    <w:rsid w:val="00B05713"/>
    <w:rsid w:val="00B1348B"/>
    <w:rsid w:val="00B2135A"/>
    <w:rsid w:val="00B22E43"/>
    <w:rsid w:val="00B25080"/>
    <w:rsid w:val="00B273A7"/>
    <w:rsid w:val="00B27605"/>
    <w:rsid w:val="00B31994"/>
    <w:rsid w:val="00B37D46"/>
    <w:rsid w:val="00B4078D"/>
    <w:rsid w:val="00B44C72"/>
    <w:rsid w:val="00B47093"/>
    <w:rsid w:val="00B50899"/>
    <w:rsid w:val="00B51D94"/>
    <w:rsid w:val="00B534B4"/>
    <w:rsid w:val="00B54A68"/>
    <w:rsid w:val="00B552B6"/>
    <w:rsid w:val="00B570F5"/>
    <w:rsid w:val="00B64598"/>
    <w:rsid w:val="00B652C5"/>
    <w:rsid w:val="00B667DD"/>
    <w:rsid w:val="00B756DE"/>
    <w:rsid w:val="00B77709"/>
    <w:rsid w:val="00B80252"/>
    <w:rsid w:val="00B814A0"/>
    <w:rsid w:val="00B83C2D"/>
    <w:rsid w:val="00B867E9"/>
    <w:rsid w:val="00B86E64"/>
    <w:rsid w:val="00B9051A"/>
    <w:rsid w:val="00B910DC"/>
    <w:rsid w:val="00B951F2"/>
    <w:rsid w:val="00BB141E"/>
    <w:rsid w:val="00BB3AC9"/>
    <w:rsid w:val="00BB4AE2"/>
    <w:rsid w:val="00BC5F78"/>
    <w:rsid w:val="00BC6136"/>
    <w:rsid w:val="00BD437C"/>
    <w:rsid w:val="00BD48B1"/>
    <w:rsid w:val="00BD4F3F"/>
    <w:rsid w:val="00BD4F4A"/>
    <w:rsid w:val="00BD5C2D"/>
    <w:rsid w:val="00BD671D"/>
    <w:rsid w:val="00BE1E20"/>
    <w:rsid w:val="00BF264C"/>
    <w:rsid w:val="00BF2A88"/>
    <w:rsid w:val="00BF2AD8"/>
    <w:rsid w:val="00BF77AD"/>
    <w:rsid w:val="00C1177B"/>
    <w:rsid w:val="00C124F7"/>
    <w:rsid w:val="00C20774"/>
    <w:rsid w:val="00C257C8"/>
    <w:rsid w:val="00C25C24"/>
    <w:rsid w:val="00C271F1"/>
    <w:rsid w:val="00C33A8F"/>
    <w:rsid w:val="00C33E2C"/>
    <w:rsid w:val="00C34374"/>
    <w:rsid w:val="00C36FBA"/>
    <w:rsid w:val="00C41808"/>
    <w:rsid w:val="00C47B11"/>
    <w:rsid w:val="00C506D7"/>
    <w:rsid w:val="00C50B11"/>
    <w:rsid w:val="00C5186A"/>
    <w:rsid w:val="00C576BE"/>
    <w:rsid w:val="00C70787"/>
    <w:rsid w:val="00C70F55"/>
    <w:rsid w:val="00C71675"/>
    <w:rsid w:val="00C75577"/>
    <w:rsid w:val="00C83CBB"/>
    <w:rsid w:val="00C85441"/>
    <w:rsid w:val="00C86F3C"/>
    <w:rsid w:val="00C9327F"/>
    <w:rsid w:val="00CA155C"/>
    <w:rsid w:val="00CA4B6F"/>
    <w:rsid w:val="00CA5862"/>
    <w:rsid w:val="00CB059C"/>
    <w:rsid w:val="00CB21B7"/>
    <w:rsid w:val="00CB380A"/>
    <w:rsid w:val="00CB4DE8"/>
    <w:rsid w:val="00CC138E"/>
    <w:rsid w:val="00CC416D"/>
    <w:rsid w:val="00CC5BFD"/>
    <w:rsid w:val="00CE3E82"/>
    <w:rsid w:val="00CE5D6E"/>
    <w:rsid w:val="00CE6847"/>
    <w:rsid w:val="00CF051B"/>
    <w:rsid w:val="00CF2169"/>
    <w:rsid w:val="00CF2F10"/>
    <w:rsid w:val="00CF351D"/>
    <w:rsid w:val="00D07004"/>
    <w:rsid w:val="00D07950"/>
    <w:rsid w:val="00D12C39"/>
    <w:rsid w:val="00D13F19"/>
    <w:rsid w:val="00D16361"/>
    <w:rsid w:val="00D1747C"/>
    <w:rsid w:val="00D215B9"/>
    <w:rsid w:val="00D220D7"/>
    <w:rsid w:val="00D22604"/>
    <w:rsid w:val="00D25C11"/>
    <w:rsid w:val="00D36BE6"/>
    <w:rsid w:val="00D41423"/>
    <w:rsid w:val="00D464B6"/>
    <w:rsid w:val="00D504D1"/>
    <w:rsid w:val="00D50C14"/>
    <w:rsid w:val="00D656E3"/>
    <w:rsid w:val="00D72378"/>
    <w:rsid w:val="00D757EA"/>
    <w:rsid w:val="00D75A3C"/>
    <w:rsid w:val="00D81A46"/>
    <w:rsid w:val="00D81FC8"/>
    <w:rsid w:val="00D81FED"/>
    <w:rsid w:val="00D92369"/>
    <w:rsid w:val="00D95028"/>
    <w:rsid w:val="00D95044"/>
    <w:rsid w:val="00DA2E94"/>
    <w:rsid w:val="00DA5E77"/>
    <w:rsid w:val="00DB03AC"/>
    <w:rsid w:val="00DB3879"/>
    <w:rsid w:val="00DB6D45"/>
    <w:rsid w:val="00DC2289"/>
    <w:rsid w:val="00DC2507"/>
    <w:rsid w:val="00DC3BF6"/>
    <w:rsid w:val="00DC5AA5"/>
    <w:rsid w:val="00DD2723"/>
    <w:rsid w:val="00DD2DDE"/>
    <w:rsid w:val="00DD4A6B"/>
    <w:rsid w:val="00DE78FC"/>
    <w:rsid w:val="00DF1515"/>
    <w:rsid w:val="00DF5D71"/>
    <w:rsid w:val="00E02EC1"/>
    <w:rsid w:val="00E03160"/>
    <w:rsid w:val="00E05452"/>
    <w:rsid w:val="00E07F95"/>
    <w:rsid w:val="00E1322D"/>
    <w:rsid w:val="00E162BF"/>
    <w:rsid w:val="00E20324"/>
    <w:rsid w:val="00E2733D"/>
    <w:rsid w:val="00E31B50"/>
    <w:rsid w:val="00E31FC9"/>
    <w:rsid w:val="00E326F9"/>
    <w:rsid w:val="00E33506"/>
    <w:rsid w:val="00E36292"/>
    <w:rsid w:val="00E36543"/>
    <w:rsid w:val="00E43825"/>
    <w:rsid w:val="00E5055A"/>
    <w:rsid w:val="00E50D38"/>
    <w:rsid w:val="00E62572"/>
    <w:rsid w:val="00E65E51"/>
    <w:rsid w:val="00E67FEE"/>
    <w:rsid w:val="00E711C1"/>
    <w:rsid w:val="00E7338A"/>
    <w:rsid w:val="00E73AFA"/>
    <w:rsid w:val="00E74FE4"/>
    <w:rsid w:val="00E76BAB"/>
    <w:rsid w:val="00E80EFB"/>
    <w:rsid w:val="00E82BF5"/>
    <w:rsid w:val="00E831F8"/>
    <w:rsid w:val="00E863D4"/>
    <w:rsid w:val="00E91542"/>
    <w:rsid w:val="00E9185D"/>
    <w:rsid w:val="00E91DF8"/>
    <w:rsid w:val="00EA1B21"/>
    <w:rsid w:val="00EA5552"/>
    <w:rsid w:val="00EB4509"/>
    <w:rsid w:val="00EB4E8B"/>
    <w:rsid w:val="00EC13F3"/>
    <w:rsid w:val="00ED6A6F"/>
    <w:rsid w:val="00EE2F4D"/>
    <w:rsid w:val="00EE2FBA"/>
    <w:rsid w:val="00EE3521"/>
    <w:rsid w:val="00EE6E84"/>
    <w:rsid w:val="00EF1371"/>
    <w:rsid w:val="00F02467"/>
    <w:rsid w:val="00F030BE"/>
    <w:rsid w:val="00F03A0D"/>
    <w:rsid w:val="00F07A16"/>
    <w:rsid w:val="00F17856"/>
    <w:rsid w:val="00F21A22"/>
    <w:rsid w:val="00F24CC9"/>
    <w:rsid w:val="00F252F3"/>
    <w:rsid w:val="00F25D29"/>
    <w:rsid w:val="00F403ED"/>
    <w:rsid w:val="00F40D7D"/>
    <w:rsid w:val="00F457D1"/>
    <w:rsid w:val="00F479CA"/>
    <w:rsid w:val="00F47D0E"/>
    <w:rsid w:val="00F53BDE"/>
    <w:rsid w:val="00F56240"/>
    <w:rsid w:val="00F56FDA"/>
    <w:rsid w:val="00F61F7E"/>
    <w:rsid w:val="00F6546A"/>
    <w:rsid w:val="00F662FC"/>
    <w:rsid w:val="00F752C2"/>
    <w:rsid w:val="00F7736C"/>
    <w:rsid w:val="00F83586"/>
    <w:rsid w:val="00F85561"/>
    <w:rsid w:val="00F87669"/>
    <w:rsid w:val="00F877A1"/>
    <w:rsid w:val="00F9512B"/>
    <w:rsid w:val="00F96905"/>
    <w:rsid w:val="00F97389"/>
    <w:rsid w:val="00FA1902"/>
    <w:rsid w:val="00FA1EC1"/>
    <w:rsid w:val="00FB1DBB"/>
    <w:rsid w:val="00FB2296"/>
    <w:rsid w:val="00FB543B"/>
    <w:rsid w:val="00FC2674"/>
    <w:rsid w:val="00FC36B7"/>
    <w:rsid w:val="00FC41A7"/>
    <w:rsid w:val="00FD0AB3"/>
    <w:rsid w:val="00FD0EDD"/>
    <w:rsid w:val="00FD4063"/>
    <w:rsid w:val="00FD4AB8"/>
    <w:rsid w:val="00FD5DCA"/>
    <w:rsid w:val="00FD6325"/>
    <w:rsid w:val="00FD6D3B"/>
    <w:rsid w:val="00FD6D6D"/>
    <w:rsid w:val="00FD738D"/>
    <w:rsid w:val="00FD742A"/>
    <w:rsid w:val="00FD7B66"/>
    <w:rsid w:val="00FE290D"/>
    <w:rsid w:val="00FF54A0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9B5CCE7-03C4-4322-865E-1EE56540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54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654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65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A654CA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a">
    <w:name w:val="Основной текст Знак"/>
    <w:link w:val="a9"/>
    <w:rsid w:val="00A654CA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rsid w:val="00A654CA"/>
    <w:pPr>
      <w:spacing w:after="120"/>
    </w:pPr>
    <w:rPr>
      <w:rFonts w:ascii="NTHarmonica" w:hAnsi="NTHarmonica"/>
      <w:szCs w:val="20"/>
    </w:rPr>
  </w:style>
  <w:style w:type="character" w:styleId="ab">
    <w:name w:val="Placeholder Text"/>
    <w:uiPriority w:val="99"/>
    <w:semiHidden/>
    <w:rsid w:val="00FC36B7"/>
    <w:rPr>
      <w:color w:val="808080"/>
    </w:rPr>
  </w:style>
  <w:style w:type="character" w:styleId="ac">
    <w:name w:val="annotation reference"/>
    <w:semiHidden/>
    <w:rsid w:val="00FA1EC1"/>
    <w:rPr>
      <w:sz w:val="16"/>
      <w:szCs w:val="16"/>
    </w:rPr>
  </w:style>
  <w:style w:type="paragraph" w:styleId="ad">
    <w:name w:val="annotation text"/>
    <w:basedOn w:val="a"/>
    <w:semiHidden/>
    <w:rsid w:val="00FA1EC1"/>
    <w:rPr>
      <w:sz w:val="20"/>
      <w:szCs w:val="20"/>
    </w:rPr>
  </w:style>
  <w:style w:type="paragraph" w:styleId="ae">
    <w:name w:val="annotation subject"/>
    <w:basedOn w:val="ad"/>
    <w:next w:val="ad"/>
    <w:semiHidden/>
    <w:rsid w:val="00FA1EC1"/>
    <w:rPr>
      <w:b/>
      <w:bCs/>
    </w:rPr>
  </w:style>
  <w:style w:type="character" w:styleId="HTML">
    <w:name w:val="HTML Cite"/>
    <w:uiPriority w:val="99"/>
    <w:semiHidden/>
    <w:unhideWhenUsed/>
    <w:rsid w:val="005E0C21"/>
    <w:rPr>
      <w:i/>
      <w:iCs/>
    </w:rPr>
  </w:style>
  <w:style w:type="character" w:customStyle="1" w:styleId="sourhr1">
    <w:name w:val="sourhr1"/>
    <w:rsid w:val="005E0C2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E0C21"/>
    <w:pPr>
      <w:spacing w:before="100" w:beforeAutospacing="1" w:after="100" w:afterAutospacing="1"/>
    </w:pPr>
  </w:style>
  <w:style w:type="paragraph" w:styleId="af0">
    <w:name w:val="Revision"/>
    <w:hidden/>
    <w:uiPriority w:val="99"/>
    <w:semiHidden/>
    <w:rsid w:val="00B77709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uiPriority w:val="59"/>
    <w:rsid w:val="002E4F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2E4F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233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55D01-1E64-4E74-BC0B-D1EFB927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7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mochikina</dc:creator>
  <cp:lastModifiedBy>Болобан Екатерина Александровна</cp:lastModifiedBy>
  <cp:revision>173</cp:revision>
  <cp:lastPrinted>2021-12-16T11:12:00Z</cp:lastPrinted>
  <dcterms:created xsi:type="dcterms:W3CDTF">2022-04-25T06:05:00Z</dcterms:created>
  <dcterms:modified xsi:type="dcterms:W3CDTF">2023-07-12T12:22:00Z</dcterms:modified>
</cp:coreProperties>
</file>