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3560E9">
        <w:trPr>
          <w:trHeight w:val="567"/>
        </w:trPr>
        <w:tc>
          <w:tcPr>
            <w:tcW w:w="5495" w:type="dxa"/>
          </w:tcPr>
          <w:p w:rsidR="002B7808" w:rsidRDefault="009B0CFC" w:rsidP="002B780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Таблетки</w:t>
            </w:r>
            <w:r w:rsidR="000818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гомеопатические</w:t>
            </w:r>
          </w:p>
        </w:tc>
        <w:tc>
          <w:tcPr>
            <w:tcW w:w="283" w:type="dxa"/>
          </w:tcPr>
          <w:p w:rsidR="00341DC8" w:rsidRPr="00C64DC5" w:rsidRDefault="00341DC8" w:rsidP="007A5F4C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7A5F4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282F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.1.6.2.0016</w:t>
            </w:r>
          </w:p>
        </w:tc>
      </w:tr>
      <w:tr w:rsidR="00341DC8" w:rsidRPr="00C64DC5" w:rsidTr="003560E9">
        <w:trPr>
          <w:trHeight w:val="567"/>
        </w:trPr>
        <w:tc>
          <w:tcPr>
            <w:tcW w:w="5495" w:type="dxa"/>
          </w:tcPr>
          <w:p w:rsidR="00C043DD" w:rsidRPr="00C043DD" w:rsidRDefault="00C043DD" w:rsidP="007A5F4C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C043DD" w:rsidRDefault="00341DC8" w:rsidP="007A5F4C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B7808" w:rsidRDefault="007104DD" w:rsidP="002B780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ОФС.1.6.2.00</w:t>
            </w:r>
            <w:r w:rsidR="009B0C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EB74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C1668" w:rsidRPr="00CC38DD" w:rsidRDefault="009B0CFC" w:rsidP="00FB78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38DD">
        <w:rPr>
          <w:sz w:val="28"/>
          <w:szCs w:val="28"/>
        </w:rPr>
        <w:t>Таблетки гомеопатические − тв</w:t>
      </w:r>
      <w:r w:rsidR="006A7AF0">
        <w:rPr>
          <w:sz w:val="28"/>
          <w:szCs w:val="28"/>
        </w:rPr>
        <w:t>ё</w:t>
      </w:r>
      <w:r w:rsidRPr="00CC38DD">
        <w:rPr>
          <w:sz w:val="28"/>
          <w:szCs w:val="28"/>
        </w:rPr>
        <w:t>рдая дози</w:t>
      </w:r>
      <w:bookmarkStart w:id="0" w:name="_GoBack"/>
      <w:bookmarkEnd w:id="0"/>
      <w:r w:rsidRPr="00CC38DD">
        <w:rPr>
          <w:sz w:val="28"/>
          <w:szCs w:val="28"/>
        </w:rPr>
        <w:t xml:space="preserve">рованная лекарственная форма, </w:t>
      </w:r>
      <w:r w:rsidR="00700B84" w:rsidRPr="00CC38DD">
        <w:rPr>
          <w:sz w:val="28"/>
          <w:szCs w:val="28"/>
        </w:rPr>
        <w:t>получаемая пут</w:t>
      </w:r>
      <w:r w:rsidR="00927DE3" w:rsidRPr="00CC38DD">
        <w:rPr>
          <w:sz w:val="28"/>
          <w:szCs w:val="28"/>
        </w:rPr>
        <w:t>ё</w:t>
      </w:r>
      <w:r w:rsidR="00700B84" w:rsidRPr="00CC38DD">
        <w:rPr>
          <w:sz w:val="28"/>
          <w:szCs w:val="28"/>
        </w:rPr>
        <w:t xml:space="preserve">м </w:t>
      </w:r>
      <w:r w:rsidR="00700B84" w:rsidRPr="00826C9E">
        <w:rPr>
          <w:sz w:val="28"/>
          <w:szCs w:val="28"/>
        </w:rPr>
        <w:t>прессования</w:t>
      </w:r>
      <w:r w:rsidRPr="00CC38DD">
        <w:rPr>
          <w:sz w:val="28"/>
          <w:szCs w:val="28"/>
        </w:rPr>
        <w:t>, состоящая из одного или нескольких активных компонентов и вспомогательных веществ</w:t>
      </w:r>
      <w:r w:rsidR="005A2749" w:rsidRPr="00CC38DD">
        <w:rPr>
          <w:sz w:val="28"/>
          <w:szCs w:val="28"/>
        </w:rPr>
        <w:t>.</w:t>
      </w:r>
    </w:p>
    <w:p w:rsidR="00B93D64" w:rsidRPr="00CC38DD" w:rsidRDefault="000F57DC" w:rsidP="00FB78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C38DD">
        <w:rPr>
          <w:color w:val="auto"/>
          <w:sz w:val="28"/>
          <w:szCs w:val="28"/>
        </w:rPr>
        <w:t xml:space="preserve">В зависимости от </w:t>
      </w:r>
      <w:r w:rsidR="00CA6196" w:rsidRPr="00CC38DD">
        <w:rPr>
          <w:color w:val="auto"/>
          <w:sz w:val="28"/>
          <w:szCs w:val="28"/>
        </w:rPr>
        <w:t>способа применения различают</w:t>
      </w:r>
      <w:r w:rsidR="00826C9E">
        <w:rPr>
          <w:color w:val="auto"/>
          <w:sz w:val="28"/>
          <w:szCs w:val="28"/>
        </w:rPr>
        <w:t>:</w:t>
      </w:r>
      <w:r w:rsidR="00CA6196" w:rsidRPr="00CC38DD">
        <w:rPr>
          <w:color w:val="auto"/>
          <w:sz w:val="28"/>
          <w:szCs w:val="28"/>
        </w:rPr>
        <w:t xml:space="preserve"> </w:t>
      </w:r>
    </w:p>
    <w:p w:rsidR="004B5D5F" w:rsidRPr="00CC38DD" w:rsidRDefault="002B7808" w:rsidP="00FB78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B7808">
        <w:rPr>
          <w:color w:val="auto"/>
          <w:sz w:val="28"/>
          <w:szCs w:val="28"/>
        </w:rPr>
        <w:t>-</w:t>
      </w:r>
      <w:r w:rsidR="00EB7408">
        <w:rPr>
          <w:i/>
          <w:color w:val="auto"/>
          <w:sz w:val="28"/>
          <w:szCs w:val="28"/>
        </w:rPr>
        <w:t> </w:t>
      </w:r>
      <w:r w:rsidR="00826C9E">
        <w:rPr>
          <w:i/>
          <w:color w:val="auto"/>
          <w:sz w:val="28"/>
          <w:szCs w:val="28"/>
        </w:rPr>
        <w:t>т</w:t>
      </w:r>
      <w:r w:rsidR="004B5D5F" w:rsidRPr="00CC38DD">
        <w:rPr>
          <w:i/>
          <w:color w:val="auto"/>
          <w:sz w:val="28"/>
          <w:szCs w:val="28"/>
        </w:rPr>
        <w:t xml:space="preserve">аблетки </w:t>
      </w:r>
      <w:r w:rsidR="00927DE3" w:rsidRPr="00CC38DD">
        <w:rPr>
          <w:i/>
          <w:color w:val="auto"/>
          <w:sz w:val="28"/>
          <w:szCs w:val="28"/>
        </w:rPr>
        <w:t xml:space="preserve">гомеопатические </w:t>
      </w:r>
      <w:r w:rsidR="004B5D5F" w:rsidRPr="00CC38DD">
        <w:rPr>
          <w:sz w:val="28"/>
          <w:szCs w:val="28"/>
        </w:rPr>
        <w:t>−</w:t>
      </w:r>
      <w:r w:rsidR="004B5D5F" w:rsidRPr="00CC38DD">
        <w:rPr>
          <w:i/>
          <w:color w:val="auto"/>
          <w:sz w:val="28"/>
          <w:szCs w:val="28"/>
        </w:rPr>
        <w:t xml:space="preserve"> </w:t>
      </w:r>
      <w:r w:rsidR="004B5D5F" w:rsidRPr="00CC38DD">
        <w:rPr>
          <w:color w:val="auto"/>
          <w:sz w:val="28"/>
          <w:szCs w:val="28"/>
        </w:rPr>
        <w:t xml:space="preserve">таблетки </w:t>
      </w:r>
      <w:r w:rsidR="00927DE3" w:rsidRPr="00CC38DD">
        <w:rPr>
          <w:color w:val="auto"/>
          <w:sz w:val="28"/>
          <w:szCs w:val="28"/>
        </w:rPr>
        <w:t>гомеопатические</w:t>
      </w:r>
      <w:r w:rsidR="00826C9E">
        <w:rPr>
          <w:color w:val="auto"/>
          <w:sz w:val="28"/>
          <w:szCs w:val="28"/>
        </w:rPr>
        <w:t xml:space="preserve">, предназначенные </w:t>
      </w:r>
      <w:r w:rsidR="004B5D5F" w:rsidRPr="00CC38DD">
        <w:rPr>
          <w:color w:val="auto"/>
          <w:sz w:val="28"/>
          <w:szCs w:val="28"/>
        </w:rPr>
        <w:t>для при</w:t>
      </w:r>
      <w:r w:rsidR="00927DE3" w:rsidRPr="00CC38DD">
        <w:rPr>
          <w:color w:val="auto"/>
          <w:sz w:val="28"/>
          <w:szCs w:val="28"/>
        </w:rPr>
        <w:t>ё</w:t>
      </w:r>
      <w:r w:rsidR="00826C9E">
        <w:rPr>
          <w:color w:val="auto"/>
          <w:sz w:val="28"/>
          <w:szCs w:val="28"/>
        </w:rPr>
        <w:t>ма внутрь;</w:t>
      </w:r>
      <w:r w:rsidR="004B5D5F" w:rsidRPr="00CC38DD">
        <w:rPr>
          <w:color w:val="auto"/>
          <w:sz w:val="28"/>
          <w:szCs w:val="28"/>
        </w:rPr>
        <w:t xml:space="preserve"> </w:t>
      </w:r>
    </w:p>
    <w:p w:rsidR="00CA6196" w:rsidRDefault="002B7808" w:rsidP="00FB78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7808">
        <w:rPr>
          <w:color w:val="auto"/>
          <w:sz w:val="28"/>
          <w:szCs w:val="28"/>
        </w:rPr>
        <w:t>-</w:t>
      </w:r>
      <w:r w:rsidR="00EB7408">
        <w:rPr>
          <w:i/>
          <w:color w:val="auto"/>
          <w:sz w:val="28"/>
          <w:szCs w:val="28"/>
        </w:rPr>
        <w:t> </w:t>
      </w:r>
      <w:r w:rsidR="00CC3AA1">
        <w:rPr>
          <w:i/>
          <w:color w:val="auto"/>
          <w:sz w:val="28"/>
          <w:szCs w:val="28"/>
        </w:rPr>
        <w:t>т</w:t>
      </w:r>
      <w:r w:rsidR="00CC3AA1" w:rsidRPr="00CC38DD">
        <w:rPr>
          <w:i/>
          <w:color w:val="auto"/>
          <w:sz w:val="28"/>
          <w:szCs w:val="28"/>
        </w:rPr>
        <w:t>аблетки</w:t>
      </w:r>
      <w:r w:rsidR="00826C9E">
        <w:rPr>
          <w:i/>
          <w:color w:val="auto"/>
          <w:sz w:val="28"/>
          <w:szCs w:val="28"/>
        </w:rPr>
        <w:t>,</w:t>
      </w:r>
      <w:r w:rsidR="00927DE3" w:rsidRPr="00CC38DD">
        <w:rPr>
          <w:i/>
          <w:color w:val="auto"/>
          <w:sz w:val="28"/>
          <w:szCs w:val="28"/>
        </w:rPr>
        <w:t xml:space="preserve"> </w:t>
      </w:r>
      <w:r w:rsidR="00CA6196" w:rsidRPr="00CC38DD">
        <w:rPr>
          <w:i/>
          <w:color w:val="auto"/>
          <w:sz w:val="28"/>
          <w:szCs w:val="28"/>
        </w:rPr>
        <w:t>диспергируемые в полости рта</w:t>
      </w:r>
      <w:r w:rsidR="00847131">
        <w:rPr>
          <w:i/>
          <w:color w:val="auto"/>
          <w:sz w:val="28"/>
          <w:szCs w:val="28"/>
        </w:rPr>
        <w:t>,</w:t>
      </w:r>
      <w:r w:rsidR="00CA6196" w:rsidRPr="00CC38DD">
        <w:rPr>
          <w:color w:val="auto"/>
          <w:sz w:val="28"/>
          <w:szCs w:val="28"/>
        </w:rPr>
        <w:t xml:space="preserve"> </w:t>
      </w:r>
      <w:r w:rsidR="00826C9E" w:rsidRPr="00CC38DD">
        <w:rPr>
          <w:i/>
          <w:color w:val="auto"/>
          <w:sz w:val="28"/>
          <w:szCs w:val="28"/>
        </w:rPr>
        <w:t>гомеопатические</w:t>
      </w:r>
      <w:r w:rsidR="00826C9E">
        <w:rPr>
          <w:i/>
          <w:color w:val="auto"/>
          <w:sz w:val="28"/>
          <w:szCs w:val="28"/>
        </w:rPr>
        <w:t xml:space="preserve"> </w:t>
      </w:r>
      <w:r w:rsidR="00927DE3" w:rsidRPr="00CC38DD">
        <w:rPr>
          <w:sz w:val="28"/>
          <w:szCs w:val="28"/>
        </w:rPr>
        <w:t>–</w:t>
      </w:r>
      <w:r w:rsidR="00CA6196" w:rsidRPr="00CC38DD">
        <w:rPr>
          <w:sz w:val="28"/>
          <w:szCs w:val="28"/>
        </w:rPr>
        <w:t xml:space="preserve"> таблетки</w:t>
      </w:r>
      <w:r w:rsidR="00927DE3" w:rsidRPr="00CC38DD">
        <w:rPr>
          <w:sz w:val="28"/>
          <w:szCs w:val="28"/>
        </w:rPr>
        <w:t xml:space="preserve"> гомеопатические</w:t>
      </w:r>
      <w:r w:rsidR="00CA6196" w:rsidRPr="00CC38DD">
        <w:rPr>
          <w:sz w:val="28"/>
          <w:szCs w:val="28"/>
        </w:rPr>
        <w:t>, которые помещают в полость рта, где они диспергируются до проглатывания.</w:t>
      </w:r>
    </w:p>
    <w:p w:rsidR="008C1668" w:rsidRPr="00D80083" w:rsidRDefault="008C1668" w:rsidP="00FB78D9">
      <w:pPr>
        <w:pStyle w:val="Default"/>
        <w:spacing w:before="240" w:line="360" w:lineRule="auto"/>
        <w:jc w:val="center"/>
        <w:rPr>
          <w:b/>
          <w:sz w:val="28"/>
          <w:szCs w:val="28"/>
        </w:rPr>
      </w:pPr>
      <w:r w:rsidRPr="00D80083">
        <w:rPr>
          <w:b/>
          <w:sz w:val="28"/>
          <w:szCs w:val="28"/>
        </w:rPr>
        <w:t>О</w:t>
      </w:r>
      <w:r w:rsidR="00D80083">
        <w:rPr>
          <w:b/>
          <w:sz w:val="28"/>
          <w:szCs w:val="28"/>
        </w:rPr>
        <w:t>собенности технологии</w:t>
      </w:r>
    </w:p>
    <w:p w:rsidR="002B7808" w:rsidRDefault="009B0CFC" w:rsidP="002B78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CB6">
        <w:rPr>
          <w:sz w:val="28"/>
          <w:szCs w:val="28"/>
        </w:rPr>
        <w:t>Таблетки гомеопатические могут быть получены прессованием одного или более активных компонентов со вспомогательными веществами (способ 1) или насыщением таблеток, полученных пут</w:t>
      </w:r>
      <w:r w:rsidR="00525A37">
        <w:rPr>
          <w:sz w:val="28"/>
          <w:szCs w:val="28"/>
        </w:rPr>
        <w:t>ё</w:t>
      </w:r>
      <w:r w:rsidRPr="000A1CB6">
        <w:rPr>
          <w:sz w:val="28"/>
          <w:szCs w:val="28"/>
        </w:rPr>
        <w:t xml:space="preserve">м предварительного прессования, разведениями одного или нескольких активных компонентов (способ 2). </w:t>
      </w:r>
    </w:p>
    <w:p w:rsidR="008C1668" w:rsidRDefault="009B0CFC" w:rsidP="00525A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558">
        <w:rPr>
          <w:rFonts w:ascii="Times New Roman" w:hAnsi="Times New Roman"/>
          <w:b/>
          <w:bCs/>
          <w:i/>
          <w:sz w:val="28"/>
          <w:szCs w:val="28"/>
        </w:rPr>
        <w:t>Способ 1</w:t>
      </w:r>
      <w:r w:rsidRPr="000A1CB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A1CB6">
        <w:rPr>
          <w:rFonts w:ascii="Times New Roman" w:hAnsi="Times New Roman"/>
          <w:sz w:val="28"/>
          <w:szCs w:val="28"/>
        </w:rPr>
        <w:t>Таблетки гомеопатические получают прессованием тритураций гомеопатических, отвечающих требованиям ОФС «Тритурации гомеопатические»,</w:t>
      </w:r>
      <w:r w:rsidR="00DF0622">
        <w:rPr>
          <w:rFonts w:ascii="Times New Roman" w:hAnsi="Times New Roman"/>
          <w:sz w:val="28"/>
          <w:szCs w:val="28"/>
        </w:rPr>
        <w:t xml:space="preserve"> со вспомогательными веществами</w:t>
      </w:r>
      <w:r w:rsidRPr="000A1CB6">
        <w:rPr>
          <w:rFonts w:ascii="Times New Roman" w:hAnsi="Times New Roman"/>
          <w:sz w:val="28"/>
          <w:szCs w:val="28"/>
        </w:rPr>
        <w:t xml:space="preserve"> по технологиям, общепринятым при производстве</w:t>
      </w:r>
      <w:r w:rsidR="00826C9E">
        <w:rPr>
          <w:rFonts w:ascii="Times New Roman" w:hAnsi="Times New Roman"/>
          <w:sz w:val="28"/>
          <w:szCs w:val="28"/>
        </w:rPr>
        <w:t xml:space="preserve"> </w:t>
      </w:r>
      <w:r w:rsidRPr="000A1CB6">
        <w:rPr>
          <w:rFonts w:ascii="Times New Roman" w:hAnsi="Times New Roman"/>
          <w:sz w:val="28"/>
          <w:szCs w:val="28"/>
        </w:rPr>
        <w:t>таблеток. Если в процессе производства</w:t>
      </w:r>
      <w:r w:rsidR="00826C9E">
        <w:rPr>
          <w:rFonts w:ascii="Times New Roman" w:hAnsi="Times New Roman"/>
          <w:sz w:val="28"/>
          <w:szCs w:val="28"/>
        </w:rPr>
        <w:t xml:space="preserve"> </w:t>
      </w:r>
      <w:r w:rsidRPr="000A1CB6">
        <w:rPr>
          <w:rFonts w:ascii="Times New Roman" w:hAnsi="Times New Roman"/>
          <w:sz w:val="28"/>
          <w:szCs w:val="28"/>
        </w:rPr>
        <w:lastRenderedPageBreak/>
        <w:t>необходимо гранулирование, то в качестве гранулирующей жидкости используют воду, а также спирт предписанной концентрации.</w:t>
      </w:r>
      <w:r w:rsidR="008C1668" w:rsidRPr="008C1668">
        <w:rPr>
          <w:rFonts w:ascii="Times New Roman" w:hAnsi="Times New Roman"/>
          <w:sz w:val="28"/>
          <w:szCs w:val="28"/>
        </w:rPr>
        <w:t xml:space="preserve"> </w:t>
      </w:r>
    </w:p>
    <w:p w:rsidR="002B7808" w:rsidRDefault="009B0CFC" w:rsidP="002B78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CB6">
        <w:rPr>
          <w:sz w:val="28"/>
          <w:szCs w:val="28"/>
        </w:rPr>
        <w:t xml:space="preserve">В качестве вспомогательных веществ используют лактозу, сахарозу или другие вспомогательные вещества </w:t>
      </w:r>
      <w:r w:rsidR="00B93D64">
        <w:rPr>
          <w:sz w:val="28"/>
          <w:szCs w:val="28"/>
        </w:rPr>
        <w:t>(</w:t>
      </w:r>
      <w:r w:rsidRPr="000A1CB6">
        <w:rPr>
          <w:sz w:val="28"/>
          <w:szCs w:val="28"/>
        </w:rPr>
        <w:t>ОФС «Таблетки»</w:t>
      </w:r>
      <w:r w:rsidR="00B93D64">
        <w:rPr>
          <w:sz w:val="28"/>
          <w:szCs w:val="28"/>
        </w:rPr>
        <w:t>)</w:t>
      </w:r>
      <w:r w:rsidRPr="000A1CB6">
        <w:rPr>
          <w:sz w:val="28"/>
          <w:szCs w:val="28"/>
        </w:rPr>
        <w:t xml:space="preserve">. </w:t>
      </w:r>
    </w:p>
    <w:p w:rsidR="009B0CFC" w:rsidRPr="009B0CFC" w:rsidRDefault="009B0CFC" w:rsidP="00525A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CFC">
        <w:rPr>
          <w:rFonts w:ascii="Times New Roman" w:hAnsi="Times New Roman"/>
          <w:sz w:val="28"/>
          <w:szCs w:val="28"/>
        </w:rPr>
        <w:t>Масса гомеопатических тритураций в одной таблетке, как правило, должна составлять 0,1</w:t>
      </w:r>
      <w:r w:rsidR="00B93D64">
        <w:rPr>
          <w:rFonts w:ascii="Times New Roman" w:hAnsi="Times New Roman"/>
          <w:sz w:val="28"/>
          <w:szCs w:val="28"/>
        </w:rPr>
        <w:t> </w:t>
      </w:r>
      <w:r w:rsidRPr="009B0CFC">
        <w:rPr>
          <w:rFonts w:ascii="Times New Roman" w:hAnsi="Times New Roman"/>
          <w:sz w:val="28"/>
          <w:szCs w:val="28"/>
        </w:rPr>
        <w:t>г или 0,25</w:t>
      </w:r>
      <w:r w:rsidR="00B93D64">
        <w:rPr>
          <w:rFonts w:ascii="Times New Roman" w:hAnsi="Times New Roman"/>
          <w:sz w:val="28"/>
          <w:szCs w:val="28"/>
        </w:rPr>
        <w:t> </w:t>
      </w:r>
      <w:r w:rsidRPr="009B0CFC">
        <w:rPr>
          <w:rFonts w:ascii="Times New Roman" w:hAnsi="Times New Roman"/>
          <w:sz w:val="28"/>
          <w:szCs w:val="28"/>
        </w:rPr>
        <w:t>г, если нет других указаний в фармакопейной статье. Вспомогательные вещества добавляют к этой массе.</w:t>
      </w:r>
    </w:p>
    <w:p w:rsidR="002B7808" w:rsidRDefault="009B0C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558">
        <w:rPr>
          <w:rFonts w:ascii="Times New Roman" w:hAnsi="Times New Roman"/>
          <w:b/>
          <w:bCs/>
          <w:i/>
          <w:sz w:val="28"/>
          <w:szCs w:val="28"/>
        </w:rPr>
        <w:t>Способ 2</w:t>
      </w:r>
      <w:r w:rsidRPr="009B0CF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B0CFC">
        <w:rPr>
          <w:rFonts w:ascii="Times New Roman" w:hAnsi="Times New Roman"/>
          <w:sz w:val="28"/>
          <w:szCs w:val="28"/>
        </w:rPr>
        <w:t>Таблетки гомеопатические получают насыщением таблеток, полученных пут</w:t>
      </w:r>
      <w:r w:rsidR="00F35F49">
        <w:rPr>
          <w:rFonts w:ascii="Times New Roman" w:hAnsi="Times New Roman"/>
          <w:sz w:val="28"/>
          <w:szCs w:val="28"/>
        </w:rPr>
        <w:t>ё</w:t>
      </w:r>
      <w:r w:rsidRPr="009B0CFC">
        <w:rPr>
          <w:rFonts w:ascii="Times New Roman" w:hAnsi="Times New Roman"/>
          <w:sz w:val="28"/>
          <w:szCs w:val="28"/>
        </w:rPr>
        <w:t>м предварительного прессования лактозы, сахарозы или других подходящих вспомогательных веществ, в соответствии с технологией способа 1, гомеопатическими разведениями одного или нескольких активных компонентов.</w:t>
      </w:r>
    </w:p>
    <w:p w:rsidR="002B7808" w:rsidRDefault="00D80083" w:rsidP="002B7808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083">
        <w:rPr>
          <w:rFonts w:ascii="Times New Roman" w:hAnsi="Times New Roman"/>
          <w:b/>
          <w:sz w:val="28"/>
          <w:szCs w:val="28"/>
        </w:rPr>
        <w:t>Испытания</w:t>
      </w:r>
    </w:p>
    <w:p w:rsidR="002B7808" w:rsidRDefault="009B0CFC" w:rsidP="002B78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0CFC">
        <w:rPr>
          <w:sz w:val="28"/>
          <w:szCs w:val="28"/>
        </w:rPr>
        <w:t xml:space="preserve">Качество таблеток гомеопатических оценивают в соответствии с требованиями ОФС «Таблетки». </w:t>
      </w:r>
    </w:p>
    <w:p w:rsidR="009B0CFC" w:rsidRPr="009B0CFC" w:rsidRDefault="009B0CFC" w:rsidP="00525A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9B0CFC">
        <w:rPr>
          <w:rFonts w:ascii="Times New Roman" w:hAnsi="Times New Roman"/>
          <w:sz w:val="28"/>
          <w:szCs w:val="28"/>
        </w:rPr>
        <w:t xml:space="preserve"> если степень поте</w:t>
      </w:r>
      <w:r w:rsidR="00766B9F">
        <w:rPr>
          <w:rFonts w:ascii="Times New Roman" w:hAnsi="Times New Roman"/>
          <w:sz w:val="28"/>
          <w:szCs w:val="28"/>
        </w:rPr>
        <w:t>нцирования активного компонента (</w:t>
      </w:r>
      <w:r w:rsidRPr="009B0CFC">
        <w:rPr>
          <w:rFonts w:ascii="Times New Roman" w:hAnsi="Times New Roman"/>
          <w:sz w:val="28"/>
          <w:szCs w:val="28"/>
        </w:rPr>
        <w:t>активных компонентов</w:t>
      </w:r>
      <w:r w:rsidR="00766B9F">
        <w:rPr>
          <w:rFonts w:ascii="Times New Roman" w:hAnsi="Times New Roman"/>
          <w:sz w:val="28"/>
          <w:szCs w:val="28"/>
        </w:rPr>
        <w:t>)</w:t>
      </w:r>
      <w:r w:rsidRPr="009B0CFC">
        <w:rPr>
          <w:rFonts w:ascii="Times New Roman" w:hAnsi="Times New Roman"/>
          <w:sz w:val="28"/>
          <w:szCs w:val="28"/>
        </w:rPr>
        <w:t xml:space="preserve">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404423" w:rsidRPr="00936CC5" w:rsidRDefault="00D80083" w:rsidP="00DF0F45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936CC5">
        <w:rPr>
          <w:b/>
          <w:color w:val="auto"/>
          <w:sz w:val="28"/>
          <w:szCs w:val="28"/>
        </w:rPr>
        <w:t>Упаковка</w:t>
      </w:r>
    </w:p>
    <w:p w:rsidR="002B7808" w:rsidRDefault="00766B9F" w:rsidP="002B78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 должна обеспечивать стабильность лекарственного препарата в течение установленного срока годности (ОФС «Лекарств</w:t>
      </w:r>
      <w:r w:rsidR="00327EE8">
        <w:rPr>
          <w:sz w:val="28"/>
          <w:szCs w:val="28"/>
        </w:rPr>
        <w:t>енные формы</w:t>
      </w:r>
      <w:r>
        <w:rPr>
          <w:sz w:val="28"/>
          <w:szCs w:val="28"/>
        </w:rPr>
        <w:t xml:space="preserve"> гомеопатических лекарственных препаратов»). </w:t>
      </w:r>
    </w:p>
    <w:p w:rsidR="00404423" w:rsidRPr="00936CC5" w:rsidRDefault="00D80083" w:rsidP="00DF0F45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936CC5">
        <w:rPr>
          <w:b/>
          <w:color w:val="auto"/>
          <w:sz w:val="28"/>
          <w:szCs w:val="28"/>
        </w:rPr>
        <w:t>Маркировка</w:t>
      </w:r>
    </w:p>
    <w:p w:rsidR="002B7808" w:rsidRDefault="00404423" w:rsidP="002B780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36CC5">
        <w:rPr>
          <w:color w:val="auto"/>
          <w:sz w:val="28"/>
          <w:szCs w:val="28"/>
        </w:rPr>
        <w:t xml:space="preserve">Требования, предъявляемые к маркировке, изложены в ОФС «Лекарственные формы гомеопатических лекарственных препаратов». </w:t>
      </w:r>
    </w:p>
    <w:p w:rsidR="00404423" w:rsidRPr="00936CC5" w:rsidRDefault="00D80083" w:rsidP="00DF0F45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936CC5">
        <w:rPr>
          <w:b/>
          <w:color w:val="auto"/>
          <w:sz w:val="28"/>
          <w:szCs w:val="28"/>
        </w:rPr>
        <w:lastRenderedPageBreak/>
        <w:t>Хранение</w:t>
      </w:r>
    </w:p>
    <w:p w:rsidR="00384111" w:rsidRPr="0057286F" w:rsidRDefault="00384111" w:rsidP="003841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A1529A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57286F">
        <w:rPr>
          <w:rFonts w:ascii="Times New Roman" w:hAnsi="Times New Roman"/>
          <w:sz w:val="28"/>
          <w:szCs w:val="28"/>
        </w:rPr>
        <w:t>»</w:t>
      </w:r>
      <w:r w:rsidR="009B0CFC" w:rsidRPr="00327EE8">
        <w:rPr>
          <w:rFonts w:ascii="Times New Roman" w:hAnsi="Times New Roman"/>
          <w:sz w:val="28"/>
          <w:szCs w:val="28"/>
        </w:rPr>
        <w:t xml:space="preserve">, </w:t>
      </w:r>
      <w:r w:rsidRPr="00327EE8">
        <w:rPr>
          <w:rFonts w:ascii="Times New Roman" w:hAnsi="Times New Roman"/>
          <w:sz w:val="28"/>
          <w:szCs w:val="28"/>
        </w:rPr>
        <w:t>если не указано</w:t>
      </w:r>
      <w:r w:rsidRPr="0057286F">
        <w:rPr>
          <w:rFonts w:ascii="Times New Roman" w:hAnsi="Times New Roman"/>
          <w:sz w:val="28"/>
          <w:szCs w:val="28"/>
        </w:rPr>
        <w:t xml:space="preserve"> иначе в фармакопейной статье.</w:t>
      </w:r>
    </w:p>
    <w:p w:rsidR="00564FAD" w:rsidRDefault="00564F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64FAD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AD" w:rsidRDefault="00564FAD" w:rsidP="008705EC">
      <w:pPr>
        <w:spacing w:after="0" w:line="240" w:lineRule="auto"/>
      </w:pPr>
      <w:r>
        <w:separator/>
      </w:r>
    </w:p>
  </w:endnote>
  <w:endnote w:type="continuationSeparator" w:id="0">
    <w:p w:rsidR="00564FAD" w:rsidRDefault="00564FAD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A23FF5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282F1F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AD" w:rsidRDefault="00564FAD" w:rsidP="008705EC">
      <w:pPr>
        <w:spacing w:after="0" w:line="240" w:lineRule="auto"/>
      </w:pPr>
      <w:r>
        <w:separator/>
      </w:r>
    </w:p>
  </w:footnote>
  <w:footnote w:type="continuationSeparator" w:id="0">
    <w:p w:rsidR="00564FAD" w:rsidRDefault="00564FAD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54233"/>
    <w:rsid w:val="000610E7"/>
    <w:rsid w:val="00063573"/>
    <w:rsid w:val="00067043"/>
    <w:rsid w:val="00072BE3"/>
    <w:rsid w:val="000767C5"/>
    <w:rsid w:val="000818B4"/>
    <w:rsid w:val="00083EB1"/>
    <w:rsid w:val="000D11FB"/>
    <w:rsid w:val="000D418D"/>
    <w:rsid w:val="000D77C7"/>
    <w:rsid w:val="000F57DC"/>
    <w:rsid w:val="00110230"/>
    <w:rsid w:val="00114D8D"/>
    <w:rsid w:val="001230B5"/>
    <w:rsid w:val="001517E7"/>
    <w:rsid w:val="001607E0"/>
    <w:rsid w:val="00177D46"/>
    <w:rsid w:val="00183830"/>
    <w:rsid w:val="001A1C25"/>
    <w:rsid w:val="001A5430"/>
    <w:rsid w:val="001C08CB"/>
    <w:rsid w:val="001E0558"/>
    <w:rsid w:val="001E3766"/>
    <w:rsid w:val="00200E43"/>
    <w:rsid w:val="002073DA"/>
    <w:rsid w:val="002235AA"/>
    <w:rsid w:val="0023081B"/>
    <w:rsid w:val="00232B9D"/>
    <w:rsid w:val="00243E5B"/>
    <w:rsid w:val="00262A32"/>
    <w:rsid w:val="00274C23"/>
    <w:rsid w:val="00277725"/>
    <w:rsid w:val="00281F67"/>
    <w:rsid w:val="00282F1F"/>
    <w:rsid w:val="002837C0"/>
    <w:rsid w:val="002A4A36"/>
    <w:rsid w:val="002B5831"/>
    <w:rsid w:val="002B7808"/>
    <w:rsid w:val="002C6CFA"/>
    <w:rsid w:val="002D2963"/>
    <w:rsid w:val="002E0BC1"/>
    <w:rsid w:val="002E4ACC"/>
    <w:rsid w:val="002F439A"/>
    <w:rsid w:val="00301130"/>
    <w:rsid w:val="00306E08"/>
    <w:rsid w:val="0032732B"/>
    <w:rsid w:val="00327EE8"/>
    <w:rsid w:val="00330597"/>
    <w:rsid w:val="00341BC5"/>
    <w:rsid w:val="00341DC8"/>
    <w:rsid w:val="00353747"/>
    <w:rsid w:val="003560E9"/>
    <w:rsid w:val="00362721"/>
    <w:rsid w:val="00362E87"/>
    <w:rsid w:val="00366483"/>
    <w:rsid w:val="00371ECD"/>
    <w:rsid w:val="00373800"/>
    <w:rsid w:val="00384111"/>
    <w:rsid w:val="00387F8F"/>
    <w:rsid w:val="003A3F80"/>
    <w:rsid w:val="003B13C7"/>
    <w:rsid w:val="003B2C61"/>
    <w:rsid w:val="003C0B97"/>
    <w:rsid w:val="003C0C97"/>
    <w:rsid w:val="003D1672"/>
    <w:rsid w:val="003D568D"/>
    <w:rsid w:val="003E1269"/>
    <w:rsid w:val="003E75EA"/>
    <w:rsid w:val="003F3739"/>
    <w:rsid w:val="00404423"/>
    <w:rsid w:val="00415A6D"/>
    <w:rsid w:val="004173E7"/>
    <w:rsid w:val="004204B9"/>
    <w:rsid w:val="0043028B"/>
    <w:rsid w:val="0043401B"/>
    <w:rsid w:val="00435C06"/>
    <w:rsid w:val="00446E51"/>
    <w:rsid w:val="00461EC3"/>
    <w:rsid w:val="0048269A"/>
    <w:rsid w:val="0048650F"/>
    <w:rsid w:val="00490F95"/>
    <w:rsid w:val="0049239B"/>
    <w:rsid w:val="00492EF9"/>
    <w:rsid w:val="00497E6A"/>
    <w:rsid w:val="004A0147"/>
    <w:rsid w:val="004A5801"/>
    <w:rsid w:val="004B1704"/>
    <w:rsid w:val="004B5D5F"/>
    <w:rsid w:val="004C6940"/>
    <w:rsid w:val="004C6AC1"/>
    <w:rsid w:val="004D04D3"/>
    <w:rsid w:val="004D2975"/>
    <w:rsid w:val="004D31E1"/>
    <w:rsid w:val="004E3335"/>
    <w:rsid w:val="004F0856"/>
    <w:rsid w:val="004F520A"/>
    <w:rsid w:val="00502965"/>
    <w:rsid w:val="00517DAE"/>
    <w:rsid w:val="00520A87"/>
    <w:rsid w:val="0052339D"/>
    <w:rsid w:val="00525A37"/>
    <w:rsid w:val="00527E33"/>
    <w:rsid w:val="00541C7F"/>
    <w:rsid w:val="00541D05"/>
    <w:rsid w:val="00555583"/>
    <w:rsid w:val="005613EC"/>
    <w:rsid w:val="00564FAD"/>
    <w:rsid w:val="005668AF"/>
    <w:rsid w:val="00567720"/>
    <w:rsid w:val="00571CD9"/>
    <w:rsid w:val="00584178"/>
    <w:rsid w:val="00585C7A"/>
    <w:rsid w:val="00587A45"/>
    <w:rsid w:val="005A2749"/>
    <w:rsid w:val="005C2BCE"/>
    <w:rsid w:val="005C49FA"/>
    <w:rsid w:val="005D5D6B"/>
    <w:rsid w:val="005E1C63"/>
    <w:rsid w:val="005F73DB"/>
    <w:rsid w:val="00606EAA"/>
    <w:rsid w:val="00611236"/>
    <w:rsid w:val="00625F14"/>
    <w:rsid w:val="00634ED4"/>
    <w:rsid w:val="00645F98"/>
    <w:rsid w:val="00661274"/>
    <w:rsid w:val="00662B4E"/>
    <w:rsid w:val="00665F63"/>
    <w:rsid w:val="00666915"/>
    <w:rsid w:val="00675ADC"/>
    <w:rsid w:val="006818BA"/>
    <w:rsid w:val="006A65A5"/>
    <w:rsid w:val="006A7AF0"/>
    <w:rsid w:val="006B4955"/>
    <w:rsid w:val="006D2E05"/>
    <w:rsid w:val="006F2567"/>
    <w:rsid w:val="00700B84"/>
    <w:rsid w:val="00703824"/>
    <w:rsid w:val="007104DD"/>
    <w:rsid w:val="007208F1"/>
    <w:rsid w:val="00723B0B"/>
    <w:rsid w:val="00747A28"/>
    <w:rsid w:val="00750705"/>
    <w:rsid w:val="00750752"/>
    <w:rsid w:val="007516B1"/>
    <w:rsid w:val="00751A1A"/>
    <w:rsid w:val="0076664C"/>
    <w:rsid w:val="00766B9F"/>
    <w:rsid w:val="007718B3"/>
    <w:rsid w:val="00777142"/>
    <w:rsid w:val="007818CB"/>
    <w:rsid w:val="00787178"/>
    <w:rsid w:val="007A51C4"/>
    <w:rsid w:val="007A56CB"/>
    <w:rsid w:val="007A5F4C"/>
    <w:rsid w:val="007C0488"/>
    <w:rsid w:val="007C4826"/>
    <w:rsid w:val="007D2B7D"/>
    <w:rsid w:val="007F63DC"/>
    <w:rsid w:val="007F7347"/>
    <w:rsid w:val="00815C5E"/>
    <w:rsid w:val="00816763"/>
    <w:rsid w:val="00825749"/>
    <w:rsid w:val="00826734"/>
    <w:rsid w:val="00826C9E"/>
    <w:rsid w:val="00832F4A"/>
    <w:rsid w:val="008402BB"/>
    <w:rsid w:val="0084354F"/>
    <w:rsid w:val="00847131"/>
    <w:rsid w:val="0085687B"/>
    <w:rsid w:val="00867F5B"/>
    <w:rsid w:val="008705EC"/>
    <w:rsid w:val="00877CC5"/>
    <w:rsid w:val="0089136A"/>
    <w:rsid w:val="00897AD1"/>
    <w:rsid w:val="008A47BD"/>
    <w:rsid w:val="008C1284"/>
    <w:rsid w:val="008C1668"/>
    <w:rsid w:val="008C307E"/>
    <w:rsid w:val="008D3643"/>
    <w:rsid w:val="008D45F9"/>
    <w:rsid w:val="008E19E2"/>
    <w:rsid w:val="008E472B"/>
    <w:rsid w:val="008F3484"/>
    <w:rsid w:val="008F3DAA"/>
    <w:rsid w:val="009262A9"/>
    <w:rsid w:val="00927DE3"/>
    <w:rsid w:val="00936CC5"/>
    <w:rsid w:val="009441D4"/>
    <w:rsid w:val="00962D24"/>
    <w:rsid w:val="00964D9C"/>
    <w:rsid w:val="00967147"/>
    <w:rsid w:val="00967CA0"/>
    <w:rsid w:val="009710AC"/>
    <w:rsid w:val="00973CB2"/>
    <w:rsid w:val="00974F90"/>
    <w:rsid w:val="00976F84"/>
    <w:rsid w:val="00980CA4"/>
    <w:rsid w:val="0098176A"/>
    <w:rsid w:val="009A0B40"/>
    <w:rsid w:val="009B0CFC"/>
    <w:rsid w:val="009B2446"/>
    <w:rsid w:val="009D4D36"/>
    <w:rsid w:val="00A0208E"/>
    <w:rsid w:val="00A035B1"/>
    <w:rsid w:val="00A1402B"/>
    <w:rsid w:val="00A1529A"/>
    <w:rsid w:val="00A20A90"/>
    <w:rsid w:val="00A23FF5"/>
    <w:rsid w:val="00A30564"/>
    <w:rsid w:val="00A37191"/>
    <w:rsid w:val="00A4542B"/>
    <w:rsid w:val="00A51577"/>
    <w:rsid w:val="00A67270"/>
    <w:rsid w:val="00A740A4"/>
    <w:rsid w:val="00A81191"/>
    <w:rsid w:val="00A82D75"/>
    <w:rsid w:val="00A961D3"/>
    <w:rsid w:val="00AA3A41"/>
    <w:rsid w:val="00AC11B8"/>
    <w:rsid w:val="00AC6F76"/>
    <w:rsid w:val="00AE0841"/>
    <w:rsid w:val="00AF160B"/>
    <w:rsid w:val="00AF2793"/>
    <w:rsid w:val="00B00D7A"/>
    <w:rsid w:val="00B0318F"/>
    <w:rsid w:val="00B1245B"/>
    <w:rsid w:val="00B12CF1"/>
    <w:rsid w:val="00B14CB4"/>
    <w:rsid w:val="00B41CFD"/>
    <w:rsid w:val="00B50DAA"/>
    <w:rsid w:val="00B65ECE"/>
    <w:rsid w:val="00B93D64"/>
    <w:rsid w:val="00BD0C96"/>
    <w:rsid w:val="00BD52A6"/>
    <w:rsid w:val="00BD6081"/>
    <w:rsid w:val="00BE550E"/>
    <w:rsid w:val="00C043DD"/>
    <w:rsid w:val="00C259DF"/>
    <w:rsid w:val="00C25AAC"/>
    <w:rsid w:val="00C46317"/>
    <w:rsid w:val="00C62691"/>
    <w:rsid w:val="00C64DC5"/>
    <w:rsid w:val="00C67F10"/>
    <w:rsid w:val="00C70AD2"/>
    <w:rsid w:val="00C71E70"/>
    <w:rsid w:val="00C72804"/>
    <w:rsid w:val="00C73C2E"/>
    <w:rsid w:val="00C76BAD"/>
    <w:rsid w:val="00C9293B"/>
    <w:rsid w:val="00CA6196"/>
    <w:rsid w:val="00CA713C"/>
    <w:rsid w:val="00CC38DD"/>
    <w:rsid w:val="00CC3AA1"/>
    <w:rsid w:val="00CC3C28"/>
    <w:rsid w:val="00CD421A"/>
    <w:rsid w:val="00CF4FAB"/>
    <w:rsid w:val="00CF5790"/>
    <w:rsid w:val="00D02662"/>
    <w:rsid w:val="00D1431A"/>
    <w:rsid w:val="00D424A7"/>
    <w:rsid w:val="00D44707"/>
    <w:rsid w:val="00D50A48"/>
    <w:rsid w:val="00D54F0D"/>
    <w:rsid w:val="00D61017"/>
    <w:rsid w:val="00D640FB"/>
    <w:rsid w:val="00D6787B"/>
    <w:rsid w:val="00D80083"/>
    <w:rsid w:val="00D86BDC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C75B1"/>
    <w:rsid w:val="00DD1D2B"/>
    <w:rsid w:val="00DD2B49"/>
    <w:rsid w:val="00DD3FD2"/>
    <w:rsid w:val="00DF0622"/>
    <w:rsid w:val="00DF0F45"/>
    <w:rsid w:val="00DF1EB9"/>
    <w:rsid w:val="00DF6B23"/>
    <w:rsid w:val="00E01A87"/>
    <w:rsid w:val="00E21837"/>
    <w:rsid w:val="00E260EF"/>
    <w:rsid w:val="00E40A64"/>
    <w:rsid w:val="00E46414"/>
    <w:rsid w:val="00E47ECA"/>
    <w:rsid w:val="00E5780D"/>
    <w:rsid w:val="00E60C93"/>
    <w:rsid w:val="00E650B8"/>
    <w:rsid w:val="00E719BC"/>
    <w:rsid w:val="00E77D91"/>
    <w:rsid w:val="00E92217"/>
    <w:rsid w:val="00E97FCF"/>
    <w:rsid w:val="00EB7408"/>
    <w:rsid w:val="00EC1F4E"/>
    <w:rsid w:val="00EC3E9A"/>
    <w:rsid w:val="00ED6FE6"/>
    <w:rsid w:val="00EE2F2F"/>
    <w:rsid w:val="00EE3BFB"/>
    <w:rsid w:val="00F06676"/>
    <w:rsid w:val="00F264ED"/>
    <w:rsid w:val="00F34AD8"/>
    <w:rsid w:val="00F35F49"/>
    <w:rsid w:val="00F362FE"/>
    <w:rsid w:val="00F429B6"/>
    <w:rsid w:val="00F47145"/>
    <w:rsid w:val="00F538E3"/>
    <w:rsid w:val="00F54B6D"/>
    <w:rsid w:val="00F579B8"/>
    <w:rsid w:val="00F76DB2"/>
    <w:rsid w:val="00F76F7C"/>
    <w:rsid w:val="00F77713"/>
    <w:rsid w:val="00F92E93"/>
    <w:rsid w:val="00F94621"/>
    <w:rsid w:val="00FA1CCC"/>
    <w:rsid w:val="00FA4006"/>
    <w:rsid w:val="00FB0A2A"/>
    <w:rsid w:val="00FB78D9"/>
    <w:rsid w:val="00FD2A11"/>
    <w:rsid w:val="00FD2EC3"/>
    <w:rsid w:val="00FE5BCD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9CA8F7E-9491-4206-8CC4-ADB5153F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9899-CB68-40AE-9DD0-76A230D4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10</cp:revision>
  <cp:lastPrinted>2023-07-12T12:43:00Z</cp:lastPrinted>
  <dcterms:created xsi:type="dcterms:W3CDTF">2022-08-19T11:19:00Z</dcterms:created>
  <dcterms:modified xsi:type="dcterms:W3CDTF">2023-07-12T15:55:00Z</dcterms:modified>
</cp:coreProperties>
</file>