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BA" w:rsidRPr="00D46764" w:rsidRDefault="000324BA" w:rsidP="000324BA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  <w:r w:rsidRPr="00D46764"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0324BA" w:rsidRPr="00D46764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D46764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D46764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D46764" w:rsidRDefault="000324BA" w:rsidP="000324B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 w:rsidRPr="00D46764">
        <w:rPr>
          <w:rFonts w:ascii="Times New Roman" w:eastAsiaTheme="minorHAnsi" w:hAnsi="Times New Roman" w:cstheme="minorBidi"/>
          <w:b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324BA" w:rsidRPr="00D46764" w:rsidTr="008A5E2F">
        <w:tc>
          <w:tcPr>
            <w:tcW w:w="9356" w:type="dxa"/>
          </w:tcPr>
          <w:p w:rsidR="000324BA" w:rsidRPr="00D46764" w:rsidRDefault="000324BA" w:rsidP="008A5E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24BA" w:rsidRPr="00D46764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3793"/>
      </w:tblGrid>
      <w:tr w:rsidR="000324BA" w:rsidRPr="00D46764" w:rsidTr="00402C33">
        <w:trPr>
          <w:trHeight w:val="397"/>
        </w:trPr>
        <w:tc>
          <w:tcPr>
            <w:tcW w:w="5495" w:type="dxa"/>
          </w:tcPr>
          <w:p w:rsidR="000324BA" w:rsidRPr="00D46764" w:rsidRDefault="00BF16E2" w:rsidP="008A5E2F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46764">
              <w:rPr>
                <w:rFonts w:ascii="Times New Roman" w:hAnsi="Times New Roman"/>
                <w:b/>
                <w:sz w:val="28"/>
                <w:szCs w:val="28"/>
              </w:rPr>
              <w:t>Суспензии</w:t>
            </w:r>
            <w:r w:rsidR="0061362D" w:rsidRPr="00D46764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0324BA" w:rsidRPr="00D46764" w:rsidRDefault="000324BA" w:rsidP="008A5E2F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D46764" w:rsidRDefault="000324BA" w:rsidP="008A5E2F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46764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143675">
              <w:rPr>
                <w:rFonts w:ascii="Times New Roman" w:eastAsia="Times New Roman" w:hAnsi="Times New Roman"/>
                <w:b/>
                <w:sz w:val="28"/>
                <w:szCs w:val="28"/>
              </w:rPr>
              <w:t>.1.4.1.0014</w:t>
            </w:r>
          </w:p>
        </w:tc>
      </w:tr>
      <w:tr w:rsidR="000324BA" w:rsidRPr="00D46764" w:rsidTr="00402C33">
        <w:trPr>
          <w:trHeight w:val="397"/>
        </w:trPr>
        <w:tc>
          <w:tcPr>
            <w:tcW w:w="5495" w:type="dxa"/>
          </w:tcPr>
          <w:p w:rsidR="000324BA" w:rsidRPr="00D46764" w:rsidRDefault="000324BA" w:rsidP="007407E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0324BA" w:rsidRPr="00D46764" w:rsidRDefault="000324BA" w:rsidP="008A5E2F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D46764" w:rsidRDefault="0061362D" w:rsidP="00AB329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46764"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ОФС.1.4</w:t>
            </w:r>
            <w:r w:rsidR="007407E9" w:rsidRPr="00D4676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D46764">
              <w:rPr>
                <w:rFonts w:ascii="Times New Roman" w:hAnsi="Times New Roman"/>
                <w:b/>
                <w:bCs/>
                <w:sz w:val="28"/>
                <w:szCs w:val="28"/>
              </w:rPr>
              <w:t>1.00</w:t>
            </w:r>
            <w:r w:rsidR="00BF16E2" w:rsidRPr="00D46764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="007407E9" w:rsidRPr="00D46764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  <w:r w:rsidR="00AB3296" w:rsidRPr="00D4676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0324BA" w:rsidRPr="00D46764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324BA" w:rsidRPr="00D46764" w:rsidTr="008A5E2F">
        <w:tc>
          <w:tcPr>
            <w:tcW w:w="9356" w:type="dxa"/>
          </w:tcPr>
          <w:p w:rsidR="000324BA" w:rsidRPr="00D46764" w:rsidRDefault="000324BA" w:rsidP="008A5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908" w:rsidRPr="00D46764" w:rsidRDefault="00F03908" w:rsidP="00F03908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575C" w:rsidRDefault="001511C8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D46764">
        <w:rPr>
          <w:sz w:val="28"/>
          <w:szCs w:val="28"/>
        </w:rPr>
        <w:t xml:space="preserve">Суспензии </w:t>
      </w:r>
      <w:r w:rsidR="00402C33">
        <w:rPr>
          <w:sz w:val="28"/>
          <w:szCs w:val="28"/>
        </w:rPr>
        <w:t>–</w:t>
      </w:r>
      <w:r w:rsidRPr="00D46764">
        <w:rPr>
          <w:sz w:val="28"/>
          <w:szCs w:val="28"/>
        </w:rPr>
        <w:t xml:space="preserve"> жидкая лекарственная форма, представляющая собой гетерогенную дисперсную систему, содержащ</w:t>
      </w:r>
      <w:bookmarkStart w:id="0" w:name="_GoBack"/>
      <w:bookmarkEnd w:id="0"/>
      <w:r w:rsidRPr="00D46764">
        <w:rPr>
          <w:sz w:val="28"/>
          <w:szCs w:val="28"/>
        </w:rPr>
        <w:t>ую одно или несколько твёрдых</w:t>
      </w:r>
      <w:r w:rsidR="00A04BDF" w:rsidRPr="00D46764">
        <w:rPr>
          <w:sz w:val="28"/>
          <w:szCs w:val="28"/>
        </w:rPr>
        <w:t xml:space="preserve"> </w:t>
      </w:r>
      <w:r w:rsidR="00B127FE">
        <w:rPr>
          <w:sz w:val="28"/>
          <w:szCs w:val="28"/>
        </w:rPr>
        <w:t>фармацевтических субстанций</w:t>
      </w:r>
      <w:r w:rsidR="00A04BDF" w:rsidRPr="00D46764">
        <w:rPr>
          <w:sz w:val="28"/>
          <w:szCs w:val="28"/>
        </w:rPr>
        <w:t>, распределё</w:t>
      </w:r>
      <w:r w:rsidRPr="00D46764">
        <w:rPr>
          <w:sz w:val="28"/>
          <w:szCs w:val="28"/>
        </w:rPr>
        <w:t>нных в жидкой дисперсионной среде.</w:t>
      </w:r>
    </w:p>
    <w:p w:rsidR="00B3575C" w:rsidRDefault="001511C8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D46764">
        <w:rPr>
          <w:sz w:val="28"/>
          <w:szCs w:val="28"/>
        </w:rPr>
        <w:t xml:space="preserve">Суспензия, содержащая </w:t>
      </w:r>
      <w:proofErr w:type="spellStart"/>
      <w:r w:rsidRPr="00D46764">
        <w:rPr>
          <w:sz w:val="28"/>
          <w:szCs w:val="28"/>
        </w:rPr>
        <w:t>диспергированные</w:t>
      </w:r>
      <w:proofErr w:type="spellEnd"/>
      <w:r w:rsidRPr="00D46764">
        <w:rPr>
          <w:sz w:val="28"/>
          <w:szCs w:val="28"/>
        </w:rPr>
        <w:t xml:space="preserve"> частицы размером менее 1 мкм, представляет собой микрогетерогенную дисперсную систему.</w:t>
      </w:r>
    </w:p>
    <w:p w:rsidR="001511C8" w:rsidRPr="00D46764" w:rsidRDefault="001511C8" w:rsidP="00402C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64">
        <w:rPr>
          <w:rFonts w:ascii="Times New Roman" w:hAnsi="Times New Roman"/>
          <w:sz w:val="28"/>
          <w:szCs w:val="28"/>
        </w:rPr>
        <w:t xml:space="preserve">В зависимости от </w:t>
      </w:r>
      <w:r w:rsidR="00CA1411">
        <w:rPr>
          <w:rFonts w:ascii="Times New Roman" w:hAnsi="Times New Roman"/>
          <w:sz w:val="28"/>
          <w:szCs w:val="28"/>
        </w:rPr>
        <w:t>способа/</w:t>
      </w:r>
      <w:r w:rsidRPr="00D46764">
        <w:rPr>
          <w:rFonts w:ascii="Times New Roman" w:hAnsi="Times New Roman"/>
          <w:sz w:val="28"/>
          <w:szCs w:val="28"/>
        </w:rPr>
        <w:t xml:space="preserve">пути введения </w:t>
      </w:r>
      <w:r w:rsidR="00661236">
        <w:rPr>
          <w:rFonts w:ascii="Times New Roman" w:hAnsi="Times New Roman"/>
          <w:sz w:val="28"/>
          <w:szCs w:val="28"/>
        </w:rPr>
        <w:t xml:space="preserve">и </w:t>
      </w:r>
      <w:r w:rsidRPr="00D46764">
        <w:rPr>
          <w:rFonts w:ascii="Times New Roman" w:hAnsi="Times New Roman"/>
          <w:sz w:val="28"/>
          <w:szCs w:val="28"/>
        </w:rPr>
        <w:t>применения различают суспензии для при</w:t>
      </w:r>
      <w:r w:rsidR="004C0FA4">
        <w:rPr>
          <w:rFonts w:ascii="Times New Roman" w:hAnsi="Times New Roman"/>
          <w:sz w:val="28"/>
          <w:szCs w:val="28"/>
        </w:rPr>
        <w:t>ё</w:t>
      </w:r>
      <w:r w:rsidRPr="00D46764">
        <w:rPr>
          <w:rFonts w:ascii="Times New Roman" w:hAnsi="Times New Roman"/>
          <w:sz w:val="28"/>
          <w:szCs w:val="28"/>
        </w:rPr>
        <w:t xml:space="preserve">ма внутрь, для наружного применения, для местного применения, вагинальные, ректальные, зубные, для слизистой оболочки полости рта, для ингаляций, для имплантации, для </w:t>
      </w:r>
      <w:proofErr w:type="spellStart"/>
      <w:r w:rsidRPr="00D46764">
        <w:rPr>
          <w:rFonts w:ascii="Times New Roman" w:hAnsi="Times New Roman"/>
          <w:sz w:val="28"/>
          <w:szCs w:val="28"/>
        </w:rPr>
        <w:t>гастроэнтерального</w:t>
      </w:r>
      <w:proofErr w:type="spellEnd"/>
      <w:r w:rsidRPr="00D46764">
        <w:rPr>
          <w:rFonts w:ascii="Times New Roman" w:hAnsi="Times New Roman"/>
          <w:sz w:val="28"/>
          <w:szCs w:val="28"/>
        </w:rPr>
        <w:t xml:space="preserve"> введения, для </w:t>
      </w:r>
      <w:proofErr w:type="spellStart"/>
      <w:r w:rsidRPr="00D46764">
        <w:rPr>
          <w:rFonts w:ascii="Times New Roman" w:hAnsi="Times New Roman"/>
          <w:sz w:val="28"/>
          <w:szCs w:val="28"/>
        </w:rPr>
        <w:t>эндосинусиального</w:t>
      </w:r>
      <w:proofErr w:type="spellEnd"/>
      <w:r w:rsidRPr="00D46764">
        <w:rPr>
          <w:rFonts w:ascii="Times New Roman" w:hAnsi="Times New Roman"/>
          <w:sz w:val="28"/>
          <w:szCs w:val="28"/>
        </w:rPr>
        <w:t xml:space="preserve"> введения, для эндотрахеального введения, для парентерального применения, для применения в форме глазных капель.</w:t>
      </w:r>
    </w:p>
    <w:p w:rsidR="00B3575C" w:rsidRDefault="001511C8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D46764">
        <w:rPr>
          <w:rStyle w:val="af0"/>
          <w:color w:val="auto"/>
          <w:sz w:val="28"/>
          <w:szCs w:val="28"/>
        </w:rPr>
        <w:t xml:space="preserve">Суспензии для </w:t>
      </w:r>
      <w:proofErr w:type="spellStart"/>
      <w:r w:rsidRPr="00D46764">
        <w:rPr>
          <w:rStyle w:val="af0"/>
          <w:color w:val="auto"/>
          <w:sz w:val="28"/>
          <w:szCs w:val="28"/>
        </w:rPr>
        <w:t>эндосинусиального</w:t>
      </w:r>
      <w:proofErr w:type="spellEnd"/>
      <w:r w:rsidRPr="00D46764">
        <w:rPr>
          <w:rStyle w:val="af0"/>
          <w:color w:val="auto"/>
          <w:sz w:val="28"/>
          <w:szCs w:val="28"/>
        </w:rPr>
        <w:t xml:space="preserve"> введения </w:t>
      </w:r>
      <w:r w:rsidR="007D1154">
        <w:rPr>
          <w:rStyle w:val="af0"/>
          <w:color w:val="auto"/>
          <w:sz w:val="28"/>
          <w:szCs w:val="28"/>
        </w:rPr>
        <w:t>–</w:t>
      </w:r>
      <w:r w:rsidRPr="00D46764">
        <w:rPr>
          <w:sz w:val="28"/>
          <w:szCs w:val="28"/>
        </w:rPr>
        <w:t xml:space="preserve"> стерильные суспензии, предназначенные для введения в синусы (пазухи) полости носа.</w:t>
      </w:r>
    </w:p>
    <w:p w:rsidR="00B3575C" w:rsidRDefault="001511C8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D46764">
        <w:rPr>
          <w:rStyle w:val="af0"/>
          <w:color w:val="auto"/>
          <w:sz w:val="28"/>
          <w:szCs w:val="28"/>
        </w:rPr>
        <w:t xml:space="preserve">Суспензии для эндотрахеального введения </w:t>
      </w:r>
      <w:r w:rsidR="007D1154">
        <w:rPr>
          <w:rStyle w:val="af0"/>
          <w:color w:val="auto"/>
          <w:sz w:val="28"/>
          <w:szCs w:val="28"/>
        </w:rPr>
        <w:t>–</w:t>
      </w:r>
      <w:r w:rsidRPr="00D46764">
        <w:rPr>
          <w:sz w:val="28"/>
          <w:szCs w:val="28"/>
        </w:rPr>
        <w:t xml:space="preserve"> стерильные суспензии, предназначенные для введения в трахею и/или бронхиолы пут</w:t>
      </w:r>
      <w:r w:rsidR="009D4018">
        <w:rPr>
          <w:sz w:val="28"/>
          <w:szCs w:val="28"/>
        </w:rPr>
        <w:t>ё</w:t>
      </w:r>
      <w:r w:rsidRPr="00D46764">
        <w:rPr>
          <w:sz w:val="28"/>
          <w:szCs w:val="28"/>
        </w:rPr>
        <w:t>м инстилляции.</w:t>
      </w:r>
    </w:p>
    <w:p w:rsidR="00B3575C" w:rsidRDefault="001511C8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D46764">
        <w:rPr>
          <w:rStyle w:val="af0"/>
          <w:color w:val="auto"/>
          <w:sz w:val="28"/>
          <w:szCs w:val="28"/>
        </w:rPr>
        <w:t xml:space="preserve">Суспензии для имплантации </w:t>
      </w:r>
      <w:r w:rsidR="007D1154">
        <w:rPr>
          <w:rStyle w:val="af0"/>
          <w:color w:val="auto"/>
          <w:sz w:val="28"/>
          <w:szCs w:val="28"/>
        </w:rPr>
        <w:t>–</w:t>
      </w:r>
      <w:r w:rsidRPr="00D46764">
        <w:rPr>
          <w:sz w:val="28"/>
          <w:szCs w:val="28"/>
        </w:rPr>
        <w:t xml:space="preserve"> стерильные суспензии, предназначенные для имплантации с целью оказания системного действия в течение продолжительного периода времени.</w:t>
      </w:r>
    </w:p>
    <w:p w:rsidR="00B3575C" w:rsidRDefault="00744260">
      <w:pPr>
        <w:pStyle w:val="ac"/>
        <w:keepNext/>
        <w:widowControl w:val="0"/>
        <w:spacing w:before="240" w:after="0" w:line="36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6764">
        <w:rPr>
          <w:rFonts w:ascii="Times New Roman" w:hAnsi="Times New Roman"/>
          <w:b/>
          <w:sz w:val="28"/>
          <w:szCs w:val="28"/>
        </w:rPr>
        <w:lastRenderedPageBreak/>
        <w:t>Особенности технологии</w:t>
      </w:r>
    </w:p>
    <w:p w:rsidR="00B3575C" w:rsidRDefault="00AD4DB7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Суспензии могут быть получены диспергированием твёрдой дисперсной фазы, содержащей нерастворим</w:t>
      </w:r>
      <w:r w:rsidR="00661236">
        <w:rPr>
          <w:sz w:val="28"/>
          <w:szCs w:val="28"/>
        </w:rPr>
        <w:t>ую</w:t>
      </w:r>
      <w:r>
        <w:rPr>
          <w:sz w:val="28"/>
          <w:szCs w:val="28"/>
        </w:rPr>
        <w:t>, предварительно измельчённ</w:t>
      </w:r>
      <w:r w:rsidR="00661236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661236">
        <w:rPr>
          <w:sz w:val="28"/>
          <w:szCs w:val="28"/>
        </w:rPr>
        <w:t xml:space="preserve">фармацевтическую субстанцию </w:t>
      </w:r>
      <w:r>
        <w:rPr>
          <w:sz w:val="28"/>
          <w:szCs w:val="28"/>
        </w:rPr>
        <w:t>(</w:t>
      </w:r>
      <w:r w:rsidR="00661236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) </w:t>
      </w:r>
      <w:r w:rsidR="00661236">
        <w:rPr>
          <w:sz w:val="28"/>
          <w:szCs w:val="28"/>
        </w:rPr>
        <w:t>с</w:t>
      </w:r>
      <w:r>
        <w:rPr>
          <w:sz w:val="28"/>
          <w:szCs w:val="28"/>
        </w:rPr>
        <w:t xml:space="preserve"> жидкой дисперсионной сред</w:t>
      </w:r>
      <w:r w:rsidR="00661236">
        <w:rPr>
          <w:sz w:val="28"/>
          <w:szCs w:val="28"/>
        </w:rPr>
        <w:t>ой</w:t>
      </w:r>
      <w:r>
        <w:rPr>
          <w:sz w:val="28"/>
          <w:szCs w:val="28"/>
        </w:rPr>
        <w:t xml:space="preserve"> или другими методами.</w:t>
      </w:r>
    </w:p>
    <w:p w:rsidR="00B3575C" w:rsidRDefault="00AD4DB7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Дисперсионной средой может быть вода, глицерин, растительные жирные масла и др. В качестве вспомогательных веществ в суспензиях могут быть использованы буферные растворы, стабилизаторы (вещества, повышающие вязкость дисперсионной среды, поверхностно-активные вещества и др.), </w:t>
      </w:r>
      <w:proofErr w:type="spellStart"/>
      <w:r>
        <w:rPr>
          <w:sz w:val="28"/>
          <w:szCs w:val="28"/>
        </w:rPr>
        <w:t>ароматизаторы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корригенты</w:t>
      </w:r>
      <w:proofErr w:type="spellEnd"/>
      <w:r>
        <w:rPr>
          <w:sz w:val="28"/>
          <w:szCs w:val="28"/>
        </w:rPr>
        <w:t xml:space="preserve"> вкуса, </w:t>
      </w:r>
      <w:proofErr w:type="spellStart"/>
      <w:r w:rsidR="00661236">
        <w:rPr>
          <w:sz w:val="28"/>
          <w:szCs w:val="28"/>
        </w:rPr>
        <w:t>антимикробные</w:t>
      </w:r>
      <w:proofErr w:type="spellEnd"/>
      <w:r w:rsidR="00661236">
        <w:rPr>
          <w:sz w:val="28"/>
          <w:szCs w:val="28"/>
        </w:rPr>
        <w:t xml:space="preserve"> </w:t>
      </w:r>
      <w:r>
        <w:rPr>
          <w:sz w:val="28"/>
          <w:szCs w:val="28"/>
        </w:rPr>
        <w:t>консерванты, антиоксиданты, красители и другие вещества</w:t>
      </w:r>
      <w:r w:rsidR="00661236">
        <w:rPr>
          <w:sz w:val="28"/>
          <w:szCs w:val="28"/>
        </w:rPr>
        <w:t>.</w:t>
      </w:r>
    </w:p>
    <w:p w:rsidR="00B3575C" w:rsidRDefault="00AD4DB7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Суспензии могут быть выпущены готовыми к применению или быть приготовленными непосредственно перед применением в виде восстановленных лекарственных форм из порошков, гранул, таблеток или </w:t>
      </w:r>
      <w:proofErr w:type="spellStart"/>
      <w:r>
        <w:rPr>
          <w:sz w:val="28"/>
          <w:szCs w:val="28"/>
        </w:rPr>
        <w:t>лиофилизатов</w:t>
      </w:r>
      <w:proofErr w:type="spellEnd"/>
      <w:r>
        <w:rPr>
          <w:sz w:val="28"/>
          <w:szCs w:val="28"/>
        </w:rPr>
        <w:t>, предназначенных для приготовления суспензи</w:t>
      </w:r>
      <w:r w:rsidR="00631774">
        <w:rPr>
          <w:sz w:val="28"/>
          <w:szCs w:val="28"/>
        </w:rPr>
        <w:t>й</w:t>
      </w:r>
      <w:r>
        <w:rPr>
          <w:sz w:val="28"/>
          <w:szCs w:val="28"/>
        </w:rPr>
        <w:t xml:space="preserve"> путём диспергирования в соответствующем растворителе.</w:t>
      </w:r>
    </w:p>
    <w:p w:rsidR="00B3575C" w:rsidRDefault="00AD4DB7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Суспензии для приёма внутрь также могут быть получены </w:t>
      </w:r>
      <w:r w:rsidR="00631774">
        <w:rPr>
          <w:sz w:val="28"/>
          <w:szCs w:val="28"/>
        </w:rPr>
        <w:t xml:space="preserve">перед применением </w:t>
      </w:r>
      <w:r>
        <w:rPr>
          <w:sz w:val="28"/>
          <w:szCs w:val="28"/>
        </w:rPr>
        <w:t>из гелей или паст, предназначенных для приготовления суспензий для приёма внутрь путём диспергирования мягких лекарственных форм (гелей, паст) в соответствующих растворителях.</w:t>
      </w:r>
    </w:p>
    <w:p w:rsidR="00631774" w:rsidRDefault="00AD4DB7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суспензии в виде раз</w:t>
      </w:r>
      <w:r w:rsidR="00631774">
        <w:rPr>
          <w:sz w:val="28"/>
          <w:szCs w:val="28"/>
        </w:rPr>
        <w:t xml:space="preserve">бавленных </w:t>
      </w:r>
      <w:r>
        <w:rPr>
          <w:sz w:val="28"/>
          <w:szCs w:val="28"/>
        </w:rPr>
        <w:t>лекарственн</w:t>
      </w:r>
      <w:r w:rsidR="00631774">
        <w:rPr>
          <w:sz w:val="28"/>
          <w:szCs w:val="28"/>
        </w:rPr>
        <w:t>ых</w:t>
      </w:r>
      <w:r>
        <w:rPr>
          <w:sz w:val="28"/>
          <w:szCs w:val="28"/>
        </w:rPr>
        <w:t xml:space="preserve"> форм могут быть приготовлены из концентратов, предназначенных для получения суспензи</w:t>
      </w:r>
      <w:r w:rsidR="00631774">
        <w:rPr>
          <w:sz w:val="28"/>
          <w:szCs w:val="28"/>
        </w:rPr>
        <w:t>й</w:t>
      </w:r>
      <w:r>
        <w:rPr>
          <w:sz w:val="28"/>
          <w:szCs w:val="28"/>
        </w:rPr>
        <w:t xml:space="preserve"> после разведения в соответствующем растворителе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требуемой концентрации. </w:t>
      </w:r>
    </w:p>
    <w:p w:rsidR="0069157A" w:rsidRDefault="0069157A" w:rsidP="0069157A">
      <w:pPr>
        <w:spacing w:after="0" w:line="360" w:lineRule="auto"/>
        <w:ind w:firstLine="709"/>
        <w:jc w:val="both"/>
        <w:rPr>
          <w:sz w:val="28"/>
          <w:szCs w:val="28"/>
        </w:rPr>
      </w:pPr>
      <w:r w:rsidRPr="00D2253A">
        <w:rPr>
          <w:rFonts w:ascii="Times New Roman" w:hAnsi="Times New Roman"/>
          <w:sz w:val="28"/>
          <w:szCs w:val="28"/>
        </w:rPr>
        <w:t xml:space="preserve">Особенности технологии изготовления лекарственных препаратов в виде </w:t>
      </w:r>
      <w:r>
        <w:rPr>
          <w:rFonts w:ascii="Times New Roman" w:hAnsi="Times New Roman"/>
          <w:sz w:val="28"/>
          <w:szCs w:val="28"/>
        </w:rPr>
        <w:t>суспензий</w:t>
      </w:r>
      <w:r w:rsidRPr="00D2253A">
        <w:rPr>
          <w:rFonts w:ascii="Times New Roman" w:hAnsi="Times New Roman"/>
          <w:sz w:val="28"/>
          <w:szCs w:val="28"/>
        </w:rPr>
        <w:t xml:space="preserve"> в аптечных организациях, приведены в ОФС «Нестерильные лекарственные препараты аптечного изготовления в виде жидких лекарственных форм».</w:t>
      </w:r>
    </w:p>
    <w:p w:rsidR="00B3575C" w:rsidRDefault="00AD4DB7" w:rsidP="00631774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</w:t>
      </w:r>
      <w:r w:rsidR="00631774">
        <w:rPr>
          <w:sz w:val="28"/>
          <w:szCs w:val="28"/>
        </w:rPr>
        <w:t xml:space="preserve">олучении лекарственных препаратов в виде лекарственных форм «Суспензии» </w:t>
      </w:r>
      <w:r>
        <w:rPr>
          <w:sz w:val="28"/>
          <w:szCs w:val="28"/>
        </w:rPr>
        <w:t xml:space="preserve">должны быть приняты меры, обеспечивающие их </w:t>
      </w:r>
      <w:r>
        <w:rPr>
          <w:sz w:val="28"/>
          <w:szCs w:val="28"/>
        </w:rPr>
        <w:lastRenderedPageBreak/>
        <w:t>микробиологическую чистоту</w:t>
      </w:r>
      <w:r w:rsidR="00631774">
        <w:rPr>
          <w:sz w:val="28"/>
          <w:szCs w:val="28"/>
        </w:rPr>
        <w:t>; в установленных случаях, например, при производстве суспензий в виде капель глазных или других стерильных суспензий, должны быть приняты меры, обеспечивающие их стерильность. При получении с</w:t>
      </w:r>
      <w:r>
        <w:rPr>
          <w:sz w:val="28"/>
          <w:szCs w:val="28"/>
        </w:rPr>
        <w:t>терильны</w:t>
      </w:r>
      <w:r w:rsidR="00631774">
        <w:rPr>
          <w:sz w:val="28"/>
          <w:szCs w:val="28"/>
        </w:rPr>
        <w:t>х</w:t>
      </w:r>
      <w:r>
        <w:rPr>
          <w:sz w:val="28"/>
          <w:szCs w:val="28"/>
        </w:rPr>
        <w:t xml:space="preserve"> суспензи</w:t>
      </w:r>
      <w:r w:rsidR="00631774">
        <w:rPr>
          <w:sz w:val="28"/>
          <w:szCs w:val="28"/>
        </w:rPr>
        <w:t>й применяют методы стерилизации в соответствии с ОФС «Стерилизация».</w:t>
      </w:r>
    </w:p>
    <w:p w:rsidR="00661236" w:rsidRDefault="0066123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aps/>
          <w:sz w:val="28"/>
          <w:szCs w:val="28"/>
        </w:rPr>
      </w:pPr>
      <w:r w:rsidRPr="00D46764">
        <w:rPr>
          <w:rFonts w:ascii="Times New Roman" w:hAnsi="Times New Roman"/>
          <w:sz w:val="28"/>
          <w:szCs w:val="28"/>
        </w:rPr>
        <w:t xml:space="preserve">Упаковка суспензий может быть </w:t>
      </w:r>
      <w:proofErr w:type="spellStart"/>
      <w:r w:rsidRPr="00D46764">
        <w:rPr>
          <w:rFonts w:ascii="Times New Roman" w:hAnsi="Times New Roman"/>
          <w:sz w:val="28"/>
          <w:szCs w:val="28"/>
        </w:rPr>
        <w:t>однодозовой</w:t>
      </w:r>
      <w:proofErr w:type="spellEnd"/>
      <w:r w:rsidRPr="00D4676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46764">
        <w:rPr>
          <w:rFonts w:ascii="Times New Roman" w:hAnsi="Times New Roman"/>
          <w:sz w:val="28"/>
          <w:szCs w:val="28"/>
        </w:rPr>
        <w:t>многодозовой</w:t>
      </w:r>
      <w:proofErr w:type="spellEnd"/>
      <w:r w:rsidRPr="00D46764">
        <w:rPr>
          <w:rFonts w:ascii="Times New Roman" w:hAnsi="Times New Roman"/>
          <w:sz w:val="28"/>
          <w:szCs w:val="28"/>
        </w:rPr>
        <w:t>.</w:t>
      </w:r>
    </w:p>
    <w:p w:rsidR="00B3575C" w:rsidRDefault="00744260">
      <w:pPr>
        <w:pStyle w:val="ac"/>
        <w:keepNext/>
        <w:widowControl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6764">
        <w:rPr>
          <w:rFonts w:ascii="Times New Roman" w:hAnsi="Times New Roman"/>
          <w:b/>
          <w:sz w:val="28"/>
          <w:szCs w:val="28"/>
        </w:rPr>
        <w:t>Испытания</w:t>
      </w:r>
    </w:p>
    <w:p w:rsidR="00B3575C" w:rsidRDefault="00AD4DB7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Суспензии должны соответствовать общим требованиям ОФС «Лекарственные формы» и выдерживать </w:t>
      </w:r>
      <w:r w:rsidR="0063177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испытания, характерные для данной лекарственной формы.</w:t>
      </w:r>
    </w:p>
    <w:p w:rsidR="00B3575C" w:rsidRDefault="00AD4DB7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Суспензии для парентерального применения должны соответствовать требованиям ОФС «Лекарственные формы для парентерального применения».</w:t>
      </w:r>
    </w:p>
    <w:p w:rsidR="00B3575C" w:rsidRDefault="00AD4DB7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Суспензии, предназначенные для применения в форме капель глазных должны соответствовать требованиям ОФС «Лекарственные формы для офтальмологического применения</w:t>
      </w:r>
      <w:r>
        <w:rPr>
          <w:b/>
          <w:sz w:val="28"/>
          <w:szCs w:val="28"/>
        </w:rPr>
        <w:t>».</w:t>
      </w:r>
    </w:p>
    <w:p w:rsidR="00B3575C" w:rsidRDefault="00AD4DB7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Суспензии для ингаляций должны соответствовать требованиям ОФС</w:t>
      </w:r>
      <w:r w:rsidR="00631774">
        <w:rPr>
          <w:sz w:val="28"/>
          <w:szCs w:val="28"/>
        </w:rPr>
        <w:t> </w:t>
      </w:r>
      <w:r>
        <w:rPr>
          <w:sz w:val="28"/>
          <w:szCs w:val="28"/>
        </w:rPr>
        <w:t>«Лекарственные формы для ингаляций».</w:t>
      </w:r>
    </w:p>
    <w:p w:rsidR="005A3D76" w:rsidRDefault="005A3D76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631774">
        <w:rPr>
          <w:sz w:val="28"/>
          <w:szCs w:val="28"/>
        </w:rPr>
        <w:t xml:space="preserve">Лекарственные формы, представляющие собой порошки, таблетки, гранулы, </w:t>
      </w:r>
      <w:proofErr w:type="spellStart"/>
      <w:r w:rsidRPr="00631774">
        <w:rPr>
          <w:sz w:val="28"/>
          <w:szCs w:val="28"/>
        </w:rPr>
        <w:t>лиофилизаты</w:t>
      </w:r>
      <w:proofErr w:type="spellEnd"/>
      <w:r w:rsidRPr="00631774">
        <w:rPr>
          <w:sz w:val="28"/>
          <w:szCs w:val="28"/>
        </w:rPr>
        <w:t xml:space="preserve">, концентраты, </w:t>
      </w:r>
      <w:r w:rsidR="00631774">
        <w:rPr>
          <w:sz w:val="28"/>
          <w:szCs w:val="28"/>
        </w:rPr>
        <w:t xml:space="preserve">гели, пасты, </w:t>
      </w:r>
      <w:r w:rsidRPr="00631774">
        <w:rPr>
          <w:sz w:val="28"/>
          <w:szCs w:val="28"/>
        </w:rPr>
        <w:t xml:space="preserve">предназначенные для приготовления </w:t>
      </w:r>
      <w:r w:rsidR="00631774">
        <w:rPr>
          <w:sz w:val="28"/>
          <w:szCs w:val="28"/>
        </w:rPr>
        <w:t>суспензий</w:t>
      </w:r>
      <w:r w:rsidRPr="00631774">
        <w:rPr>
          <w:sz w:val="28"/>
          <w:szCs w:val="28"/>
        </w:rPr>
        <w:t>, должны отвечать требованиям соответствующих ОФС: ОФС «Порошки», ОФС «Таблетки», ОФС «Гранулы», ОФС «</w:t>
      </w:r>
      <w:proofErr w:type="spellStart"/>
      <w:r w:rsidRPr="00631774">
        <w:rPr>
          <w:sz w:val="28"/>
          <w:szCs w:val="28"/>
        </w:rPr>
        <w:t>Лиофилизаты</w:t>
      </w:r>
      <w:proofErr w:type="spellEnd"/>
      <w:r w:rsidRPr="00631774">
        <w:rPr>
          <w:sz w:val="28"/>
          <w:szCs w:val="28"/>
        </w:rPr>
        <w:t>», ОФС «Концентраты»</w:t>
      </w:r>
      <w:r w:rsidR="00631774">
        <w:rPr>
          <w:sz w:val="28"/>
          <w:szCs w:val="28"/>
        </w:rPr>
        <w:t>,</w:t>
      </w:r>
      <w:r w:rsidR="00631774" w:rsidRPr="00631774">
        <w:rPr>
          <w:sz w:val="28"/>
          <w:szCs w:val="28"/>
        </w:rPr>
        <w:t xml:space="preserve"> </w:t>
      </w:r>
      <w:r w:rsidR="00631774">
        <w:rPr>
          <w:sz w:val="28"/>
          <w:szCs w:val="28"/>
        </w:rPr>
        <w:t>ОФС «Мягкие лекарственные формы».</w:t>
      </w:r>
    </w:p>
    <w:p w:rsidR="00B3575C" w:rsidRDefault="00AD4DB7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631774">
        <w:rPr>
          <w:sz w:val="28"/>
          <w:szCs w:val="28"/>
        </w:rPr>
        <w:t>Суспензии характеризуют, отмечая внешний вид</w:t>
      </w:r>
      <w:r w:rsidR="00F63CA0">
        <w:rPr>
          <w:sz w:val="28"/>
          <w:szCs w:val="28"/>
        </w:rPr>
        <w:t xml:space="preserve">, органолептические (цвет, запах) и другие свойства в соответствии с требованиями фармакопейной статьи. </w:t>
      </w:r>
      <w:r>
        <w:rPr>
          <w:sz w:val="28"/>
          <w:szCs w:val="28"/>
        </w:rPr>
        <w:t>После в</w:t>
      </w:r>
      <w:r w:rsidR="00F63CA0">
        <w:rPr>
          <w:sz w:val="28"/>
          <w:szCs w:val="28"/>
        </w:rPr>
        <w:t>стряхивания</w:t>
      </w:r>
      <w:r>
        <w:rPr>
          <w:sz w:val="28"/>
          <w:szCs w:val="28"/>
        </w:rPr>
        <w:t xml:space="preserve"> суспензия должна представлять собой жидкость с однородно распределёнными в ней частицами</w:t>
      </w:r>
      <w:r w:rsidR="00F63CA0">
        <w:rPr>
          <w:sz w:val="28"/>
          <w:szCs w:val="28"/>
        </w:rPr>
        <w:t>.</w:t>
      </w:r>
    </w:p>
    <w:p w:rsidR="00B3575C" w:rsidRDefault="00AD4DB7">
      <w:pPr>
        <w:pStyle w:val="10"/>
        <w:spacing w:before="0" w:line="360" w:lineRule="auto"/>
        <w:ind w:firstLine="709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 Испытание проводят, если указано в фармакопейной статье. </w:t>
      </w:r>
      <w:r>
        <w:rPr>
          <w:sz w:val="28"/>
          <w:szCs w:val="28"/>
        </w:rPr>
        <w:lastRenderedPageBreak/>
        <w:t>Определение проводят потенциометрическим методом в соответствии с ОФС</w:t>
      </w:r>
      <w:r w:rsidR="00F63CA0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Ионометрия</w:t>
      </w:r>
      <w:proofErr w:type="spellEnd"/>
      <w:r>
        <w:rPr>
          <w:sz w:val="28"/>
          <w:szCs w:val="28"/>
        </w:rPr>
        <w:t xml:space="preserve">». </w:t>
      </w:r>
      <w:r w:rsidR="00F63CA0">
        <w:rPr>
          <w:sz w:val="28"/>
          <w:szCs w:val="28"/>
        </w:rPr>
        <w:t xml:space="preserve">Значение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указывают в фармакопейной статье.</w:t>
      </w:r>
    </w:p>
    <w:p w:rsidR="00B3575C" w:rsidRDefault="005C72D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C72D8">
        <w:rPr>
          <w:rFonts w:ascii="Times New Roman" w:hAnsi="Times New Roman"/>
          <w:i/>
          <w:szCs w:val="28"/>
        </w:rPr>
        <w:t>Размер частиц</w:t>
      </w:r>
      <w:r w:rsidRPr="005C72D8">
        <w:rPr>
          <w:rFonts w:ascii="Times New Roman" w:hAnsi="Times New Roman"/>
          <w:szCs w:val="28"/>
        </w:rPr>
        <w:t xml:space="preserve">. </w:t>
      </w:r>
      <w:r w:rsidR="00F63CA0" w:rsidRPr="00F63CA0">
        <w:rPr>
          <w:rFonts w:ascii="Times New Roman" w:hAnsi="Times New Roman"/>
          <w:b w:val="0"/>
          <w:szCs w:val="28"/>
        </w:rPr>
        <w:t>При отсутствии других указаний в фармакопейной статье, и</w:t>
      </w:r>
      <w:r w:rsidRPr="00F63CA0">
        <w:rPr>
          <w:rFonts w:ascii="Times New Roman" w:hAnsi="Times New Roman"/>
          <w:b w:val="0"/>
          <w:szCs w:val="28"/>
        </w:rPr>
        <w:t xml:space="preserve">спытание проводят в соответствии с ОФС «Определение показателя </w:t>
      </w:r>
      <w:r w:rsidRPr="005C72D8">
        <w:rPr>
          <w:rFonts w:ascii="Times New Roman" w:hAnsi="Times New Roman"/>
          <w:b w:val="0"/>
          <w:szCs w:val="28"/>
        </w:rPr>
        <w:t xml:space="preserve">«Размер частиц» в суспензиях, эмульсиях, </w:t>
      </w:r>
      <w:r w:rsidR="007667D3">
        <w:rPr>
          <w:rFonts w:ascii="Times New Roman" w:hAnsi="Times New Roman"/>
          <w:b w:val="0"/>
          <w:szCs w:val="28"/>
        </w:rPr>
        <w:t>мягких лекарственных формах</w:t>
      </w:r>
      <w:r w:rsidRPr="005C72D8">
        <w:rPr>
          <w:rFonts w:ascii="Times New Roman" w:hAnsi="Times New Roman"/>
          <w:b w:val="0"/>
          <w:szCs w:val="28"/>
        </w:rPr>
        <w:t>».</w:t>
      </w:r>
    </w:p>
    <w:p w:rsidR="00B3575C" w:rsidRDefault="005C72D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C72D8">
        <w:rPr>
          <w:rFonts w:ascii="Times New Roman" w:hAnsi="Times New Roman"/>
          <w:i/>
          <w:szCs w:val="28"/>
        </w:rPr>
        <w:t>Проходимость через иглу</w:t>
      </w:r>
      <w:r w:rsidRPr="005C72D8">
        <w:rPr>
          <w:rFonts w:ascii="Times New Roman" w:hAnsi="Times New Roman"/>
          <w:szCs w:val="28"/>
        </w:rPr>
        <w:t xml:space="preserve">. </w:t>
      </w:r>
      <w:r w:rsidRPr="005C72D8">
        <w:rPr>
          <w:rFonts w:ascii="Times New Roman" w:hAnsi="Times New Roman"/>
          <w:b w:val="0"/>
          <w:szCs w:val="28"/>
        </w:rPr>
        <w:t>Испытание проводят для суспензий, предназначенных для парентерального применения</w:t>
      </w:r>
      <w:r w:rsidR="00F63CA0">
        <w:rPr>
          <w:rFonts w:ascii="Times New Roman" w:hAnsi="Times New Roman"/>
          <w:b w:val="0"/>
          <w:szCs w:val="28"/>
        </w:rPr>
        <w:t>,</w:t>
      </w:r>
      <w:r w:rsidRPr="005C72D8">
        <w:rPr>
          <w:rFonts w:ascii="Times New Roman" w:hAnsi="Times New Roman"/>
          <w:b w:val="0"/>
          <w:szCs w:val="28"/>
        </w:rPr>
        <w:t xml:space="preserve"> в соответствии с методикой, указанной в фармакопейной статье. </w:t>
      </w:r>
      <w:r w:rsidR="00F63CA0">
        <w:rPr>
          <w:rFonts w:ascii="Times New Roman" w:hAnsi="Times New Roman"/>
          <w:b w:val="0"/>
          <w:szCs w:val="28"/>
        </w:rPr>
        <w:t>При отсутствии других указаний в фармакопейной статье, с</w:t>
      </w:r>
      <w:r w:rsidRPr="005C72D8">
        <w:rPr>
          <w:rFonts w:ascii="Times New Roman" w:hAnsi="Times New Roman"/>
          <w:b w:val="0"/>
          <w:szCs w:val="28"/>
        </w:rPr>
        <w:t>успензия должна свободно проходить в шприц через иглу 0,8</w:t>
      </w:r>
      <w:r w:rsidR="00F63CA0">
        <w:rPr>
          <w:rFonts w:ascii="Times New Roman" w:hAnsi="Times New Roman"/>
          <w:b w:val="0"/>
          <w:szCs w:val="28"/>
        </w:rPr>
        <w:t> мм</w:t>
      </w:r>
      <w:r w:rsidRPr="005C72D8">
        <w:rPr>
          <w:rFonts w:ascii="Times New Roman" w:hAnsi="Times New Roman"/>
          <w:b w:val="0"/>
          <w:szCs w:val="28"/>
        </w:rPr>
        <w:t>×</w:t>
      </w:r>
      <w:r w:rsidRPr="005C72D8">
        <w:rPr>
          <w:rFonts w:ascii="Times New Roman" w:hAnsi="Times New Roman"/>
          <w:szCs w:val="28"/>
        </w:rPr>
        <w:t> </w:t>
      </w:r>
      <w:r w:rsidRPr="005C72D8">
        <w:rPr>
          <w:rFonts w:ascii="Times New Roman" w:hAnsi="Times New Roman"/>
          <w:b w:val="0"/>
          <w:szCs w:val="28"/>
        </w:rPr>
        <w:t>40 мм</w:t>
      </w:r>
      <w:r w:rsidR="00F63CA0">
        <w:rPr>
          <w:rFonts w:ascii="Times New Roman" w:hAnsi="Times New Roman"/>
          <w:b w:val="0"/>
          <w:szCs w:val="28"/>
        </w:rPr>
        <w:t>.</w:t>
      </w:r>
    </w:p>
    <w:p w:rsidR="00B3575C" w:rsidRDefault="00AD4DB7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соответствующем обосновании испытания по показателям «Размер частиц» и «Проходимость через иглу» могут быть взаимозаменяемыми.</w:t>
      </w:r>
    </w:p>
    <w:p w:rsidR="00183E9D" w:rsidRPr="000A37B7" w:rsidRDefault="005C72D8" w:rsidP="00914F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2D8">
        <w:rPr>
          <w:rFonts w:ascii="Times New Roman" w:hAnsi="Times New Roman"/>
          <w:b/>
          <w:i/>
          <w:sz w:val="28"/>
          <w:szCs w:val="28"/>
        </w:rPr>
        <w:t>Седиментационная</w:t>
      </w:r>
      <w:proofErr w:type="spellEnd"/>
      <w:r w:rsidRPr="005C72D8">
        <w:rPr>
          <w:rFonts w:ascii="Times New Roman" w:hAnsi="Times New Roman"/>
          <w:b/>
          <w:i/>
          <w:sz w:val="28"/>
          <w:szCs w:val="28"/>
        </w:rPr>
        <w:t xml:space="preserve"> устойчивость</w:t>
      </w:r>
      <w:r w:rsidRPr="005C72D8">
        <w:rPr>
          <w:rFonts w:ascii="Times New Roman" w:hAnsi="Times New Roman"/>
          <w:sz w:val="28"/>
          <w:szCs w:val="28"/>
        </w:rPr>
        <w:t>. Испытание проводят в соответствии с ОФС «</w:t>
      </w:r>
      <w:proofErr w:type="spellStart"/>
      <w:r w:rsidRPr="005C72D8">
        <w:rPr>
          <w:rFonts w:ascii="Times New Roman" w:hAnsi="Times New Roman"/>
          <w:sz w:val="28"/>
          <w:szCs w:val="28"/>
        </w:rPr>
        <w:t>Седиментационная</w:t>
      </w:r>
      <w:proofErr w:type="spellEnd"/>
      <w:r w:rsidRPr="005C72D8">
        <w:rPr>
          <w:rFonts w:ascii="Times New Roman" w:hAnsi="Times New Roman"/>
          <w:sz w:val="28"/>
          <w:szCs w:val="28"/>
        </w:rPr>
        <w:t xml:space="preserve"> устойчивость»</w:t>
      </w:r>
      <w:r w:rsidR="00F63CA0">
        <w:rPr>
          <w:rFonts w:ascii="Times New Roman" w:hAnsi="Times New Roman"/>
          <w:sz w:val="28"/>
          <w:szCs w:val="28"/>
        </w:rPr>
        <w:t xml:space="preserve"> и нормативными требованиями,</w:t>
      </w:r>
      <w:r w:rsidRPr="005C72D8">
        <w:rPr>
          <w:rFonts w:ascii="Times New Roman" w:hAnsi="Times New Roman"/>
          <w:sz w:val="28"/>
          <w:szCs w:val="28"/>
        </w:rPr>
        <w:t xml:space="preserve"> указ</w:t>
      </w:r>
      <w:r w:rsidR="00F63CA0">
        <w:rPr>
          <w:rFonts w:ascii="Times New Roman" w:hAnsi="Times New Roman"/>
          <w:sz w:val="28"/>
          <w:szCs w:val="28"/>
        </w:rPr>
        <w:t>анными</w:t>
      </w:r>
      <w:r w:rsidRPr="005C72D8">
        <w:rPr>
          <w:rFonts w:ascii="Times New Roman" w:hAnsi="Times New Roman"/>
          <w:sz w:val="28"/>
          <w:szCs w:val="28"/>
        </w:rPr>
        <w:t xml:space="preserve"> в фармакопейной статье.</w:t>
      </w:r>
    </w:p>
    <w:p w:rsidR="001511C8" w:rsidRPr="000A37B7" w:rsidRDefault="00AD4DB7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Испытание не применяют для восстановленных суспензий для приёма внутрь в </w:t>
      </w:r>
      <w:proofErr w:type="spellStart"/>
      <w:r>
        <w:rPr>
          <w:sz w:val="28"/>
          <w:szCs w:val="28"/>
        </w:rPr>
        <w:t>однодозовых</w:t>
      </w:r>
      <w:proofErr w:type="spellEnd"/>
      <w:r>
        <w:rPr>
          <w:sz w:val="28"/>
          <w:szCs w:val="28"/>
        </w:rPr>
        <w:t xml:space="preserve"> </w:t>
      </w:r>
      <w:r w:rsidR="00EE7504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>упаковках.</w:t>
      </w:r>
    </w:p>
    <w:p w:rsidR="001511C8" w:rsidRPr="000A37B7" w:rsidRDefault="005C72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72D8">
        <w:rPr>
          <w:rFonts w:ascii="Times New Roman" w:hAnsi="Times New Roman"/>
          <w:b/>
          <w:i/>
          <w:sz w:val="28"/>
          <w:szCs w:val="28"/>
        </w:rPr>
        <w:t>Вязкость</w:t>
      </w:r>
      <w:r w:rsidRPr="005C72D8">
        <w:rPr>
          <w:rFonts w:ascii="Times New Roman" w:hAnsi="Times New Roman"/>
          <w:sz w:val="28"/>
          <w:szCs w:val="28"/>
        </w:rPr>
        <w:t>. Испытание проводят, если указано в фармакопейной статье, в соответствии с ОФС «Вязкость» методом ротационной вискозиметрии. Испытание должно быть предусмотрено для суспензий, в состав которых входят вещества, увеличивающие вязкость.</w:t>
      </w:r>
    </w:p>
    <w:p w:rsidR="001511C8" w:rsidRDefault="005C72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2D8">
        <w:rPr>
          <w:rFonts w:ascii="Times New Roman" w:hAnsi="Times New Roman"/>
          <w:b/>
          <w:i/>
          <w:sz w:val="28"/>
          <w:szCs w:val="28"/>
        </w:rPr>
        <w:t>Однородность дозирования</w:t>
      </w:r>
      <w:r w:rsidRPr="005C72D8">
        <w:rPr>
          <w:rFonts w:ascii="Times New Roman" w:hAnsi="Times New Roman"/>
          <w:b/>
          <w:sz w:val="28"/>
          <w:szCs w:val="28"/>
        </w:rPr>
        <w:t>.</w:t>
      </w:r>
      <w:r w:rsidRPr="005C72D8">
        <w:rPr>
          <w:rFonts w:ascii="Times New Roman" w:hAnsi="Times New Roman"/>
          <w:sz w:val="28"/>
          <w:szCs w:val="28"/>
        </w:rPr>
        <w:t xml:space="preserve"> Испытание проводят для суспензий в </w:t>
      </w:r>
      <w:proofErr w:type="spellStart"/>
      <w:r w:rsidRPr="005C72D8">
        <w:rPr>
          <w:rFonts w:ascii="Times New Roman" w:hAnsi="Times New Roman"/>
          <w:sz w:val="28"/>
          <w:szCs w:val="28"/>
        </w:rPr>
        <w:t>однодозовых</w:t>
      </w:r>
      <w:proofErr w:type="spellEnd"/>
      <w:r w:rsidRPr="005C72D8">
        <w:rPr>
          <w:rFonts w:ascii="Times New Roman" w:hAnsi="Times New Roman"/>
          <w:sz w:val="28"/>
          <w:szCs w:val="28"/>
        </w:rPr>
        <w:t xml:space="preserve"> </w:t>
      </w:r>
      <w:r w:rsidR="00EE7504">
        <w:rPr>
          <w:rFonts w:ascii="Times New Roman" w:hAnsi="Times New Roman"/>
          <w:sz w:val="28"/>
          <w:szCs w:val="28"/>
        </w:rPr>
        <w:t xml:space="preserve">индивидуальных </w:t>
      </w:r>
      <w:r w:rsidRPr="005C72D8">
        <w:rPr>
          <w:rFonts w:ascii="Times New Roman" w:hAnsi="Times New Roman"/>
          <w:sz w:val="28"/>
          <w:szCs w:val="28"/>
        </w:rPr>
        <w:t xml:space="preserve">упаковках, за исключением суспензий для наружного </w:t>
      </w:r>
      <w:r w:rsidR="00EE7504">
        <w:rPr>
          <w:rFonts w:ascii="Times New Roman" w:hAnsi="Times New Roman"/>
          <w:sz w:val="28"/>
          <w:szCs w:val="28"/>
        </w:rPr>
        <w:t xml:space="preserve">применения </w:t>
      </w:r>
      <w:r w:rsidRPr="005C72D8">
        <w:rPr>
          <w:rFonts w:ascii="Times New Roman" w:hAnsi="Times New Roman"/>
          <w:sz w:val="28"/>
          <w:szCs w:val="28"/>
        </w:rPr>
        <w:t xml:space="preserve">и </w:t>
      </w:r>
      <w:r w:rsidR="00EE7504">
        <w:rPr>
          <w:rFonts w:ascii="Times New Roman" w:hAnsi="Times New Roman"/>
          <w:sz w:val="28"/>
          <w:szCs w:val="28"/>
        </w:rPr>
        <w:t xml:space="preserve">суспензий для </w:t>
      </w:r>
      <w:r w:rsidRPr="005C72D8">
        <w:rPr>
          <w:rFonts w:ascii="Times New Roman" w:hAnsi="Times New Roman"/>
          <w:sz w:val="28"/>
          <w:szCs w:val="28"/>
        </w:rPr>
        <w:t>местного применения, в соответствии с ОФС «Однородность дозирования».</w:t>
      </w:r>
    </w:p>
    <w:p w:rsidR="00672A0C" w:rsidRPr="000A37B7" w:rsidRDefault="00554296" w:rsidP="00554296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241EC">
        <w:rPr>
          <w:rFonts w:ascii="Times New Roman" w:hAnsi="Times New Roman"/>
          <w:b/>
          <w:i/>
          <w:sz w:val="28"/>
          <w:szCs w:val="28"/>
        </w:rPr>
        <w:t>Однородность массы</w:t>
      </w:r>
      <w:r>
        <w:rPr>
          <w:rFonts w:ascii="Times New Roman" w:hAnsi="Times New Roman"/>
          <w:b/>
          <w:i/>
          <w:sz w:val="28"/>
          <w:szCs w:val="28"/>
        </w:rPr>
        <w:t xml:space="preserve"> (объёма)</w:t>
      </w:r>
      <w:r w:rsidRPr="008241EC">
        <w:rPr>
          <w:rFonts w:ascii="Times New Roman" w:hAnsi="Times New Roman"/>
          <w:b/>
          <w:i/>
          <w:sz w:val="28"/>
          <w:szCs w:val="28"/>
        </w:rPr>
        <w:t xml:space="preserve"> доз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71C5B">
        <w:rPr>
          <w:rFonts w:ascii="Times New Roman" w:hAnsi="Times New Roman"/>
          <w:sz w:val="28"/>
          <w:szCs w:val="28"/>
        </w:rPr>
        <w:t xml:space="preserve">Испытание проводят для </w:t>
      </w:r>
      <w:r>
        <w:rPr>
          <w:rFonts w:ascii="Times New Roman" w:hAnsi="Times New Roman"/>
          <w:sz w:val="28"/>
          <w:szCs w:val="28"/>
        </w:rPr>
        <w:t>суспензий</w:t>
      </w:r>
      <w:r w:rsidRPr="00071C5B">
        <w:rPr>
          <w:rFonts w:ascii="Times New Roman" w:hAnsi="Times New Roman"/>
          <w:sz w:val="28"/>
          <w:szCs w:val="28"/>
        </w:rPr>
        <w:t xml:space="preserve">, выпускаемых в </w:t>
      </w:r>
      <w:proofErr w:type="spellStart"/>
      <w:r w:rsidRPr="00071C5B">
        <w:rPr>
          <w:rFonts w:ascii="Times New Roman" w:hAnsi="Times New Roman"/>
          <w:sz w:val="28"/>
          <w:szCs w:val="28"/>
        </w:rPr>
        <w:t>многодозовой</w:t>
      </w:r>
      <w:proofErr w:type="spellEnd"/>
      <w:r w:rsidRPr="00071C5B">
        <w:rPr>
          <w:rFonts w:ascii="Times New Roman" w:hAnsi="Times New Roman"/>
          <w:sz w:val="28"/>
          <w:szCs w:val="28"/>
        </w:rPr>
        <w:t xml:space="preserve"> упаковке, снабжённой устройством для дозирования,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1C5B">
        <w:rPr>
          <w:rFonts w:ascii="Times New Roman" w:hAnsi="Times New Roman"/>
          <w:sz w:val="28"/>
          <w:szCs w:val="28"/>
        </w:rPr>
        <w:t>ОФС «Однородность массы</w:t>
      </w:r>
      <w:r>
        <w:rPr>
          <w:rFonts w:ascii="Times New Roman" w:hAnsi="Times New Roman"/>
          <w:sz w:val="28"/>
          <w:szCs w:val="28"/>
        </w:rPr>
        <w:t xml:space="preserve"> (объёма)</w:t>
      </w:r>
      <w:r w:rsidRPr="00071C5B">
        <w:rPr>
          <w:rFonts w:ascii="Times New Roman" w:hAnsi="Times New Roman"/>
          <w:sz w:val="28"/>
          <w:szCs w:val="28"/>
        </w:rPr>
        <w:t xml:space="preserve"> доз, отобранных из </w:t>
      </w:r>
      <w:proofErr w:type="spellStart"/>
      <w:r w:rsidRPr="00071C5B">
        <w:rPr>
          <w:rFonts w:ascii="Times New Roman" w:hAnsi="Times New Roman"/>
          <w:sz w:val="28"/>
          <w:szCs w:val="28"/>
        </w:rPr>
        <w:t>многодозовой</w:t>
      </w:r>
      <w:proofErr w:type="spellEnd"/>
      <w:r w:rsidRPr="00071C5B">
        <w:rPr>
          <w:rFonts w:ascii="Times New Roman" w:hAnsi="Times New Roman"/>
          <w:sz w:val="28"/>
          <w:szCs w:val="28"/>
        </w:rPr>
        <w:t xml:space="preserve"> упаковки</w:t>
      </w:r>
      <w:r w:rsidRPr="00071C5B">
        <w:rPr>
          <w:rFonts w:ascii="Times New Roman" w:hAnsi="Times New Roman"/>
          <w:caps/>
          <w:sz w:val="28"/>
          <w:szCs w:val="28"/>
        </w:rPr>
        <w:t>».</w:t>
      </w:r>
    </w:p>
    <w:p w:rsidR="00B3575C" w:rsidRDefault="00AD4DB7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Извлекаемый объём</w:t>
      </w:r>
      <w:r>
        <w:rPr>
          <w:sz w:val="28"/>
          <w:szCs w:val="28"/>
        </w:rPr>
        <w:t xml:space="preserve">. Испытание проводят для суспензий для приёма внутрь в соответствии с ОФС «Извлекаемый объём». </w:t>
      </w:r>
    </w:p>
    <w:p w:rsidR="00B3575C" w:rsidRDefault="00AD4DB7">
      <w:pPr>
        <w:pStyle w:val="10"/>
        <w:spacing w:before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Испытание не применяют для суспензий в </w:t>
      </w:r>
      <w:proofErr w:type="spellStart"/>
      <w:r>
        <w:rPr>
          <w:sz w:val="28"/>
          <w:szCs w:val="28"/>
        </w:rPr>
        <w:t>однодозовых</w:t>
      </w:r>
      <w:proofErr w:type="spellEnd"/>
      <w:r>
        <w:rPr>
          <w:sz w:val="28"/>
          <w:szCs w:val="28"/>
        </w:rPr>
        <w:t xml:space="preserve"> упаковках, если проводят испытание </w:t>
      </w:r>
      <w:r w:rsidR="00554296">
        <w:rPr>
          <w:sz w:val="28"/>
          <w:szCs w:val="28"/>
        </w:rPr>
        <w:t>по показателю «О</w:t>
      </w:r>
      <w:r>
        <w:rPr>
          <w:sz w:val="28"/>
          <w:szCs w:val="28"/>
        </w:rPr>
        <w:t>днородность дозирования</w:t>
      </w:r>
      <w:r w:rsidR="0055429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z w:val="28"/>
          <w:szCs w:val="28"/>
          <w:shd w:val="clear" w:color="auto" w:fill="80FFFF"/>
        </w:rPr>
        <w:t xml:space="preserve"> </w:t>
      </w:r>
    </w:p>
    <w:p w:rsidR="00B3575C" w:rsidRDefault="00AD4DB7">
      <w:pPr>
        <w:pStyle w:val="10"/>
        <w:spacing w:before="0" w:line="360" w:lineRule="auto"/>
        <w:ind w:firstLine="709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Масса (объём) содержимого упаковки</w:t>
      </w:r>
      <w:r>
        <w:rPr>
          <w:sz w:val="28"/>
          <w:szCs w:val="28"/>
        </w:rPr>
        <w:t>. Испытание проводят для всех суспензий, за исключением суспензий для приёма внутрь, в соответствии с ОФС «Масса (объём) содержимого упаковки».</w:t>
      </w:r>
    </w:p>
    <w:p w:rsidR="00B3575C" w:rsidRDefault="00AD4DB7">
      <w:pPr>
        <w:pStyle w:val="10"/>
        <w:spacing w:before="0" w:line="360" w:lineRule="auto"/>
        <w:ind w:firstLine="709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Микробиологическая чистота</w:t>
      </w:r>
      <w:r>
        <w:rPr>
          <w:sz w:val="28"/>
          <w:szCs w:val="28"/>
        </w:rPr>
        <w:t xml:space="preserve">. </w:t>
      </w:r>
      <w:r w:rsidR="00554296">
        <w:rPr>
          <w:sz w:val="28"/>
          <w:szCs w:val="28"/>
        </w:rPr>
        <w:t>Испытание проводят для в</w:t>
      </w:r>
      <w:r>
        <w:rPr>
          <w:sz w:val="28"/>
          <w:szCs w:val="28"/>
        </w:rPr>
        <w:t>се</w:t>
      </w:r>
      <w:r w:rsidR="00554296">
        <w:rPr>
          <w:sz w:val="28"/>
          <w:szCs w:val="28"/>
        </w:rPr>
        <w:t xml:space="preserve">х </w:t>
      </w:r>
      <w:r>
        <w:rPr>
          <w:sz w:val="28"/>
          <w:szCs w:val="28"/>
        </w:rPr>
        <w:t>суспензи</w:t>
      </w:r>
      <w:r w:rsidR="00554296">
        <w:rPr>
          <w:sz w:val="28"/>
          <w:szCs w:val="28"/>
        </w:rPr>
        <w:t>й,</w:t>
      </w:r>
      <w:r>
        <w:rPr>
          <w:sz w:val="28"/>
          <w:szCs w:val="28"/>
        </w:rPr>
        <w:t xml:space="preserve"> за исключением стерильных, </w:t>
      </w:r>
      <w:r w:rsidR="0055429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ОФС</w:t>
      </w:r>
      <w:r w:rsidR="00554296">
        <w:rPr>
          <w:sz w:val="28"/>
          <w:szCs w:val="28"/>
        </w:rPr>
        <w:t> </w:t>
      </w:r>
      <w:r>
        <w:rPr>
          <w:sz w:val="28"/>
          <w:szCs w:val="28"/>
        </w:rPr>
        <w:t>«Микробиологическая чистота».</w:t>
      </w:r>
    </w:p>
    <w:p w:rsidR="00B3575C" w:rsidRDefault="00AD4DB7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Стерильность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Испытание проводят для суспензий, к которым предъявляется требование стерильности в соответствии с ОФС</w:t>
      </w:r>
      <w:r w:rsidR="00554296">
        <w:rPr>
          <w:sz w:val="28"/>
          <w:szCs w:val="28"/>
        </w:rPr>
        <w:t> </w:t>
      </w:r>
      <w:r>
        <w:rPr>
          <w:sz w:val="28"/>
          <w:szCs w:val="28"/>
        </w:rPr>
        <w:t>«Стерильность».</w:t>
      </w:r>
    </w:p>
    <w:p w:rsidR="00B3575C" w:rsidRDefault="002F2D12">
      <w:pPr>
        <w:pStyle w:val="10"/>
        <w:keepNext/>
        <w:spacing w:before="240" w:line="360" w:lineRule="auto"/>
        <w:jc w:val="center"/>
        <w:rPr>
          <w:b/>
          <w:sz w:val="28"/>
          <w:szCs w:val="28"/>
          <w:lang w:eastAsia="ru-RU" w:bidi="ru-RU"/>
        </w:rPr>
      </w:pPr>
      <w:r w:rsidRPr="00D46764">
        <w:rPr>
          <w:b/>
          <w:sz w:val="28"/>
          <w:szCs w:val="28"/>
          <w:lang w:eastAsia="ru-RU" w:bidi="ru-RU"/>
        </w:rPr>
        <w:t>Упаковка</w:t>
      </w:r>
    </w:p>
    <w:p w:rsidR="00B3575C" w:rsidRDefault="001511C8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D46764">
        <w:rPr>
          <w:sz w:val="28"/>
          <w:szCs w:val="28"/>
        </w:rPr>
        <w:t>В соответствии с ОФС «Упаковка</w:t>
      </w:r>
      <w:r w:rsidR="00A054AE">
        <w:rPr>
          <w:sz w:val="28"/>
          <w:szCs w:val="28"/>
        </w:rPr>
        <w:t xml:space="preserve"> </w:t>
      </w:r>
      <w:r w:rsidRPr="00D46764">
        <w:rPr>
          <w:sz w:val="28"/>
          <w:szCs w:val="28"/>
        </w:rPr>
        <w:t>лекарственных средств».</w:t>
      </w:r>
    </w:p>
    <w:p w:rsidR="00B3575C" w:rsidRDefault="001511C8">
      <w:pPr>
        <w:pStyle w:val="10"/>
        <w:spacing w:before="0" w:line="360" w:lineRule="auto"/>
        <w:ind w:firstLine="709"/>
        <w:rPr>
          <w:sz w:val="28"/>
          <w:szCs w:val="28"/>
        </w:rPr>
      </w:pPr>
      <w:proofErr w:type="spellStart"/>
      <w:r w:rsidRPr="00D46764">
        <w:rPr>
          <w:sz w:val="28"/>
          <w:szCs w:val="28"/>
        </w:rPr>
        <w:t>Многодозовая</w:t>
      </w:r>
      <w:proofErr w:type="spellEnd"/>
      <w:r w:rsidRPr="00D46764">
        <w:rPr>
          <w:sz w:val="28"/>
          <w:szCs w:val="28"/>
        </w:rPr>
        <w:t xml:space="preserve"> упаковка суспензий для при</w:t>
      </w:r>
      <w:r w:rsidR="00054CA2">
        <w:rPr>
          <w:sz w:val="28"/>
          <w:szCs w:val="28"/>
        </w:rPr>
        <w:t>ё</w:t>
      </w:r>
      <w:r w:rsidRPr="00D46764">
        <w:rPr>
          <w:sz w:val="28"/>
          <w:szCs w:val="28"/>
        </w:rPr>
        <w:t xml:space="preserve">ма внутрь </w:t>
      </w:r>
      <w:r w:rsidRPr="00072ABD">
        <w:rPr>
          <w:sz w:val="28"/>
          <w:szCs w:val="28"/>
        </w:rPr>
        <w:t>должна</w:t>
      </w:r>
      <w:r w:rsidRPr="00D46764">
        <w:rPr>
          <w:sz w:val="28"/>
          <w:szCs w:val="28"/>
        </w:rPr>
        <w:t xml:space="preserve"> быть снабжена средством дозирования, представляющим собой мерную ложку, мерный стаканчик, мерный колпачок, шприцевой дозатор и др., для отмеривания предписанной дозы лекарственного препарата.</w:t>
      </w:r>
    </w:p>
    <w:p w:rsidR="00B3575C" w:rsidRDefault="001511C8">
      <w:pPr>
        <w:pStyle w:val="10"/>
        <w:spacing w:before="0" w:line="360" w:lineRule="auto"/>
        <w:ind w:firstLine="709"/>
        <w:rPr>
          <w:b/>
          <w:bCs/>
          <w:sz w:val="28"/>
          <w:szCs w:val="28"/>
        </w:rPr>
      </w:pPr>
      <w:r w:rsidRPr="00D46764">
        <w:rPr>
          <w:sz w:val="28"/>
          <w:szCs w:val="28"/>
        </w:rPr>
        <w:t>Упаковка суспензий для вагинального, ректального введения, а также, при необходимости, упаковка суспензий для применения в полости рта, должна быть приспособлена для соответствующего введения или снабжена подходящей насадкой, аппликатором.</w:t>
      </w:r>
    </w:p>
    <w:p w:rsidR="00B3575C" w:rsidRDefault="002F2D12">
      <w:pPr>
        <w:keepNext/>
        <w:spacing w:before="240" w:after="0" w:line="360" w:lineRule="auto"/>
        <w:ind w:left="23"/>
        <w:jc w:val="center"/>
        <w:rPr>
          <w:rFonts w:ascii="Times New Roman" w:hAnsi="Times New Roman"/>
          <w:b/>
          <w:sz w:val="28"/>
          <w:szCs w:val="28"/>
        </w:rPr>
      </w:pPr>
      <w:r w:rsidRPr="00D46764">
        <w:rPr>
          <w:rFonts w:ascii="Times New Roman" w:hAnsi="Times New Roman"/>
          <w:b/>
          <w:sz w:val="28"/>
          <w:szCs w:val="28"/>
        </w:rPr>
        <w:t>Маркировка</w:t>
      </w:r>
    </w:p>
    <w:p w:rsidR="00B3575C" w:rsidRDefault="002F2D12">
      <w:pPr>
        <w:pStyle w:val="10"/>
        <w:spacing w:before="0" w:line="360" w:lineRule="auto"/>
        <w:ind w:firstLine="709"/>
        <w:rPr>
          <w:sz w:val="28"/>
          <w:szCs w:val="28"/>
          <w:lang w:eastAsia="ru-RU" w:bidi="ru-RU"/>
        </w:rPr>
      </w:pPr>
      <w:r w:rsidRPr="00D46764">
        <w:rPr>
          <w:sz w:val="28"/>
          <w:szCs w:val="28"/>
          <w:lang w:eastAsia="ru-RU" w:bidi="ru-RU"/>
        </w:rPr>
        <w:t>В соответствии с ОФС «</w:t>
      </w:r>
      <w:r w:rsidR="00A054AE">
        <w:rPr>
          <w:sz w:val="28"/>
          <w:szCs w:val="28"/>
          <w:lang w:eastAsia="ru-RU" w:bidi="ru-RU"/>
        </w:rPr>
        <w:t>М</w:t>
      </w:r>
      <w:r w:rsidRPr="00D46764">
        <w:rPr>
          <w:sz w:val="28"/>
          <w:szCs w:val="28"/>
          <w:lang w:eastAsia="ru-RU" w:bidi="ru-RU"/>
        </w:rPr>
        <w:t>аркировка лекарственных средств».</w:t>
      </w:r>
    </w:p>
    <w:p w:rsidR="00B3575C" w:rsidRDefault="001511C8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D46764">
        <w:rPr>
          <w:sz w:val="28"/>
          <w:szCs w:val="28"/>
        </w:rPr>
        <w:t>Должна быть предусмотрена предупредительная надпись «Перед употреблением взбалтывать».</w:t>
      </w:r>
    </w:p>
    <w:sectPr w:rsidR="00B3575C" w:rsidSect="00DD2B49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98" w:rsidRDefault="00FB7398" w:rsidP="000324BA">
      <w:pPr>
        <w:spacing w:after="0" w:line="240" w:lineRule="auto"/>
      </w:pPr>
      <w:r>
        <w:separator/>
      </w:r>
    </w:p>
  </w:endnote>
  <w:endnote w:type="continuationSeparator" w:id="0">
    <w:p w:rsidR="00FB7398" w:rsidRDefault="00FB7398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132397" w:rsidP="001150D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8966ED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790EEE">
          <w:rPr>
            <w:rFonts w:ascii="Times New Roman" w:hAnsi="Times New Roman"/>
            <w:noProof/>
            <w:sz w:val="28"/>
            <w:szCs w:val="28"/>
          </w:rPr>
          <w:t>5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98" w:rsidRDefault="00FB7398" w:rsidP="000324BA">
      <w:pPr>
        <w:spacing w:after="0" w:line="240" w:lineRule="auto"/>
      </w:pPr>
      <w:r>
        <w:separator/>
      </w:r>
    </w:p>
  </w:footnote>
  <w:footnote w:type="continuationSeparator" w:id="0">
    <w:p w:rsidR="00FB7398" w:rsidRDefault="00FB7398" w:rsidP="0003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1F7D"/>
    <w:multiLevelType w:val="multilevel"/>
    <w:tmpl w:val="8B303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324BA"/>
    <w:rsid w:val="00010716"/>
    <w:rsid w:val="00017FB8"/>
    <w:rsid w:val="000324BA"/>
    <w:rsid w:val="00047ABA"/>
    <w:rsid w:val="00051597"/>
    <w:rsid w:val="00052441"/>
    <w:rsid w:val="00054CA2"/>
    <w:rsid w:val="00061D95"/>
    <w:rsid w:val="000715DB"/>
    <w:rsid w:val="00072ABD"/>
    <w:rsid w:val="00077BCC"/>
    <w:rsid w:val="00081A80"/>
    <w:rsid w:val="000A37B7"/>
    <w:rsid w:val="000C7844"/>
    <w:rsid w:val="000D0B55"/>
    <w:rsid w:val="001150D8"/>
    <w:rsid w:val="00117B71"/>
    <w:rsid w:val="00132397"/>
    <w:rsid w:val="00143675"/>
    <w:rsid w:val="00146D9A"/>
    <w:rsid w:val="001511C8"/>
    <w:rsid w:val="001613D7"/>
    <w:rsid w:val="0016349D"/>
    <w:rsid w:val="00167677"/>
    <w:rsid w:val="00167FA6"/>
    <w:rsid w:val="00183E9D"/>
    <w:rsid w:val="001C0E2B"/>
    <w:rsid w:val="001D050C"/>
    <w:rsid w:val="001D0EE5"/>
    <w:rsid w:val="002008B1"/>
    <w:rsid w:val="00200AFD"/>
    <w:rsid w:val="002054B3"/>
    <w:rsid w:val="00210488"/>
    <w:rsid w:val="00231AF7"/>
    <w:rsid w:val="0023621F"/>
    <w:rsid w:val="00243237"/>
    <w:rsid w:val="00246E93"/>
    <w:rsid w:val="002874D0"/>
    <w:rsid w:val="002C7DD0"/>
    <w:rsid w:val="002D38C2"/>
    <w:rsid w:val="002E426D"/>
    <w:rsid w:val="002F2D12"/>
    <w:rsid w:val="00301C5F"/>
    <w:rsid w:val="00305878"/>
    <w:rsid w:val="003144BA"/>
    <w:rsid w:val="00321187"/>
    <w:rsid w:val="00331784"/>
    <w:rsid w:val="00352811"/>
    <w:rsid w:val="003667BD"/>
    <w:rsid w:val="0037309A"/>
    <w:rsid w:val="003B6F8F"/>
    <w:rsid w:val="003D6449"/>
    <w:rsid w:val="003E7C64"/>
    <w:rsid w:val="003F2D9F"/>
    <w:rsid w:val="00402C33"/>
    <w:rsid w:val="00405E4A"/>
    <w:rsid w:val="00485C82"/>
    <w:rsid w:val="00490547"/>
    <w:rsid w:val="00492C85"/>
    <w:rsid w:val="004B50C5"/>
    <w:rsid w:val="004C0049"/>
    <w:rsid w:val="004C0FA4"/>
    <w:rsid w:val="00521C96"/>
    <w:rsid w:val="00526174"/>
    <w:rsid w:val="0053002F"/>
    <w:rsid w:val="00536C53"/>
    <w:rsid w:val="00554296"/>
    <w:rsid w:val="00561A87"/>
    <w:rsid w:val="00577F50"/>
    <w:rsid w:val="005848EF"/>
    <w:rsid w:val="00591E49"/>
    <w:rsid w:val="00594DF5"/>
    <w:rsid w:val="005A3D76"/>
    <w:rsid w:val="005A631A"/>
    <w:rsid w:val="005C6B28"/>
    <w:rsid w:val="005C72D8"/>
    <w:rsid w:val="005D3BAB"/>
    <w:rsid w:val="005D69D4"/>
    <w:rsid w:val="005F6435"/>
    <w:rsid w:val="0061362D"/>
    <w:rsid w:val="00631774"/>
    <w:rsid w:val="00632B93"/>
    <w:rsid w:val="006558ED"/>
    <w:rsid w:val="00661236"/>
    <w:rsid w:val="00662E43"/>
    <w:rsid w:val="00671ACE"/>
    <w:rsid w:val="00672A0C"/>
    <w:rsid w:val="0069157A"/>
    <w:rsid w:val="00691C1E"/>
    <w:rsid w:val="00692527"/>
    <w:rsid w:val="00697B32"/>
    <w:rsid w:val="006C0ADC"/>
    <w:rsid w:val="006C4A03"/>
    <w:rsid w:val="006C73FD"/>
    <w:rsid w:val="006D141E"/>
    <w:rsid w:val="00720BAA"/>
    <w:rsid w:val="0073187A"/>
    <w:rsid w:val="00735879"/>
    <w:rsid w:val="007407E9"/>
    <w:rsid w:val="00744260"/>
    <w:rsid w:val="007554F2"/>
    <w:rsid w:val="007667D3"/>
    <w:rsid w:val="00790EEE"/>
    <w:rsid w:val="007A696F"/>
    <w:rsid w:val="007B724B"/>
    <w:rsid w:val="007D1154"/>
    <w:rsid w:val="007E1A1E"/>
    <w:rsid w:val="007E426E"/>
    <w:rsid w:val="00801413"/>
    <w:rsid w:val="0081153D"/>
    <w:rsid w:val="008241EC"/>
    <w:rsid w:val="008335EF"/>
    <w:rsid w:val="00836A24"/>
    <w:rsid w:val="008374C3"/>
    <w:rsid w:val="00851FB8"/>
    <w:rsid w:val="008531D1"/>
    <w:rsid w:val="00861704"/>
    <w:rsid w:val="00864EFC"/>
    <w:rsid w:val="00873189"/>
    <w:rsid w:val="0089584D"/>
    <w:rsid w:val="008966ED"/>
    <w:rsid w:val="008A10D9"/>
    <w:rsid w:val="008A78AC"/>
    <w:rsid w:val="008C1620"/>
    <w:rsid w:val="008C536A"/>
    <w:rsid w:val="008D2673"/>
    <w:rsid w:val="008E5BB1"/>
    <w:rsid w:val="008F2341"/>
    <w:rsid w:val="008F6E88"/>
    <w:rsid w:val="00903113"/>
    <w:rsid w:val="00914F43"/>
    <w:rsid w:val="009865A9"/>
    <w:rsid w:val="00991BC4"/>
    <w:rsid w:val="00996C37"/>
    <w:rsid w:val="00997FC7"/>
    <w:rsid w:val="009A08D1"/>
    <w:rsid w:val="009C462B"/>
    <w:rsid w:val="009D4018"/>
    <w:rsid w:val="009E3054"/>
    <w:rsid w:val="00A0200F"/>
    <w:rsid w:val="00A04BDF"/>
    <w:rsid w:val="00A054AE"/>
    <w:rsid w:val="00A22DEC"/>
    <w:rsid w:val="00A27A4D"/>
    <w:rsid w:val="00A4625C"/>
    <w:rsid w:val="00A71A16"/>
    <w:rsid w:val="00A74164"/>
    <w:rsid w:val="00A779A4"/>
    <w:rsid w:val="00A900E5"/>
    <w:rsid w:val="00A9048E"/>
    <w:rsid w:val="00AB3296"/>
    <w:rsid w:val="00AD4DB7"/>
    <w:rsid w:val="00AE5B44"/>
    <w:rsid w:val="00AE5E88"/>
    <w:rsid w:val="00AE714D"/>
    <w:rsid w:val="00B127FE"/>
    <w:rsid w:val="00B320F2"/>
    <w:rsid w:val="00B3575C"/>
    <w:rsid w:val="00B45381"/>
    <w:rsid w:val="00B60A1D"/>
    <w:rsid w:val="00B87F75"/>
    <w:rsid w:val="00B95192"/>
    <w:rsid w:val="00BA04B8"/>
    <w:rsid w:val="00BB3AA3"/>
    <w:rsid w:val="00BF16E2"/>
    <w:rsid w:val="00BF3B77"/>
    <w:rsid w:val="00C242A1"/>
    <w:rsid w:val="00C32597"/>
    <w:rsid w:val="00C44B47"/>
    <w:rsid w:val="00C90A1D"/>
    <w:rsid w:val="00CA1411"/>
    <w:rsid w:val="00CA5AE0"/>
    <w:rsid w:val="00CD79E8"/>
    <w:rsid w:val="00D27EF2"/>
    <w:rsid w:val="00D33ACB"/>
    <w:rsid w:val="00D43DA0"/>
    <w:rsid w:val="00D46764"/>
    <w:rsid w:val="00D601C1"/>
    <w:rsid w:val="00DA5D71"/>
    <w:rsid w:val="00DC32D9"/>
    <w:rsid w:val="00DE4EB2"/>
    <w:rsid w:val="00E02392"/>
    <w:rsid w:val="00E22886"/>
    <w:rsid w:val="00E60806"/>
    <w:rsid w:val="00E75D98"/>
    <w:rsid w:val="00E8670F"/>
    <w:rsid w:val="00E90DF9"/>
    <w:rsid w:val="00E90F6B"/>
    <w:rsid w:val="00EA0D39"/>
    <w:rsid w:val="00EE7504"/>
    <w:rsid w:val="00EF6C5B"/>
    <w:rsid w:val="00F03908"/>
    <w:rsid w:val="00F0412D"/>
    <w:rsid w:val="00F12171"/>
    <w:rsid w:val="00F1274E"/>
    <w:rsid w:val="00F3425A"/>
    <w:rsid w:val="00F63CA0"/>
    <w:rsid w:val="00F83B26"/>
    <w:rsid w:val="00F85899"/>
    <w:rsid w:val="00FB7398"/>
    <w:rsid w:val="00FC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136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1362D"/>
    <w:rPr>
      <w:rFonts w:ascii="Calibri" w:eastAsia="Calibri" w:hAnsi="Calibri" w:cs="Times New Roman"/>
    </w:rPr>
  </w:style>
  <w:style w:type="character" w:styleId="ae">
    <w:name w:val="Emphasis"/>
    <w:qFormat/>
    <w:rsid w:val="0061362D"/>
    <w:rPr>
      <w:b/>
      <w:bCs/>
      <w:i/>
      <w:iCs/>
      <w:spacing w:val="10"/>
    </w:rPr>
  </w:style>
  <w:style w:type="character" w:customStyle="1" w:styleId="af">
    <w:name w:val="Основной текст_"/>
    <w:basedOn w:val="a0"/>
    <w:link w:val="10"/>
    <w:rsid w:val="00AB3296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f"/>
    <w:rsid w:val="00AB3296"/>
    <w:pPr>
      <w:widowControl w:val="0"/>
      <w:spacing w:before="780" w:after="0" w:line="461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f0">
    <w:name w:val="Основной текст + Курсив"/>
    <w:basedOn w:val="af"/>
    <w:rsid w:val="00AB32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90F6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E90F6B"/>
    <w:pPr>
      <w:widowControl w:val="0"/>
      <w:spacing w:after="0" w:line="461" w:lineRule="exact"/>
      <w:ind w:firstLine="680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1">
    <w:name w:val="Основной текст + Полужирный"/>
    <w:basedOn w:val="af"/>
    <w:rsid w:val="00E90F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styleId="af2">
    <w:name w:val="annotation reference"/>
    <w:basedOn w:val="a0"/>
    <w:uiPriority w:val="99"/>
    <w:semiHidden/>
    <w:unhideWhenUsed/>
    <w:rsid w:val="00C242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42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42A1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42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42A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3FA06-804D-491C-8C3F-54F486F9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Sokil</cp:lastModifiedBy>
  <cp:revision>18</cp:revision>
  <cp:lastPrinted>2023-07-13T12:53:00Z</cp:lastPrinted>
  <dcterms:created xsi:type="dcterms:W3CDTF">2022-09-20T11:55:00Z</dcterms:created>
  <dcterms:modified xsi:type="dcterms:W3CDTF">2023-07-13T13:00:00Z</dcterms:modified>
</cp:coreProperties>
</file>