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66" w:rsidRPr="00D760CF" w:rsidRDefault="003F0966" w:rsidP="003F0966">
      <w:pPr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760CF">
        <w:rPr>
          <w:rFonts w:ascii="Times New Roman" w:hAnsi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3F0966" w:rsidRPr="00D760CF" w:rsidRDefault="003F0966" w:rsidP="003F096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966" w:rsidRPr="00D760CF" w:rsidRDefault="003F0966" w:rsidP="003F096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966" w:rsidRPr="00D760CF" w:rsidRDefault="003F0966" w:rsidP="003F096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966" w:rsidRDefault="003F0966" w:rsidP="003F09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760CF">
        <w:rPr>
          <w:rFonts w:ascii="Times New Roman" w:eastAsia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F0966" w:rsidRPr="00D760CF" w:rsidTr="00FD51E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966" w:rsidRPr="00D760CF" w:rsidRDefault="003F0966" w:rsidP="00FD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F0966" w:rsidRPr="00D760CF" w:rsidRDefault="003F0966" w:rsidP="003F0966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jc w:val="center"/>
        <w:tblLook w:val="00A0" w:firstRow="1" w:lastRow="0" w:firstColumn="1" w:lastColumn="0" w:noHBand="0" w:noVBand="0"/>
      </w:tblPr>
      <w:tblGrid>
        <w:gridCol w:w="5494"/>
        <w:gridCol w:w="283"/>
        <w:gridCol w:w="3793"/>
      </w:tblGrid>
      <w:tr w:rsidR="003F0966" w:rsidRPr="00D760CF" w:rsidTr="00200374">
        <w:trPr>
          <w:jc w:val="center"/>
        </w:trPr>
        <w:tc>
          <w:tcPr>
            <w:tcW w:w="5494" w:type="dxa"/>
          </w:tcPr>
          <w:p w:rsidR="00801AFD" w:rsidRDefault="003F0966" w:rsidP="0020037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760CF">
              <w:rPr>
                <w:rFonts w:ascii="Times New Roman" w:eastAsia="Times New Roman" w:hAnsi="Times New Roman"/>
                <w:b/>
                <w:sz w:val="28"/>
                <w:szCs w:val="28"/>
              </w:rPr>
              <w:t>Сульфатная зола</w:t>
            </w:r>
          </w:p>
        </w:tc>
        <w:tc>
          <w:tcPr>
            <w:tcW w:w="283" w:type="dxa"/>
          </w:tcPr>
          <w:p w:rsidR="00801AFD" w:rsidRDefault="00801AFD" w:rsidP="0020037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AFD" w:rsidRDefault="003F0966" w:rsidP="0020037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D760CF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55787E">
              <w:rPr>
                <w:rFonts w:ascii="Times New Roman" w:eastAsia="Times New Roman" w:hAnsi="Times New Roman"/>
                <w:b/>
                <w:sz w:val="28"/>
                <w:szCs w:val="28"/>
              </w:rPr>
              <w:t>.1.2.2.2.0014</w:t>
            </w:r>
          </w:p>
        </w:tc>
      </w:tr>
      <w:tr w:rsidR="003F0966" w:rsidRPr="00D760CF" w:rsidTr="00200374">
        <w:trPr>
          <w:jc w:val="center"/>
        </w:trPr>
        <w:tc>
          <w:tcPr>
            <w:tcW w:w="5494" w:type="dxa"/>
          </w:tcPr>
          <w:p w:rsidR="00801AFD" w:rsidRDefault="00801AFD" w:rsidP="0020037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801AFD" w:rsidRDefault="00801AFD" w:rsidP="0020037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801AFD" w:rsidRDefault="003F0966" w:rsidP="00200374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760CF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ОФС.1.2.2.2.0014.15</w:t>
            </w:r>
          </w:p>
        </w:tc>
      </w:tr>
    </w:tbl>
    <w:p w:rsidR="003F0966" w:rsidRPr="00D760CF" w:rsidRDefault="003F0966" w:rsidP="003F0966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F0966" w:rsidRPr="00D760CF" w:rsidTr="00FD51E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966" w:rsidRPr="00D760CF" w:rsidRDefault="003F0966" w:rsidP="00200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F0966" w:rsidRPr="00D760CF" w:rsidRDefault="003F0966" w:rsidP="00200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B64C2" w:rsidRDefault="003B64C2" w:rsidP="002003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34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сульфатной золы </w:t>
      </w:r>
      <w:r w:rsidRPr="00BC734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обработке </w:t>
      </w:r>
      <w:r w:rsidRPr="00BC734E">
        <w:rPr>
          <w:rFonts w:ascii="Times New Roman" w:eastAsia="Times New Roman" w:hAnsi="Times New Roman"/>
          <w:sz w:val="28"/>
          <w:szCs w:val="28"/>
          <w:lang w:eastAsia="ru-RU"/>
        </w:rPr>
        <w:t>испытуемого образца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серной кислотой </w:t>
      </w:r>
      <w:r w:rsidRPr="00BC734E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последующим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осторожным нагреванием,</w:t>
      </w:r>
      <w:r w:rsidRPr="00BC734E">
        <w:rPr>
          <w:rFonts w:ascii="Times New Roman" w:eastAsia="Times New Roman" w:hAnsi="Times New Roman"/>
          <w:sz w:val="28"/>
          <w:szCs w:val="28"/>
          <w:lang w:eastAsia="ru-RU"/>
        </w:rPr>
        <w:t xml:space="preserve"> сжиганием и прокаливанием остатка до по</w:t>
      </w:r>
      <w:bookmarkStart w:id="0" w:name="_GoBack"/>
      <w:bookmarkEnd w:id="0"/>
      <w:r w:rsidRPr="00BC734E">
        <w:rPr>
          <w:rFonts w:ascii="Times New Roman" w:eastAsia="Times New Roman" w:hAnsi="Times New Roman"/>
          <w:sz w:val="28"/>
          <w:szCs w:val="28"/>
          <w:lang w:eastAsia="ru-RU"/>
        </w:rPr>
        <w:t>стоянной массы.</w:t>
      </w:r>
    </w:p>
    <w:p w:rsidR="00801AFD" w:rsidRDefault="003B64C2" w:rsidP="002003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Испытание применяют для определения содержания </w:t>
      </w:r>
      <w:r w:rsidRPr="006A2044">
        <w:rPr>
          <w:rFonts w:ascii="Times New Roman" w:hAnsi="Times New Roman"/>
          <w:color w:val="000000"/>
          <w:sz w:val="28"/>
          <w:szCs w:val="28"/>
        </w:rPr>
        <w:t>неорганических примесей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403C4" w:rsidRPr="006A2044">
        <w:rPr>
          <w:rFonts w:ascii="Times New Roman" w:eastAsia="Times New Roman" w:hAnsi="Times New Roman"/>
          <w:sz w:val="28"/>
          <w:szCs w:val="28"/>
          <w:lang w:eastAsia="ru-RU"/>
        </w:rPr>
        <w:t>испытуемо</w:t>
      </w:r>
      <w:r w:rsidR="0064353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403C4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</w:t>
      </w:r>
      <w:r w:rsidR="003403C4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801AFD" w:rsidRPr="004500BC" w:rsidRDefault="00CF7116" w:rsidP="00200374">
      <w:pPr>
        <w:pStyle w:val="af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0BC">
        <w:rPr>
          <w:rFonts w:ascii="Times New Roman" w:eastAsia="Times New Roman" w:hAnsi="Times New Roman"/>
          <w:sz w:val="28"/>
          <w:szCs w:val="28"/>
          <w:lang w:eastAsia="ru-RU"/>
        </w:rPr>
        <w:t>Фарфоровый, кварцевый или платиновый</w:t>
      </w:r>
      <w:r w:rsidR="00F55803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7CD" w:rsidRPr="004500BC">
        <w:rPr>
          <w:rFonts w:ascii="Times New Roman" w:eastAsia="Times New Roman" w:hAnsi="Times New Roman"/>
          <w:sz w:val="28"/>
          <w:szCs w:val="28"/>
          <w:lang w:eastAsia="ru-RU"/>
        </w:rPr>
        <w:t>тигель</w:t>
      </w:r>
      <w:r w:rsidR="00FD51EA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7CD" w:rsidRPr="004500BC">
        <w:rPr>
          <w:rFonts w:ascii="Times New Roman" w:eastAsia="Times New Roman" w:hAnsi="Times New Roman"/>
          <w:sz w:val="28"/>
          <w:szCs w:val="28"/>
          <w:lang w:eastAsia="ru-RU"/>
        </w:rPr>
        <w:t>прокаливают</w:t>
      </w:r>
      <w:r w:rsidR="004500BC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муфельной печи</w:t>
      </w:r>
      <w:r w:rsidR="009247CD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температуре </w:t>
      </w:r>
      <w:r w:rsidR="00F213B3" w:rsidRPr="004500BC">
        <w:rPr>
          <w:rFonts w:ascii="Times New Roman" w:eastAsia="Times New Roman" w:hAnsi="Times New Roman"/>
          <w:sz w:val="28"/>
          <w:szCs w:val="28"/>
        </w:rPr>
        <w:t>600±</w:t>
      </w:r>
      <w:r w:rsidR="001E1F48" w:rsidRPr="004500BC">
        <w:rPr>
          <w:rFonts w:ascii="Times New Roman" w:eastAsia="Times New Roman" w:hAnsi="Times New Roman"/>
          <w:sz w:val="28"/>
          <w:szCs w:val="28"/>
        </w:rPr>
        <w:t>50</w:t>
      </w:r>
      <w:r w:rsidR="009C55BD" w:rsidRPr="004500BC">
        <w:rPr>
          <w:rFonts w:ascii="Times New Roman" w:eastAsia="Times New Roman" w:hAnsi="Times New Roman"/>
          <w:sz w:val="28"/>
          <w:szCs w:val="28"/>
        </w:rPr>
        <w:t> </w:t>
      </w:r>
      <w:r w:rsidR="009247CD" w:rsidRPr="004500BC">
        <w:rPr>
          <w:rFonts w:ascii="Times New Roman" w:eastAsia="Times New Roman" w:hAnsi="Times New Roman"/>
          <w:sz w:val="28"/>
          <w:szCs w:val="28"/>
        </w:rPr>
        <w:t>°С</w:t>
      </w:r>
      <w:r w:rsidR="009C55BD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 </w:t>
      </w:r>
      <w:r w:rsidR="009247CD" w:rsidRPr="004500BC">
        <w:rPr>
          <w:rFonts w:ascii="Times New Roman" w:eastAsia="Times New Roman" w:hAnsi="Times New Roman"/>
          <w:sz w:val="28"/>
          <w:szCs w:val="28"/>
          <w:lang w:eastAsia="ru-RU"/>
        </w:rPr>
        <w:t>мин, охлаждают в эксикаторе над силикагелем или другим подходящим осушителем</w:t>
      </w:r>
      <w:r w:rsidR="00FB4866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61BE" w:rsidRPr="004500BC">
        <w:rPr>
          <w:rFonts w:ascii="Times New Roman" w:eastAsia="Times New Roman" w:hAnsi="Times New Roman"/>
          <w:sz w:val="28"/>
          <w:szCs w:val="28"/>
          <w:lang w:eastAsia="ru-RU"/>
        </w:rPr>
        <w:t>Прокаливание тигля проводят до постоянной массы.</w:t>
      </w:r>
      <w:r w:rsidR="006C789D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 взвешивают</w:t>
      </w:r>
      <w:r w:rsidR="004500BC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тигель</w:t>
      </w:r>
      <w:r w:rsidR="006C789D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окончании каждого прокаливания.</w:t>
      </w:r>
      <w:r w:rsidR="00C81A6D" w:rsidRPr="00450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0A59" w:rsidRPr="006A2044" w:rsidRDefault="006735F6" w:rsidP="002003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Помещают</w:t>
      </w:r>
      <w:r w:rsidR="002B140E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B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30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A3B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55BD" w:rsidRPr="006A20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D51EA" w:rsidRPr="006A204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E2388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(точная навеска)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388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испытуемого </w:t>
      </w:r>
      <w:r w:rsidR="00B710EA">
        <w:rPr>
          <w:rFonts w:ascii="Times New Roman" w:eastAsia="Times New Roman" w:hAnsi="Times New Roman"/>
          <w:sz w:val="28"/>
          <w:szCs w:val="28"/>
          <w:lang w:eastAsia="ru-RU"/>
        </w:rPr>
        <w:t>образца</w:t>
      </w:r>
      <w:r w:rsidR="007D49D2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E2388" w:rsidRPr="006A2044">
        <w:rPr>
          <w:rFonts w:ascii="Times New Roman" w:eastAsia="Times New Roman" w:hAnsi="Times New Roman"/>
          <w:sz w:val="28"/>
          <w:szCs w:val="28"/>
          <w:lang w:eastAsia="ru-RU"/>
        </w:rPr>
        <w:t>подготовленный</w:t>
      </w:r>
      <w:r w:rsidR="00EE55AB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тигель, смачивают 1 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мл серной кислоты концентрированной и осторожно (избегая сильного вспенивания вещества) </w:t>
      </w:r>
      <w:r w:rsidR="009247CD" w:rsidRPr="006A2044">
        <w:rPr>
          <w:rFonts w:ascii="Times New Roman" w:eastAsia="Times New Roman" w:hAnsi="Times New Roman"/>
          <w:sz w:val="28"/>
          <w:szCs w:val="28"/>
        </w:rPr>
        <w:t>нагревают</w:t>
      </w:r>
      <w:r w:rsidR="00CF7116" w:rsidRPr="006A2044">
        <w:rPr>
          <w:rFonts w:ascii="Times New Roman" w:eastAsia="Times New Roman" w:hAnsi="Times New Roman"/>
          <w:sz w:val="28"/>
          <w:szCs w:val="28"/>
        </w:rPr>
        <w:t xml:space="preserve"> 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>на пламени, песчаной бане или электрической плитке с закрытым нагревательным элементом и терморегулятором</w:t>
      </w:r>
      <w:r w:rsidR="001556FB" w:rsidRPr="006A20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8D6" w:rsidRPr="006A2044">
        <w:rPr>
          <w:rFonts w:ascii="Times New Roman" w:eastAsia="Times New Roman" w:hAnsi="Times New Roman"/>
          <w:sz w:val="28"/>
          <w:szCs w:val="28"/>
          <w:lang w:eastAsia="ru-RU"/>
        </w:rPr>
        <w:t>при температуре по возможности наиболее низкой</w:t>
      </w:r>
      <w:r w:rsidR="001556FB" w:rsidRPr="006A20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28D6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>до обугливания. После охлаждения смачивают остаток 1</w:t>
      </w:r>
      <w:r w:rsidR="00FC5D77" w:rsidRPr="006A20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мл серной кислоты концентрированной и осторожно нагревают до удаления паров серной кислоты. Затем тигель помещают в муфельную печь </w:t>
      </w:r>
      <w:r w:rsidR="005D2C0C" w:rsidRPr="006A2044">
        <w:rPr>
          <w:rFonts w:ascii="Times New Roman" w:eastAsia="Times New Roman" w:hAnsi="Times New Roman"/>
          <w:sz w:val="28"/>
          <w:szCs w:val="28"/>
          <w:lang w:eastAsia="ru-RU"/>
        </w:rPr>
        <w:t>и прокаливают</w:t>
      </w:r>
      <w:r w:rsidR="008710B4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C0C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температуре </w:t>
      </w:r>
      <w:r w:rsidR="00F213B3" w:rsidRPr="006A2044">
        <w:rPr>
          <w:rFonts w:ascii="Times New Roman" w:eastAsia="Times New Roman" w:hAnsi="Times New Roman"/>
          <w:color w:val="202124"/>
          <w:sz w:val="28"/>
          <w:szCs w:val="28"/>
        </w:rPr>
        <w:t>600±</w:t>
      </w:r>
      <w:r w:rsidR="005D2C0C" w:rsidRPr="006A2044">
        <w:rPr>
          <w:rFonts w:ascii="Times New Roman" w:eastAsia="Times New Roman" w:hAnsi="Times New Roman"/>
          <w:color w:val="202124"/>
          <w:sz w:val="28"/>
          <w:szCs w:val="28"/>
        </w:rPr>
        <w:t>50</w:t>
      </w:r>
      <w:r w:rsidR="009247CD" w:rsidRPr="006A2044">
        <w:rPr>
          <w:rFonts w:ascii="Times New Roman" w:eastAsia="Times New Roman" w:hAnsi="Times New Roman"/>
          <w:color w:val="202124"/>
          <w:sz w:val="28"/>
          <w:szCs w:val="28"/>
        </w:rPr>
        <w:t>°С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9247CD" w:rsidRPr="006A2044">
        <w:rPr>
          <w:rFonts w:ascii="Times New Roman" w:eastAsia="Times New Roman" w:hAnsi="Times New Roman"/>
          <w:color w:val="202124"/>
          <w:sz w:val="28"/>
          <w:szCs w:val="28"/>
        </w:rPr>
        <w:t xml:space="preserve"> 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>тех пор, пока остаток полностью не преврати</w:t>
      </w:r>
      <w:r w:rsidR="005D2C0C" w:rsidRPr="006A204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>ся в пепел. При этом следует избегать появления пламени, сплавления золы и спекания е</w:t>
      </w:r>
      <w:r w:rsidR="009E38A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стенками тигля. По 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окончании прокаливания тигель охлаждают в эксикаторе</w:t>
      </w:r>
      <w:r w:rsidR="00D36E0A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47CD" w:rsidRPr="006A2044">
        <w:rPr>
          <w:rFonts w:ascii="Times New Roman" w:eastAsia="Times New Roman" w:hAnsi="Times New Roman"/>
          <w:sz w:val="28"/>
          <w:szCs w:val="28"/>
          <w:lang w:eastAsia="ru-RU"/>
        </w:rPr>
        <w:t>взвешивают и рассчитывают процентное содержание остатка.</w:t>
      </w:r>
    </w:p>
    <w:p w:rsidR="00370A59" w:rsidRPr="006A2044" w:rsidRDefault="009247CD" w:rsidP="001F3E2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044">
        <w:rPr>
          <w:rFonts w:ascii="Times New Roman" w:eastAsia="Times New Roman" w:hAnsi="Times New Roman"/>
          <w:sz w:val="28"/>
          <w:szCs w:val="28"/>
          <w:lang w:eastAsia="ru-RU"/>
        </w:rPr>
        <w:t>В случае получения результата, превышающего допустимый предел,</w:t>
      </w:r>
      <w:r w:rsidRPr="006A2044">
        <w:rPr>
          <w:rFonts w:ascii="Times New Roman" w:eastAsia="Times New Roman" w:hAnsi="Times New Roman"/>
          <w:color w:val="202124"/>
          <w:sz w:val="28"/>
          <w:szCs w:val="28"/>
        </w:rPr>
        <w:t xml:space="preserve"> </w:t>
      </w:r>
      <w:r w:rsidRPr="006A2044">
        <w:rPr>
          <w:rFonts w:ascii="Times New Roman" w:eastAsia="Times New Roman" w:hAnsi="Times New Roman"/>
          <w:sz w:val="28"/>
          <w:szCs w:val="28"/>
          <w:lang w:eastAsia="ru-RU"/>
        </w:rPr>
        <w:t>указанный в фармакопейной статье, остаток вновь смачивают серной кислотой</w:t>
      </w:r>
      <w:r w:rsidR="00163D55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концентрированной</w:t>
      </w:r>
      <w:r w:rsidR="009C55BD" w:rsidRPr="006A2044">
        <w:rPr>
          <w:rFonts w:ascii="Times New Roman" w:eastAsia="Times New Roman" w:hAnsi="Times New Roman"/>
          <w:sz w:val="28"/>
          <w:szCs w:val="28"/>
          <w:lang w:eastAsia="ru-RU"/>
        </w:rPr>
        <w:t>, сжигают в течение 30 </w:t>
      </w:r>
      <w:r w:rsidRPr="006A2044">
        <w:rPr>
          <w:rFonts w:ascii="Times New Roman" w:eastAsia="Times New Roman" w:hAnsi="Times New Roman"/>
          <w:sz w:val="28"/>
          <w:szCs w:val="28"/>
          <w:lang w:eastAsia="ru-RU"/>
        </w:rPr>
        <w:t>мин, прокаливают до постоянной массы или до тех пор, пока два последовательных результата взвешивания не будут</w:t>
      </w:r>
      <w:r w:rsidR="009C55BD"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отличаться не более чем на 0,5 </w:t>
      </w:r>
      <w:r w:rsidRPr="006A2044">
        <w:rPr>
          <w:rFonts w:ascii="Times New Roman" w:eastAsia="Times New Roman" w:hAnsi="Times New Roman"/>
          <w:sz w:val="28"/>
          <w:szCs w:val="28"/>
          <w:lang w:eastAsia="ru-RU"/>
        </w:rPr>
        <w:t>мг, или содержание остатка не будет удовлетворять указанному пределу.</w:t>
      </w:r>
    </w:p>
    <w:p w:rsidR="009247CD" w:rsidRPr="006A2044" w:rsidRDefault="009247CD" w:rsidP="001F3E2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испытуемого </w:t>
      </w:r>
      <w:r w:rsidR="00E154B4" w:rsidRPr="006A2044">
        <w:rPr>
          <w:rFonts w:ascii="Times New Roman" w:eastAsia="Times New Roman" w:hAnsi="Times New Roman"/>
          <w:sz w:val="28"/>
          <w:szCs w:val="28"/>
          <w:lang w:eastAsia="ru-RU"/>
        </w:rPr>
        <w:t>образца</w:t>
      </w:r>
      <w:r w:rsidRPr="006A2044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выбирается таким образом, чтобы при указанном пределе масса остатка (обычно около </w:t>
      </w:r>
      <w:r w:rsidR="007D49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55BD" w:rsidRPr="006A20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2044">
        <w:rPr>
          <w:rFonts w:ascii="Times New Roman" w:eastAsia="Times New Roman" w:hAnsi="Times New Roman"/>
          <w:sz w:val="28"/>
          <w:szCs w:val="28"/>
          <w:lang w:eastAsia="ru-RU"/>
        </w:rPr>
        <w:t>мг) могла быть измерена с удовлетворительной точностью.</w:t>
      </w:r>
    </w:p>
    <w:sectPr w:rsidR="009247CD" w:rsidRPr="006A2044" w:rsidSect="00370A59">
      <w:footerReference w:type="default" r:id="rId7"/>
      <w:footerReference w:type="firs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18" w:rsidRDefault="00362918" w:rsidP="000324BA">
      <w:pPr>
        <w:spacing w:after="0" w:line="240" w:lineRule="auto"/>
      </w:pPr>
      <w:r>
        <w:separator/>
      </w:r>
    </w:p>
  </w:endnote>
  <w:endnote w:type="continuationSeparator" w:id="0">
    <w:p w:rsidR="00362918" w:rsidRDefault="00362918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603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30A8" w:rsidRPr="00CD30A8" w:rsidRDefault="00CD30A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D30A8">
          <w:rPr>
            <w:rFonts w:ascii="Times New Roman" w:hAnsi="Times New Roman"/>
            <w:sz w:val="28"/>
            <w:szCs w:val="28"/>
          </w:rPr>
          <w:fldChar w:fldCharType="begin"/>
        </w:r>
        <w:r w:rsidRPr="00CD30A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30A8">
          <w:rPr>
            <w:rFonts w:ascii="Times New Roman" w:hAnsi="Times New Roman"/>
            <w:sz w:val="28"/>
            <w:szCs w:val="28"/>
          </w:rPr>
          <w:fldChar w:fldCharType="separate"/>
        </w:r>
        <w:r w:rsidR="0055787E">
          <w:rPr>
            <w:rFonts w:ascii="Times New Roman" w:hAnsi="Times New Roman"/>
            <w:noProof/>
            <w:sz w:val="28"/>
            <w:szCs w:val="28"/>
          </w:rPr>
          <w:t>2</w:t>
        </w:r>
        <w:r w:rsidRPr="00CD30A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9D" w:rsidRDefault="006C789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18" w:rsidRDefault="00362918" w:rsidP="000324BA">
      <w:pPr>
        <w:spacing w:after="0" w:line="240" w:lineRule="auto"/>
      </w:pPr>
      <w:r>
        <w:separator/>
      </w:r>
    </w:p>
  </w:footnote>
  <w:footnote w:type="continuationSeparator" w:id="0">
    <w:p w:rsidR="00362918" w:rsidRDefault="00362918" w:rsidP="0003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0240E"/>
    <w:rsid w:val="00003F55"/>
    <w:rsid w:val="00007A9A"/>
    <w:rsid w:val="00010716"/>
    <w:rsid w:val="00017FB8"/>
    <w:rsid w:val="00024653"/>
    <w:rsid w:val="000324BA"/>
    <w:rsid w:val="000468C5"/>
    <w:rsid w:val="000503F8"/>
    <w:rsid w:val="0005080D"/>
    <w:rsid w:val="00051597"/>
    <w:rsid w:val="00052441"/>
    <w:rsid w:val="000525AE"/>
    <w:rsid w:val="0005665F"/>
    <w:rsid w:val="00057471"/>
    <w:rsid w:val="000629F2"/>
    <w:rsid w:val="00065698"/>
    <w:rsid w:val="00072967"/>
    <w:rsid w:val="00077BCC"/>
    <w:rsid w:val="00081A80"/>
    <w:rsid w:val="000B1E7E"/>
    <w:rsid w:val="000C3E75"/>
    <w:rsid w:val="000E601D"/>
    <w:rsid w:val="00105661"/>
    <w:rsid w:val="00110618"/>
    <w:rsid w:val="00114AD0"/>
    <w:rsid w:val="001556FB"/>
    <w:rsid w:val="00163D55"/>
    <w:rsid w:val="00167677"/>
    <w:rsid w:val="00181A9C"/>
    <w:rsid w:val="0018585C"/>
    <w:rsid w:val="001C0E2B"/>
    <w:rsid w:val="001D050C"/>
    <w:rsid w:val="001E1F48"/>
    <w:rsid w:val="001F3E21"/>
    <w:rsid w:val="001F6F03"/>
    <w:rsid w:val="00200374"/>
    <w:rsid w:val="00210AA7"/>
    <w:rsid w:val="00215357"/>
    <w:rsid w:val="00216B9E"/>
    <w:rsid w:val="00231AF7"/>
    <w:rsid w:val="00235981"/>
    <w:rsid w:val="0023621F"/>
    <w:rsid w:val="00243237"/>
    <w:rsid w:val="00246CF3"/>
    <w:rsid w:val="00263CA9"/>
    <w:rsid w:val="0028242B"/>
    <w:rsid w:val="002B140E"/>
    <w:rsid w:val="002B6C81"/>
    <w:rsid w:val="002C7DD0"/>
    <w:rsid w:val="002F44A0"/>
    <w:rsid w:val="00305878"/>
    <w:rsid w:val="003144BA"/>
    <w:rsid w:val="003212A4"/>
    <w:rsid w:val="00322946"/>
    <w:rsid w:val="00337FDD"/>
    <w:rsid w:val="003403C4"/>
    <w:rsid w:val="00362918"/>
    <w:rsid w:val="0036557C"/>
    <w:rsid w:val="003701D2"/>
    <w:rsid w:val="00370A59"/>
    <w:rsid w:val="00380523"/>
    <w:rsid w:val="0039627E"/>
    <w:rsid w:val="003A173A"/>
    <w:rsid w:val="003A2E2D"/>
    <w:rsid w:val="003A3BDC"/>
    <w:rsid w:val="003B64C2"/>
    <w:rsid w:val="003B6F8F"/>
    <w:rsid w:val="003E6FC0"/>
    <w:rsid w:val="003F0966"/>
    <w:rsid w:val="00405E4A"/>
    <w:rsid w:val="00430CC7"/>
    <w:rsid w:val="004369BD"/>
    <w:rsid w:val="004500BC"/>
    <w:rsid w:val="00461BE6"/>
    <w:rsid w:val="004647AA"/>
    <w:rsid w:val="004945D8"/>
    <w:rsid w:val="004F18A4"/>
    <w:rsid w:val="005010D6"/>
    <w:rsid w:val="005066BE"/>
    <w:rsid w:val="00521C96"/>
    <w:rsid w:val="00526174"/>
    <w:rsid w:val="00530E5C"/>
    <w:rsid w:val="0055787E"/>
    <w:rsid w:val="005718D3"/>
    <w:rsid w:val="005762FD"/>
    <w:rsid w:val="005848EF"/>
    <w:rsid w:val="005A631A"/>
    <w:rsid w:val="005D2C0C"/>
    <w:rsid w:val="005D3BAB"/>
    <w:rsid w:val="005D69D4"/>
    <w:rsid w:val="005E0120"/>
    <w:rsid w:val="005E1F32"/>
    <w:rsid w:val="005F6435"/>
    <w:rsid w:val="00604436"/>
    <w:rsid w:val="0061362D"/>
    <w:rsid w:val="0064353B"/>
    <w:rsid w:val="006477F0"/>
    <w:rsid w:val="00660BEC"/>
    <w:rsid w:val="00661E47"/>
    <w:rsid w:val="006735F6"/>
    <w:rsid w:val="00697B32"/>
    <w:rsid w:val="006A2044"/>
    <w:rsid w:val="006C4A03"/>
    <w:rsid w:val="006C789D"/>
    <w:rsid w:val="006D141E"/>
    <w:rsid w:val="006F2C7A"/>
    <w:rsid w:val="00711720"/>
    <w:rsid w:val="007157C2"/>
    <w:rsid w:val="00720BAA"/>
    <w:rsid w:val="0073187A"/>
    <w:rsid w:val="007407E9"/>
    <w:rsid w:val="00744260"/>
    <w:rsid w:val="007A696F"/>
    <w:rsid w:val="007B724B"/>
    <w:rsid w:val="007D12B5"/>
    <w:rsid w:val="007D49D2"/>
    <w:rsid w:val="007E1A1E"/>
    <w:rsid w:val="007E426E"/>
    <w:rsid w:val="007F1214"/>
    <w:rsid w:val="00801AFD"/>
    <w:rsid w:val="008241EC"/>
    <w:rsid w:val="008710B4"/>
    <w:rsid w:val="00895F53"/>
    <w:rsid w:val="008966ED"/>
    <w:rsid w:val="008A2AB8"/>
    <w:rsid w:val="008B23CA"/>
    <w:rsid w:val="008C536A"/>
    <w:rsid w:val="008E4962"/>
    <w:rsid w:val="008E5BB1"/>
    <w:rsid w:val="008F1EC3"/>
    <w:rsid w:val="008F5D57"/>
    <w:rsid w:val="00903113"/>
    <w:rsid w:val="009247CD"/>
    <w:rsid w:val="009307CC"/>
    <w:rsid w:val="00931FAF"/>
    <w:rsid w:val="00935776"/>
    <w:rsid w:val="00936EC3"/>
    <w:rsid w:val="009378E8"/>
    <w:rsid w:val="0094162B"/>
    <w:rsid w:val="009462E9"/>
    <w:rsid w:val="0095751A"/>
    <w:rsid w:val="00963924"/>
    <w:rsid w:val="00965571"/>
    <w:rsid w:val="009676A8"/>
    <w:rsid w:val="009865A9"/>
    <w:rsid w:val="00991BC4"/>
    <w:rsid w:val="009A23B1"/>
    <w:rsid w:val="009C5028"/>
    <w:rsid w:val="009C55BD"/>
    <w:rsid w:val="009C70E6"/>
    <w:rsid w:val="009E28D6"/>
    <w:rsid w:val="009E38AD"/>
    <w:rsid w:val="009F3AA4"/>
    <w:rsid w:val="00A0200F"/>
    <w:rsid w:val="00A42B82"/>
    <w:rsid w:val="00A4625C"/>
    <w:rsid w:val="00A71A16"/>
    <w:rsid w:val="00A85D65"/>
    <w:rsid w:val="00A900E5"/>
    <w:rsid w:val="00AE5B44"/>
    <w:rsid w:val="00B027E8"/>
    <w:rsid w:val="00B10FBF"/>
    <w:rsid w:val="00B167E3"/>
    <w:rsid w:val="00B341B8"/>
    <w:rsid w:val="00B4042A"/>
    <w:rsid w:val="00B415F3"/>
    <w:rsid w:val="00B41BD8"/>
    <w:rsid w:val="00B42C9E"/>
    <w:rsid w:val="00B60A1D"/>
    <w:rsid w:val="00B6393E"/>
    <w:rsid w:val="00B710EA"/>
    <w:rsid w:val="00BA04B8"/>
    <w:rsid w:val="00BA1CC1"/>
    <w:rsid w:val="00BB3AA3"/>
    <w:rsid w:val="00BF211A"/>
    <w:rsid w:val="00BF3B77"/>
    <w:rsid w:val="00C32597"/>
    <w:rsid w:val="00C37FCA"/>
    <w:rsid w:val="00C44B47"/>
    <w:rsid w:val="00C81A6D"/>
    <w:rsid w:val="00CC53F4"/>
    <w:rsid w:val="00CD30A8"/>
    <w:rsid w:val="00CF61BE"/>
    <w:rsid w:val="00CF7116"/>
    <w:rsid w:val="00D02C78"/>
    <w:rsid w:val="00D31A92"/>
    <w:rsid w:val="00D33ACB"/>
    <w:rsid w:val="00D36E0A"/>
    <w:rsid w:val="00D40556"/>
    <w:rsid w:val="00D43DA0"/>
    <w:rsid w:val="00D601C1"/>
    <w:rsid w:val="00D760CF"/>
    <w:rsid w:val="00D80D01"/>
    <w:rsid w:val="00DA5D71"/>
    <w:rsid w:val="00DB59DD"/>
    <w:rsid w:val="00E154B4"/>
    <w:rsid w:val="00E26111"/>
    <w:rsid w:val="00EA0D39"/>
    <w:rsid w:val="00EB17A9"/>
    <w:rsid w:val="00EE2388"/>
    <w:rsid w:val="00EE55AB"/>
    <w:rsid w:val="00EF0E7B"/>
    <w:rsid w:val="00EF583A"/>
    <w:rsid w:val="00F02DDB"/>
    <w:rsid w:val="00F1030B"/>
    <w:rsid w:val="00F213B3"/>
    <w:rsid w:val="00F55803"/>
    <w:rsid w:val="00F85147"/>
    <w:rsid w:val="00FA23D7"/>
    <w:rsid w:val="00FB4866"/>
    <w:rsid w:val="00FB6E3A"/>
    <w:rsid w:val="00FC5D77"/>
    <w:rsid w:val="00FD3380"/>
    <w:rsid w:val="00FD51EA"/>
    <w:rsid w:val="00FD6202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76EAFAA-4BAD-4536-B2DA-5EA2B22F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61362D"/>
    <w:rPr>
      <w:b/>
      <w:bCs/>
      <w:i/>
      <w:iCs/>
      <w:spacing w:val="10"/>
    </w:rPr>
  </w:style>
  <w:style w:type="character" w:customStyle="1" w:styleId="3">
    <w:name w:val="Основной текст (3)_"/>
    <w:basedOn w:val="a0"/>
    <w:link w:val="30"/>
    <w:rsid w:val="00181A9C"/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3TimesNewRoman13pt">
    <w:name w:val="Основной текст (3) + Times New Roman;13 pt;Не полужирный"/>
    <w:basedOn w:val="3"/>
    <w:rsid w:val="00181A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1A9C"/>
    <w:pPr>
      <w:widowControl w:val="0"/>
      <w:spacing w:after="0" w:line="480" w:lineRule="exac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af">
    <w:name w:val="Основной текст_"/>
    <w:basedOn w:val="a0"/>
    <w:link w:val="10"/>
    <w:rsid w:val="00181A9C"/>
    <w:rPr>
      <w:rFonts w:ascii="Bookman Old Style" w:eastAsia="Bookman Old Style" w:hAnsi="Bookman Old Style" w:cs="Bookman Old Style"/>
    </w:rPr>
  </w:style>
  <w:style w:type="paragraph" w:customStyle="1" w:styleId="10">
    <w:name w:val="Основной текст1"/>
    <w:basedOn w:val="a"/>
    <w:link w:val="af"/>
    <w:rsid w:val="00181A9C"/>
    <w:pPr>
      <w:widowControl w:val="0"/>
      <w:spacing w:before="720" w:after="0" w:line="480" w:lineRule="exact"/>
      <w:jc w:val="both"/>
    </w:pPr>
    <w:rPr>
      <w:rFonts w:ascii="Bookman Old Style" w:eastAsia="Bookman Old Style" w:hAnsi="Bookman Old Style" w:cs="Bookman Old Style"/>
    </w:rPr>
  </w:style>
  <w:style w:type="character" w:customStyle="1" w:styleId="af0">
    <w:name w:val="Основной текст + Курсив"/>
    <w:basedOn w:val="af"/>
    <w:rsid w:val="00181A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TimesNewRoman13pt0">
    <w:name w:val="Основной текст (3) + Times New Roman;13 pt;Не полужирный;Курсив"/>
    <w:basedOn w:val="3"/>
    <w:rsid w:val="00181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imesNewRoman13pt">
    <w:name w:val="Основной текст + Times New Roman;13 pt"/>
    <w:basedOn w:val="af"/>
    <w:rsid w:val="00181A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181A9C"/>
    <w:rPr>
      <w:rFonts w:ascii="Times New Roman" w:eastAsia="Times New Roman" w:hAnsi="Times New Roman" w:cs="Times New Roman"/>
      <w:sz w:val="26"/>
      <w:szCs w:val="26"/>
    </w:rPr>
  </w:style>
  <w:style w:type="paragraph" w:customStyle="1" w:styleId="af2">
    <w:name w:val="Подпись к таблице"/>
    <w:basedOn w:val="a"/>
    <w:link w:val="af1"/>
    <w:rsid w:val="00181A9C"/>
    <w:pPr>
      <w:widowControl w:val="0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CF61B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F61B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F61B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C70CD-D2D8-41E2-960A-29669F23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5</cp:revision>
  <cp:lastPrinted>2022-03-02T10:23:00Z</cp:lastPrinted>
  <dcterms:created xsi:type="dcterms:W3CDTF">2023-05-18T13:20:00Z</dcterms:created>
  <dcterms:modified xsi:type="dcterms:W3CDTF">2023-07-12T15:53:00Z</dcterms:modified>
</cp:coreProperties>
</file>