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5C" w:rsidRPr="00C64DC5" w:rsidRDefault="0014105C" w:rsidP="0014105C">
      <w:pPr>
        <w:spacing w:line="360" w:lineRule="auto"/>
        <w:ind w:firstLine="0"/>
        <w:jc w:val="center"/>
        <w:rPr>
          <w:rFonts w:ascii="Times New Roman" w:eastAsia="Times New Roman" w:hAnsi="Times New Roman"/>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14105C" w:rsidRPr="007E2695" w:rsidRDefault="0014105C" w:rsidP="0014105C">
      <w:pPr>
        <w:pStyle w:val="a4"/>
        <w:tabs>
          <w:tab w:val="left" w:pos="3828"/>
        </w:tabs>
        <w:spacing w:after="0" w:line="360" w:lineRule="auto"/>
        <w:jc w:val="center"/>
        <w:rPr>
          <w:rFonts w:ascii="Times New Roman" w:hAnsi="Times New Roman"/>
          <w:b/>
          <w:sz w:val="28"/>
          <w:szCs w:val="28"/>
          <w:lang w:val="ru-RU"/>
        </w:rPr>
      </w:pPr>
    </w:p>
    <w:p w:rsidR="0014105C" w:rsidRPr="007E2695" w:rsidRDefault="0014105C" w:rsidP="0014105C">
      <w:pPr>
        <w:pStyle w:val="a4"/>
        <w:tabs>
          <w:tab w:val="left" w:pos="3828"/>
        </w:tabs>
        <w:spacing w:after="0" w:line="360" w:lineRule="auto"/>
        <w:jc w:val="center"/>
        <w:rPr>
          <w:rFonts w:ascii="Times New Roman" w:hAnsi="Times New Roman"/>
          <w:b/>
          <w:sz w:val="28"/>
          <w:szCs w:val="28"/>
          <w:lang w:val="ru-RU"/>
        </w:rPr>
      </w:pPr>
    </w:p>
    <w:p w:rsidR="0014105C" w:rsidRPr="007E2695" w:rsidRDefault="0014105C" w:rsidP="0014105C">
      <w:pPr>
        <w:pStyle w:val="a4"/>
        <w:tabs>
          <w:tab w:val="left" w:pos="3828"/>
        </w:tabs>
        <w:spacing w:after="0" w:line="360" w:lineRule="auto"/>
        <w:jc w:val="center"/>
        <w:rPr>
          <w:rFonts w:ascii="Times New Roman" w:hAnsi="Times New Roman"/>
          <w:b/>
          <w:sz w:val="28"/>
          <w:szCs w:val="28"/>
          <w:lang w:val="ru-RU"/>
        </w:rPr>
      </w:pPr>
    </w:p>
    <w:p w:rsidR="0014105C" w:rsidRPr="00C64DC5" w:rsidRDefault="0014105C" w:rsidP="0014105C">
      <w:pPr>
        <w:spacing w:line="240" w:lineRule="auto"/>
        <w:ind w:firstLine="0"/>
        <w:jc w:val="center"/>
        <w:rPr>
          <w:rFonts w:ascii="Times New Roman" w:hAnsi="Times New Roman"/>
          <w:b/>
          <w:color w:val="000000"/>
          <w:sz w:val="32"/>
          <w:szCs w:val="32"/>
        </w:rPr>
      </w:pPr>
      <w:r w:rsidRPr="00C64DC5">
        <w:rPr>
          <w:rFonts w:ascii="Times New Roman" w:hAnsi="Times New Roman"/>
          <w:b/>
          <w:color w:val="000000"/>
          <w:sz w:val="32"/>
          <w:szCs w:val="32"/>
        </w:rPr>
        <w:t>ОБЩАЯ ФАРМАКОПЕЙНАЯ СТАТЬЯ</w:t>
      </w:r>
    </w:p>
    <w:tbl>
      <w:tblPr>
        <w:tblW w:w="0" w:type="auto"/>
        <w:jc w:val="center"/>
        <w:tblBorders>
          <w:bottom w:val="single" w:sz="4" w:space="0" w:color="auto"/>
        </w:tblBorders>
        <w:tblLook w:val="04A0" w:firstRow="1" w:lastRow="0" w:firstColumn="1" w:lastColumn="0" w:noHBand="0" w:noVBand="1"/>
      </w:tblPr>
      <w:tblGrid>
        <w:gridCol w:w="9356"/>
      </w:tblGrid>
      <w:tr w:rsidR="0014105C" w:rsidRPr="00C64DC5" w:rsidTr="007E2695">
        <w:trPr>
          <w:jc w:val="center"/>
        </w:trPr>
        <w:tc>
          <w:tcPr>
            <w:tcW w:w="9356" w:type="dxa"/>
          </w:tcPr>
          <w:p w:rsidR="0014105C" w:rsidRPr="0014105C" w:rsidRDefault="0014105C" w:rsidP="0014105C">
            <w:pPr>
              <w:spacing w:line="240" w:lineRule="auto"/>
              <w:ind w:firstLine="0"/>
              <w:jc w:val="center"/>
              <w:rPr>
                <w:rFonts w:ascii="Times New Roman" w:hAnsi="Times New Roman"/>
                <w:sz w:val="28"/>
                <w:szCs w:val="28"/>
              </w:rPr>
            </w:pPr>
          </w:p>
        </w:tc>
      </w:tr>
    </w:tbl>
    <w:p w:rsidR="0014105C" w:rsidRPr="00C64DC5" w:rsidRDefault="0014105C" w:rsidP="0014105C">
      <w:pPr>
        <w:spacing w:line="40" w:lineRule="exact"/>
        <w:jc w:val="center"/>
        <w:rPr>
          <w:rFonts w:ascii="Times New Roman" w:hAnsi="Times New Roman"/>
          <w:sz w:val="28"/>
          <w:szCs w:val="28"/>
        </w:rPr>
      </w:pPr>
    </w:p>
    <w:tbl>
      <w:tblPr>
        <w:tblW w:w="0" w:type="auto"/>
        <w:jc w:val="center"/>
        <w:tblLook w:val="04A0" w:firstRow="1" w:lastRow="0" w:firstColumn="1" w:lastColumn="0" w:noHBand="0" w:noVBand="1"/>
      </w:tblPr>
      <w:tblGrid>
        <w:gridCol w:w="5495"/>
        <w:gridCol w:w="283"/>
        <w:gridCol w:w="3793"/>
      </w:tblGrid>
      <w:tr w:rsidR="0014105C" w:rsidRPr="00C64DC5" w:rsidTr="007E2695">
        <w:trPr>
          <w:jc w:val="center"/>
        </w:trPr>
        <w:tc>
          <w:tcPr>
            <w:tcW w:w="5495" w:type="dxa"/>
          </w:tcPr>
          <w:p w:rsidR="0014105C" w:rsidRPr="00E7059D" w:rsidRDefault="00E7059D" w:rsidP="007E2695">
            <w:pPr>
              <w:spacing w:after="120" w:line="240" w:lineRule="auto"/>
              <w:ind w:firstLine="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Родственные примеси в фармацевтических субстанциях и лекарственных </w:t>
            </w:r>
            <w:r w:rsidR="007B6896">
              <w:rPr>
                <w:rFonts w:ascii="Times New Roman" w:eastAsia="Times New Roman" w:hAnsi="Times New Roman"/>
                <w:b/>
                <w:color w:val="000000"/>
                <w:sz w:val="28"/>
                <w:szCs w:val="28"/>
              </w:rPr>
              <w:t>препаратах</w:t>
            </w:r>
          </w:p>
        </w:tc>
        <w:tc>
          <w:tcPr>
            <w:tcW w:w="283" w:type="dxa"/>
          </w:tcPr>
          <w:p w:rsidR="0014105C" w:rsidRPr="0014105C" w:rsidRDefault="0014105C" w:rsidP="007E2695">
            <w:pPr>
              <w:spacing w:after="120" w:line="240" w:lineRule="auto"/>
              <w:jc w:val="center"/>
              <w:rPr>
                <w:rFonts w:ascii="Times New Roman" w:hAnsi="Times New Roman"/>
                <w:b/>
                <w:sz w:val="28"/>
                <w:szCs w:val="28"/>
              </w:rPr>
            </w:pPr>
          </w:p>
        </w:tc>
        <w:tc>
          <w:tcPr>
            <w:tcW w:w="3793" w:type="dxa"/>
          </w:tcPr>
          <w:p w:rsidR="0014105C" w:rsidRPr="0014105C" w:rsidRDefault="0014105C" w:rsidP="007E2695">
            <w:pPr>
              <w:spacing w:after="120" w:line="240" w:lineRule="auto"/>
              <w:ind w:firstLine="0"/>
              <w:rPr>
                <w:rFonts w:ascii="Times New Roman" w:hAnsi="Times New Roman"/>
                <w:b/>
                <w:sz w:val="28"/>
                <w:szCs w:val="28"/>
              </w:rPr>
            </w:pPr>
            <w:r w:rsidRPr="0014105C">
              <w:rPr>
                <w:rFonts w:ascii="Times New Roman" w:eastAsia="Times New Roman" w:hAnsi="Times New Roman"/>
                <w:b/>
                <w:color w:val="000000"/>
                <w:sz w:val="28"/>
                <w:szCs w:val="28"/>
              </w:rPr>
              <w:t>ОФС</w:t>
            </w:r>
            <w:r w:rsidR="006D303E">
              <w:rPr>
                <w:rFonts w:ascii="Times New Roman" w:eastAsia="Times New Roman" w:hAnsi="Times New Roman"/>
                <w:b/>
                <w:color w:val="000000"/>
                <w:sz w:val="28"/>
                <w:szCs w:val="28"/>
              </w:rPr>
              <w:t>.1.1.0023</w:t>
            </w:r>
            <w:bookmarkStart w:id="0" w:name="_GoBack"/>
            <w:bookmarkEnd w:id="0"/>
          </w:p>
        </w:tc>
      </w:tr>
      <w:tr w:rsidR="0014105C" w:rsidRPr="00836D9A" w:rsidTr="007E2695">
        <w:trPr>
          <w:jc w:val="center"/>
        </w:trPr>
        <w:tc>
          <w:tcPr>
            <w:tcW w:w="5495" w:type="dxa"/>
          </w:tcPr>
          <w:p w:rsidR="0014105C" w:rsidRPr="0014105C" w:rsidRDefault="0014105C" w:rsidP="007E2695">
            <w:pPr>
              <w:spacing w:after="120" w:line="240" w:lineRule="auto"/>
              <w:rPr>
                <w:rFonts w:ascii="Times New Roman" w:hAnsi="Times New Roman"/>
                <w:b/>
                <w:color w:val="7030A0"/>
                <w:sz w:val="28"/>
                <w:szCs w:val="28"/>
              </w:rPr>
            </w:pPr>
          </w:p>
        </w:tc>
        <w:tc>
          <w:tcPr>
            <w:tcW w:w="283" w:type="dxa"/>
          </w:tcPr>
          <w:p w:rsidR="0014105C" w:rsidRPr="0014105C" w:rsidRDefault="0014105C" w:rsidP="007E2695">
            <w:pPr>
              <w:spacing w:after="120" w:line="240" w:lineRule="auto"/>
              <w:jc w:val="center"/>
              <w:rPr>
                <w:rFonts w:ascii="Times New Roman" w:hAnsi="Times New Roman"/>
                <w:b/>
                <w:sz w:val="28"/>
                <w:szCs w:val="28"/>
              </w:rPr>
            </w:pPr>
          </w:p>
        </w:tc>
        <w:tc>
          <w:tcPr>
            <w:tcW w:w="3793" w:type="dxa"/>
          </w:tcPr>
          <w:p w:rsidR="0014105C" w:rsidRPr="00E7059D" w:rsidRDefault="0014105C" w:rsidP="007E2695">
            <w:pPr>
              <w:spacing w:after="120" w:line="240" w:lineRule="auto"/>
              <w:ind w:firstLine="0"/>
              <w:rPr>
                <w:rFonts w:ascii="Times New Roman" w:eastAsia="Times New Roman" w:hAnsi="Times New Roman"/>
                <w:b/>
                <w:color w:val="000000"/>
                <w:sz w:val="28"/>
                <w:szCs w:val="28"/>
              </w:rPr>
            </w:pPr>
            <w:r w:rsidRPr="0014105C">
              <w:rPr>
                <w:rFonts w:ascii="Times New Roman" w:eastAsia="Times New Roman" w:hAnsi="Times New Roman"/>
                <w:b/>
                <w:color w:val="000000"/>
                <w:sz w:val="28"/>
                <w:szCs w:val="28"/>
              </w:rPr>
              <w:t>Взамен ОФС.1.</w:t>
            </w:r>
            <w:r w:rsidR="00E7059D">
              <w:rPr>
                <w:rFonts w:ascii="Times New Roman" w:eastAsia="Times New Roman" w:hAnsi="Times New Roman"/>
                <w:b/>
                <w:color w:val="000000"/>
                <w:sz w:val="28"/>
                <w:szCs w:val="28"/>
              </w:rPr>
              <w:t>1</w:t>
            </w:r>
            <w:r w:rsidRPr="0014105C">
              <w:rPr>
                <w:rFonts w:ascii="Times New Roman" w:eastAsia="Times New Roman" w:hAnsi="Times New Roman"/>
                <w:b/>
                <w:color w:val="000000"/>
                <w:sz w:val="28"/>
                <w:szCs w:val="28"/>
              </w:rPr>
              <w:t>.</w:t>
            </w:r>
            <w:r w:rsidR="00E7059D">
              <w:rPr>
                <w:rFonts w:ascii="Times New Roman" w:eastAsia="Times New Roman" w:hAnsi="Times New Roman"/>
                <w:b/>
                <w:color w:val="000000"/>
                <w:sz w:val="28"/>
                <w:szCs w:val="28"/>
              </w:rPr>
              <w:t>0023</w:t>
            </w:r>
            <w:r w:rsidRPr="0014105C">
              <w:rPr>
                <w:rFonts w:ascii="Times New Roman" w:eastAsia="Times New Roman" w:hAnsi="Times New Roman"/>
                <w:b/>
                <w:color w:val="000000"/>
                <w:sz w:val="28"/>
                <w:szCs w:val="28"/>
              </w:rPr>
              <w:t>.</w:t>
            </w:r>
            <w:r w:rsidR="00E7059D">
              <w:rPr>
                <w:rFonts w:ascii="Times New Roman" w:eastAsia="Times New Roman" w:hAnsi="Times New Roman"/>
                <w:b/>
                <w:color w:val="000000"/>
                <w:sz w:val="28"/>
                <w:szCs w:val="28"/>
              </w:rPr>
              <w:t>18</w:t>
            </w:r>
          </w:p>
        </w:tc>
      </w:tr>
    </w:tbl>
    <w:p w:rsidR="0014105C" w:rsidRPr="002E0BC1" w:rsidRDefault="0014105C" w:rsidP="0014105C">
      <w:pPr>
        <w:spacing w:line="40" w:lineRule="exact"/>
        <w:jc w:val="center"/>
        <w:rPr>
          <w:rFonts w:ascii="Times New Roman" w:hAnsi="Times New Roman"/>
          <w:sz w:val="28"/>
          <w:szCs w:val="28"/>
        </w:rPr>
      </w:pPr>
    </w:p>
    <w:tbl>
      <w:tblPr>
        <w:tblW w:w="0" w:type="auto"/>
        <w:jc w:val="center"/>
        <w:tblBorders>
          <w:top w:val="single" w:sz="4" w:space="0" w:color="auto"/>
        </w:tblBorders>
        <w:tblLook w:val="04A0" w:firstRow="1" w:lastRow="0" w:firstColumn="1" w:lastColumn="0" w:noHBand="0" w:noVBand="1"/>
      </w:tblPr>
      <w:tblGrid>
        <w:gridCol w:w="9356"/>
      </w:tblGrid>
      <w:tr w:rsidR="0014105C" w:rsidRPr="00C64DC5" w:rsidTr="007E2695">
        <w:trPr>
          <w:jc w:val="center"/>
        </w:trPr>
        <w:tc>
          <w:tcPr>
            <w:tcW w:w="9356" w:type="dxa"/>
          </w:tcPr>
          <w:p w:rsidR="0014105C" w:rsidRPr="0014105C" w:rsidRDefault="0014105C" w:rsidP="0014105C">
            <w:pPr>
              <w:spacing w:line="240" w:lineRule="auto"/>
              <w:ind w:firstLine="0"/>
              <w:jc w:val="center"/>
              <w:rPr>
                <w:rFonts w:ascii="Times New Roman" w:hAnsi="Times New Roman"/>
                <w:color w:val="7030A0"/>
                <w:sz w:val="28"/>
                <w:szCs w:val="28"/>
              </w:rPr>
            </w:pPr>
          </w:p>
        </w:tc>
      </w:tr>
    </w:tbl>
    <w:p w:rsidR="0014105C" w:rsidRPr="00E97FCF" w:rsidRDefault="0014105C" w:rsidP="007E2695">
      <w:pPr>
        <w:spacing w:line="360" w:lineRule="auto"/>
        <w:jc w:val="both"/>
        <w:rPr>
          <w:rFonts w:ascii="Times New Roman" w:hAnsi="Times New Roman"/>
          <w:color w:val="7030A0"/>
          <w:sz w:val="28"/>
          <w:szCs w:val="28"/>
        </w:rPr>
      </w:pPr>
    </w:p>
    <w:p w:rsidR="00387EC8" w:rsidRPr="00E7059D" w:rsidRDefault="00387EC8" w:rsidP="007E2695">
      <w:pPr>
        <w:spacing w:line="360" w:lineRule="auto"/>
        <w:jc w:val="both"/>
        <w:rPr>
          <w:rFonts w:ascii="Times New Roman" w:hAnsi="Times New Roman"/>
          <w:sz w:val="28"/>
          <w:szCs w:val="28"/>
        </w:rPr>
      </w:pPr>
      <w:r w:rsidRPr="00E7059D">
        <w:rPr>
          <w:rFonts w:ascii="Times New Roman" w:hAnsi="Times New Roman"/>
          <w:sz w:val="28"/>
          <w:szCs w:val="28"/>
        </w:rPr>
        <w:t>В настоящей фармакопейной статье приведены требования к контролю родственных примесей в фармацевтических субстанциях и лекарственных препаратах, преимущественно синтетическог</w:t>
      </w:r>
      <w:r w:rsidR="00E7059D">
        <w:rPr>
          <w:rFonts w:ascii="Times New Roman" w:hAnsi="Times New Roman"/>
          <w:sz w:val="28"/>
          <w:szCs w:val="28"/>
        </w:rPr>
        <w:t>о и минерального происхождения.</w:t>
      </w:r>
    </w:p>
    <w:p w:rsidR="00387EC8" w:rsidRPr="00387EC8" w:rsidRDefault="00387EC8" w:rsidP="007E2695">
      <w:pPr>
        <w:pStyle w:val="Default"/>
        <w:spacing w:line="360" w:lineRule="auto"/>
        <w:ind w:firstLine="709"/>
        <w:jc w:val="both"/>
        <w:rPr>
          <w:sz w:val="28"/>
          <w:szCs w:val="28"/>
        </w:rPr>
      </w:pPr>
      <w:r w:rsidRPr="00387EC8">
        <w:rPr>
          <w:sz w:val="28"/>
          <w:szCs w:val="28"/>
        </w:rPr>
        <w:t>Родственные примеси – технологические примеси и продукты деструкции действующего вещества. Родственные примеси и аналитические методики их определения описываются в соответствующем разделе фармакопейных статей на фармацевтические субста</w:t>
      </w:r>
      <w:r w:rsidR="00E7059D">
        <w:rPr>
          <w:sz w:val="28"/>
          <w:szCs w:val="28"/>
        </w:rPr>
        <w:t>нции и лекарственные препараты.</w:t>
      </w:r>
    </w:p>
    <w:p w:rsidR="00631724" w:rsidRPr="00387EC8" w:rsidRDefault="00387EC8" w:rsidP="007E2695">
      <w:pPr>
        <w:pStyle w:val="Default"/>
        <w:spacing w:line="360" w:lineRule="auto"/>
        <w:ind w:firstLine="709"/>
        <w:jc w:val="both"/>
        <w:rPr>
          <w:sz w:val="28"/>
          <w:szCs w:val="28"/>
        </w:rPr>
      </w:pPr>
      <w:r w:rsidRPr="00387EC8">
        <w:rPr>
          <w:sz w:val="28"/>
          <w:szCs w:val="28"/>
        </w:rPr>
        <w:t xml:space="preserve">В </w:t>
      </w:r>
      <w:r w:rsidR="0096205F" w:rsidRPr="00387EC8">
        <w:rPr>
          <w:sz w:val="28"/>
          <w:szCs w:val="28"/>
        </w:rPr>
        <w:t xml:space="preserve">фармацевтических субстанциях и </w:t>
      </w:r>
      <w:r w:rsidRPr="00387EC8">
        <w:rPr>
          <w:sz w:val="28"/>
          <w:szCs w:val="28"/>
        </w:rPr>
        <w:t>лекарственных препаратах должен осуществляться контроль родственных примесей, поскольку присутствие посторонних веществ в лекарственных средствах может влиять на их терапевтическу</w:t>
      </w:r>
      <w:r w:rsidR="00E7059D">
        <w:rPr>
          <w:sz w:val="28"/>
          <w:szCs w:val="28"/>
        </w:rPr>
        <w:t>ю эффективность и безопасность.</w:t>
      </w:r>
    </w:p>
    <w:p w:rsidR="00387EC8" w:rsidRPr="00387EC8" w:rsidRDefault="00387EC8" w:rsidP="007E2695">
      <w:pPr>
        <w:pStyle w:val="Default"/>
        <w:spacing w:line="360" w:lineRule="auto"/>
        <w:ind w:firstLine="709"/>
        <w:jc w:val="both"/>
        <w:rPr>
          <w:sz w:val="28"/>
          <w:szCs w:val="28"/>
        </w:rPr>
      </w:pPr>
      <w:r w:rsidRPr="00387EC8">
        <w:rPr>
          <w:sz w:val="28"/>
          <w:szCs w:val="28"/>
        </w:rPr>
        <w:t xml:space="preserve">Для аналитических методик, используемых для определения содержания примесей в лекарственных средствах, должна быть подтверждена их пригодность в соответствии с ОФС «Валидация аналитических методик». </w:t>
      </w:r>
    </w:p>
    <w:p w:rsidR="00387EC8" w:rsidRPr="005E1A52" w:rsidRDefault="00387EC8" w:rsidP="007E2695">
      <w:pPr>
        <w:spacing w:line="360" w:lineRule="auto"/>
        <w:jc w:val="both"/>
        <w:rPr>
          <w:rFonts w:ascii="Times New Roman" w:hAnsi="Times New Roman"/>
          <w:sz w:val="28"/>
          <w:szCs w:val="28"/>
        </w:rPr>
      </w:pPr>
      <w:r w:rsidRPr="00387EC8">
        <w:rPr>
          <w:rFonts w:ascii="Times New Roman" w:hAnsi="Times New Roman"/>
          <w:sz w:val="28"/>
          <w:szCs w:val="28"/>
        </w:rPr>
        <w:t>При невозможности обнаружения и количественного определения каждой примеси в отдельности с помощью единой аналитической методики, допустимо использование нескольких методик для их контроля.</w:t>
      </w:r>
    </w:p>
    <w:p w:rsidR="00387EC8" w:rsidRPr="005E1A52" w:rsidRDefault="00387EC8" w:rsidP="007E2695">
      <w:pPr>
        <w:pStyle w:val="Default"/>
        <w:keepNext/>
        <w:spacing w:before="240" w:line="360" w:lineRule="auto"/>
        <w:jc w:val="center"/>
        <w:rPr>
          <w:b/>
          <w:sz w:val="28"/>
          <w:szCs w:val="28"/>
        </w:rPr>
      </w:pPr>
      <w:r w:rsidRPr="005E1A52">
        <w:rPr>
          <w:b/>
          <w:sz w:val="28"/>
          <w:szCs w:val="28"/>
        </w:rPr>
        <w:lastRenderedPageBreak/>
        <w:t>Т</w:t>
      </w:r>
      <w:r w:rsidR="005E1A52" w:rsidRPr="005E1A52">
        <w:rPr>
          <w:b/>
          <w:sz w:val="28"/>
          <w:szCs w:val="28"/>
        </w:rPr>
        <w:t>ермины и определения</w:t>
      </w:r>
    </w:p>
    <w:p w:rsidR="00387EC8" w:rsidRPr="00387EC8" w:rsidRDefault="00387EC8" w:rsidP="005E1A52">
      <w:pPr>
        <w:spacing w:line="360" w:lineRule="auto"/>
        <w:jc w:val="both"/>
        <w:rPr>
          <w:rFonts w:ascii="Times New Roman" w:hAnsi="Times New Roman"/>
          <w:sz w:val="28"/>
          <w:szCs w:val="28"/>
        </w:rPr>
      </w:pPr>
      <w:r w:rsidRPr="00D44C1E">
        <w:rPr>
          <w:rFonts w:ascii="Times New Roman" w:hAnsi="Times New Roman"/>
          <w:b/>
          <w:bCs/>
          <w:i/>
          <w:sz w:val="28"/>
          <w:szCs w:val="28"/>
        </w:rPr>
        <w:t>Примесь</w:t>
      </w:r>
      <w:r w:rsidR="0000639F">
        <w:rPr>
          <w:rFonts w:ascii="Times New Roman" w:hAnsi="Times New Roman"/>
          <w:b/>
          <w:bCs/>
          <w:sz w:val="28"/>
          <w:szCs w:val="28"/>
        </w:rPr>
        <w:t xml:space="preserve"> – </w:t>
      </w:r>
      <w:r w:rsidRPr="00387EC8">
        <w:rPr>
          <w:rFonts w:ascii="Times New Roman" w:hAnsi="Times New Roman"/>
          <w:sz w:val="28"/>
          <w:szCs w:val="28"/>
        </w:rPr>
        <w:t>любой компонент лекарственного средства, который не является фармацевтической субстанцией и</w:t>
      </w:r>
      <w:r w:rsidR="005E1A52">
        <w:rPr>
          <w:rFonts w:ascii="Times New Roman" w:hAnsi="Times New Roman"/>
          <w:sz w:val="28"/>
          <w:szCs w:val="28"/>
        </w:rPr>
        <w:t>/или вспомогательным веществом.</w:t>
      </w:r>
    </w:p>
    <w:p w:rsidR="00387EC8" w:rsidRPr="00387EC8" w:rsidRDefault="00387EC8" w:rsidP="005E1A52">
      <w:pPr>
        <w:pStyle w:val="Default"/>
        <w:spacing w:line="360" w:lineRule="auto"/>
        <w:ind w:firstLine="709"/>
        <w:jc w:val="both"/>
        <w:rPr>
          <w:sz w:val="28"/>
          <w:szCs w:val="28"/>
        </w:rPr>
      </w:pPr>
      <w:r w:rsidRPr="00D44C1E">
        <w:rPr>
          <w:b/>
          <w:bCs/>
          <w:i/>
          <w:sz w:val="28"/>
          <w:szCs w:val="28"/>
        </w:rPr>
        <w:t>Продукт деструкции</w:t>
      </w:r>
      <w:r w:rsidR="0000639F">
        <w:rPr>
          <w:b/>
          <w:bCs/>
          <w:sz w:val="28"/>
          <w:szCs w:val="28"/>
        </w:rPr>
        <w:t xml:space="preserve"> – </w:t>
      </w:r>
      <w:r w:rsidRPr="00387EC8">
        <w:rPr>
          <w:sz w:val="28"/>
          <w:szCs w:val="28"/>
        </w:rPr>
        <w:t xml:space="preserve">примесь, образующаяся в результате химического изменения фармацевтической субстанции в процессе производства и/или хранения лекарственного средства, и возникающая в результате воздействия, например, света, температуры, рН, воды или взаимодействия с материалом первичной </w:t>
      </w:r>
      <w:r w:rsidR="005E1A52">
        <w:rPr>
          <w:sz w:val="28"/>
          <w:szCs w:val="28"/>
        </w:rPr>
        <w:t>упаковки и укупорочных средств.</w:t>
      </w:r>
    </w:p>
    <w:p w:rsidR="00387EC8" w:rsidRPr="00387EC8" w:rsidRDefault="00387EC8" w:rsidP="005E1A52">
      <w:pPr>
        <w:pStyle w:val="Default"/>
        <w:spacing w:line="360" w:lineRule="auto"/>
        <w:ind w:firstLine="709"/>
        <w:jc w:val="both"/>
        <w:rPr>
          <w:sz w:val="28"/>
          <w:szCs w:val="28"/>
        </w:rPr>
      </w:pPr>
      <w:r w:rsidRPr="00D44C1E">
        <w:rPr>
          <w:b/>
          <w:bCs/>
          <w:i/>
          <w:sz w:val="28"/>
          <w:szCs w:val="28"/>
        </w:rPr>
        <w:t>Технологическая примесь</w:t>
      </w:r>
      <w:r w:rsidR="0000639F">
        <w:rPr>
          <w:b/>
          <w:bCs/>
          <w:sz w:val="28"/>
          <w:szCs w:val="28"/>
        </w:rPr>
        <w:t xml:space="preserve"> – </w:t>
      </w:r>
      <w:r w:rsidRPr="00387EC8">
        <w:rPr>
          <w:sz w:val="28"/>
          <w:szCs w:val="28"/>
        </w:rPr>
        <w:t>примесь, присутствие которой обусловлено технологическим процессом производст</w:t>
      </w:r>
      <w:r w:rsidR="0000639F">
        <w:rPr>
          <w:sz w:val="28"/>
          <w:szCs w:val="28"/>
        </w:rPr>
        <w:t>ва фармацевтической субстанции.</w:t>
      </w:r>
    </w:p>
    <w:p w:rsidR="00387EC8" w:rsidRPr="00387EC8" w:rsidRDefault="00387EC8" w:rsidP="005E1A52">
      <w:pPr>
        <w:pStyle w:val="Default"/>
        <w:spacing w:line="360" w:lineRule="auto"/>
        <w:ind w:firstLine="709"/>
        <w:jc w:val="both"/>
        <w:rPr>
          <w:sz w:val="28"/>
          <w:szCs w:val="28"/>
        </w:rPr>
      </w:pPr>
      <w:r w:rsidRPr="00D44C1E">
        <w:rPr>
          <w:b/>
          <w:bCs/>
          <w:i/>
          <w:sz w:val="28"/>
          <w:szCs w:val="28"/>
        </w:rPr>
        <w:t>Идентифицированная примесь</w:t>
      </w:r>
      <w:r w:rsidR="0000639F">
        <w:rPr>
          <w:b/>
          <w:bCs/>
          <w:sz w:val="28"/>
          <w:szCs w:val="28"/>
        </w:rPr>
        <w:t xml:space="preserve"> –</w:t>
      </w:r>
      <w:r w:rsidRPr="00387EC8">
        <w:rPr>
          <w:b/>
          <w:bCs/>
          <w:sz w:val="28"/>
          <w:szCs w:val="28"/>
        </w:rPr>
        <w:t xml:space="preserve"> </w:t>
      </w:r>
      <w:r w:rsidRPr="00387EC8">
        <w:rPr>
          <w:sz w:val="28"/>
          <w:szCs w:val="28"/>
        </w:rPr>
        <w:t>примесь с уста</w:t>
      </w:r>
      <w:r w:rsidR="0000639F">
        <w:rPr>
          <w:sz w:val="28"/>
          <w:szCs w:val="28"/>
        </w:rPr>
        <w:t>новленным химическим строением.</w:t>
      </w:r>
    </w:p>
    <w:p w:rsidR="00387EC8" w:rsidRPr="00387EC8" w:rsidRDefault="00387EC8" w:rsidP="005E1A52">
      <w:pPr>
        <w:pStyle w:val="Default"/>
        <w:spacing w:line="360" w:lineRule="auto"/>
        <w:ind w:firstLine="709"/>
        <w:jc w:val="both"/>
        <w:rPr>
          <w:sz w:val="28"/>
          <w:szCs w:val="28"/>
        </w:rPr>
      </w:pPr>
      <w:r w:rsidRPr="00D44C1E">
        <w:rPr>
          <w:b/>
          <w:bCs/>
          <w:i/>
          <w:sz w:val="28"/>
          <w:szCs w:val="28"/>
        </w:rPr>
        <w:t>Неидентифицированная примесь</w:t>
      </w:r>
      <w:r w:rsidR="0000639F">
        <w:rPr>
          <w:b/>
          <w:bCs/>
          <w:sz w:val="28"/>
          <w:szCs w:val="28"/>
        </w:rPr>
        <w:t xml:space="preserve"> – </w:t>
      </w:r>
      <w:r w:rsidRPr="00387EC8">
        <w:rPr>
          <w:sz w:val="28"/>
          <w:szCs w:val="28"/>
        </w:rPr>
        <w:t>примесь, структура которой не установлена, и которая определяется исключительно качественными аналитическими параметрами (например, относ</w:t>
      </w:r>
      <w:r w:rsidR="0000639F">
        <w:rPr>
          <w:sz w:val="28"/>
          <w:szCs w:val="28"/>
        </w:rPr>
        <w:t>ительным временем удерживания).</w:t>
      </w:r>
    </w:p>
    <w:p w:rsidR="00387EC8" w:rsidRPr="00387EC8" w:rsidRDefault="00387EC8" w:rsidP="005E1A52">
      <w:pPr>
        <w:pStyle w:val="Default"/>
        <w:spacing w:line="360" w:lineRule="auto"/>
        <w:ind w:firstLine="709"/>
        <w:jc w:val="both"/>
        <w:rPr>
          <w:sz w:val="28"/>
          <w:szCs w:val="28"/>
        </w:rPr>
      </w:pPr>
      <w:r w:rsidRPr="00D44C1E">
        <w:rPr>
          <w:b/>
          <w:bCs/>
          <w:i/>
          <w:sz w:val="28"/>
          <w:szCs w:val="28"/>
        </w:rPr>
        <w:t>Специфицируемая примесь</w:t>
      </w:r>
      <w:r w:rsidR="0000639F">
        <w:rPr>
          <w:b/>
          <w:bCs/>
          <w:sz w:val="28"/>
          <w:szCs w:val="28"/>
        </w:rPr>
        <w:t xml:space="preserve"> –</w:t>
      </w:r>
      <w:r w:rsidRPr="00387EC8">
        <w:rPr>
          <w:b/>
          <w:bCs/>
          <w:sz w:val="28"/>
          <w:szCs w:val="28"/>
        </w:rPr>
        <w:t xml:space="preserve"> </w:t>
      </w:r>
      <w:r w:rsidRPr="00387EC8">
        <w:rPr>
          <w:sz w:val="28"/>
          <w:szCs w:val="28"/>
        </w:rPr>
        <w:t>примесь, которая указывается отдельно и имеет собственный критерий приемлемости. Специфицируемая примесь может быть идентифициров</w:t>
      </w:r>
      <w:r w:rsidR="0000639F">
        <w:rPr>
          <w:sz w:val="28"/>
          <w:szCs w:val="28"/>
        </w:rPr>
        <w:t>анной или неидентифицированной.</w:t>
      </w:r>
    </w:p>
    <w:p w:rsidR="00387EC8" w:rsidRPr="00387EC8" w:rsidRDefault="00387EC8" w:rsidP="005E1A52">
      <w:pPr>
        <w:pStyle w:val="Default"/>
        <w:spacing w:line="360" w:lineRule="auto"/>
        <w:ind w:firstLine="709"/>
        <w:jc w:val="both"/>
        <w:rPr>
          <w:sz w:val="28"/>
          <w:szCs w:val="28"/>
        </w:rPr>
      </w:pPr>
      <w:r w:rsidRPr="00D44C1E">
        <w:rPr>
          <w:b/>
          <w:bCs/>
          <w:i/>
          <w:sz w:val="28"/>
          <w:szCs w:val="28"/>
        </w:rPr>
        <w:t>Неспецифицируемая примесь</w:t>
      </w:r>
      <w:r w:rsidR="0000639F">
        <w:rPr>
          <w:b/>
          <w:bCs/>
          <w:sz w:val="28"/>
          <w:szCs w:val="28"/>
        </w:rPr>
        <w:t xml:space="preserve"> –</w:t>
      </w:r>
      <w:r w:rsidRPr="00387EC8">
        <w:rPr>
          <w:b/>
          <w:bCs/>
          <w:sz w:val="28"/>
          <w:szCs w:val="28"/>
        </w:rPr>
        <w:t xml:space="preserve"> </w:t>
      </w:r>
      <w:r w:rsidRPr="00387EC8">
        <w:rPr>
          <w:sz w:val="28"/>
          <w:szCs w:val="28"/>
        </w:rPr>
        <w:t>примесь, которая не указывается отдельно и е</w:t>
      </w:r>
      <w:r w:rsidR="00D522DA">
        <w:rPr>
          <w:sz w:val="28"/>
          <w:szCs w:val="28"/>
        </w:rPr>
        <w:t>ё</w:t>
      </w:r>
      <w:r w:rsidRPr="00387EC8">
        <w:rPr>
          <w:sz w:val="28"/>
          <w:szCs w:val="28"/>
        </w:rPr>
        <w:t xml:space="preserve"> содержание нормируется общими критериями приемлемости. </w:t>
      </w:r>
    </w:p>
    <w:p w:rsidR="00387EC8" w:rsidRPr="00387EC8" w:rsidRDefault="00387EC8" w:rsidP="005E1A52">
      <w:pPr>
        <w:pStyle w:val="Default"/>
        <w:spacing w:line="360" w:lineRule="auto"/>
        <w:ind w:firstLine="709"/>
        <w:jc w:val="both"/>
        <w:rPr>
          <w:sz w:val="28"/>
          <w:szCs w:val="28"/>
        </w:rPr>
      </w:pPr>
      <w:r w:rsidRPr="00D44C1E">
        <w:rPr>
          <w:b/>
          <w:bCs/>
          <w:i/>
          <w:sz w:val="28"/>
          <w:szCs w:val="28"/>
        </w:rPr>
        <w:t>Контролируемый предел</w:t>
      </w:r>
      <w:r w:rsidR="0000639F">
        <w:rPr>
          <w:b/>
          <w:bCs/>
          <w:sz w:val="28"/>
          <w:szCs w:val="28"/>
        </w:rPr>
        <w:t xml:space="preserve"> – </w:t>
      </w:r>
      <w:r w:rsidRPr="00387EC8">
        <w:rPr>
          <w:sz w:val="28"/>
          <w:szCs w:val="28"/>
        </w:rPr>
        <w:t xml:space="preserve">предел, выше которого примесь </w:t>
      </w:r>
      <w:r w:rsidR="0000639F">
        <w:rPr>
          <w:sz w:val="28"/>
          <w:szCs w:val="28"/>
        </w:rPr>
        <w:t>должна контролироваться.</w:t>
      </w:r>
    </w:p>
    <w:p w:rsidR="00387EC8" w:rsidRPr="00387EC8" w:rsidRDefault="00387EC8" w:rsidP="005E1A52">
      <w:pPr>
        <w:pStyle w:val="Default"/>
        <w:spacing w:line="360" w:lineRule="auto"/>
        <w:ind w:firstLine="709"/>
        <w:jc w:val="both"/>
        <w:rPr>
          <w:sz w:val="28"/>
          <w:szCs w:val="28"/>
        </w:rPr>
      </w:pPr>
      <w:r w:rsidRPr="00D44C1E">
        <w:rPr>
          <w:b/>
          <w:bCs/>
          <w:i/>
          <w:sz w:val="28"/>
          <w:szCs w:val="28"/>
        </w:rPr>
        <w:t>Предел идентификации</w:t>
      </w:r>
      <w:r w:rsidR="0000639F">
        <w:rPr>
          <w:b/>
          <w:bCs/>
          <w:sz w:val="28"/>
          <w:szCs w:val="28"/>
        </w:rPr>
        <w:t xml:space="preserve"> – </w:t>
      </w:r>
      <w:r w:rsidRPr="00387EC8">
        <w:rPr>
          <w:sz w:val="28"/>
          <w:szCs w:val="28"/>
        </w:rPr>
        <w:t>предел, выше которого примес</w:t>
      </w:r>
      <w:r w:rsidR="0000639F">
        <w:rPr>
          <w:sz w:val="28"/>
          <w:szCs w:val="28"/>
        </w:rPr>
        <w:t>ь должна быть идентифицирована.</w:t>
      </w:r>
    </w:p>
    <w:p w:rsidR="00387EC8" w:rsidRPr="00387EC8" w:rsidRDefault="00387EC8" w:rsidP="005E1A52">
      <w:pPr>
        <w:pStyle w:val="Default"/>
        <w:spacing w:line="360" w:lineRule="auto"/>
        <w:ind w:firstLine="709"/>
        <w:jc w:val="both"/>
        <w:rPr>
          <w:sz w:val="28"/>
          <w:szCs w:val="28"/>
        </w:rPr>
      </w:pPr>
      <w:r w:rsidRPr="00D44C1E">
        <w:rPr>
          <w:b/>
          <w:bCs/>
          <w:i/>
          <w:sz w:val="28"/>
          <w:szCs w:val="28"/>
        </w:rPr>
        <w:t>Квалификация</w:t>
      </w:r>
      <w:r w:rsidR="0000639F">
        <w:rPr>
          <w:b/>
          <w:bCs/>
          <w:sz w:val="28"/>
          <w:szCs w:val="28"/>
        </w:rPr>
        <w:t xml:space="preserve"> – </w:t>
      </w:r>
      <w:r w:rsidRPr="00387EC8">
        <w:rPr>
          <w:sz w:val="28"/>
          <w:szCs w:val="28"/>
        </w:rPr>
        <w:t>процесс получения и оценки данных с целью определения биологической безопасности отдельной примеси или определенного профиля примесей</w:t>
      </w:r>
      <w:r w:rsidR="0000639F">
        <w:rPr>
          <w:sz w:val="28"/>
          <w:szCs w:val="28"/>
        </w:rPr>
        <w:t>.</w:t>
      </w:r>
    </w:p>
    <w:p w:rsidR="00387EC8" w:rsidRPr="00D44C1E" w:rsidRDefault="00387EC8" w:rsidP="00D44C1E">
      <w:pPr>
        <w:spacing w:line="360" w:lineRule="auto"/>
        <w:jc w:val="both"/>
        <w:rPr>
          <w:rFonts w:ascii="Times New Roman" w:hAnsi="Times New Roman"/>
          <w:sz w:val="28"/>
          <w:szCs w:val="28"/>
        </w:rPr>
      </w:pPr>
      <w:r w:rsidRPr="00D44C1E">
        <w:rPr>
          <w:rFonts w:ascii="Times New Roman" w:hAnsi="Times New Roman"/>
          <w:b/>
          <w:bCs/>
          <w:i/>
          <w:sz w:val="28"/>
          <w:szCs w:val="28"/>
        </w:rPr>
        <w:lastRenderedPageBreak/>
        <w:t>Предел квалификации</w:t>
      </w:r>
      <w:r w:rsidR="00D44C1E">
        <w:rPr>
          <w:rFonts w:ascii="Times New Roman" w:hAnsi="Times New Roman"/>
          <w:b/>
          <w:bCs/>
          <w:sz w:val="28"/>
          <w:szCs w:val="28"/>
        </w:rPr>
        <w:t xml:space="preserve"> – </w:t>
      </w:r>
      <w:r w:rsidRPr="00387EC8">
        <w:rPr>
          <w:rFonts w:ascii="Times New Roman" w:hAnsi="Times New Roman"/>
          <w:sz w:val="28"/>
          <w:szCs w:val="28"/>
        </w:rPr>
        <w:t>предел, выше которого должна быть проведена квалификация примеси.</w:t>
      </w:r>
    </w:p>
    <w:p w:rsidR="00387EC8" w:rsidRPr="00D44C1E" w:rsidRDefault="00387EC8" w:rsidP="00D44C1E">
      <w:pPr>
        <w:pStyle w:val="Default"/>
        <w:keepNext/>
        <w:spacing w:before="240" w:line="360" w:lineRule="auto"/>
        <w:jc w:val="center"/>
        <w:rPr>
          <w:b/>
          <w:sz w:val="28"/>
          <w:szCs w:val="28"/>
        </w:rPr>
      </w:pPr>
      <w:r w:rsidRPr="00D44C1E">
        <w:rPr>
          <w:b/>
          <w:sz w:val="28"/>
          <w:szCs w:val="28"/>
        </w:rPr>
        <w:t>Р</w:t>
      </w:r>
      <w:r w:rsidR="00D44C1E" w:rsidRPr="00D44C1E">
        <w:rPr>
          <w:b/>
          <w:sz w:val="28"/>
          <w:szCs w:val="28"/>
        </w:rPr>
        <w:t>одственные примеси в фармацевтических субстанциях</w:t>
      </w:r>
    </w:p>
    <w:p w:rsidR="007B6896" w:rsidRPr="00EC3A9C" w:rsidRDefault="00387EC8" w:rsidP="00D44C1E">
      <w:pPr>
        <w:pStyle w:val="Default"/>
        <w:spacing w:line="360" w:lineRule="auto"/>
        <w:ind w:firstLine="709"/>
        <w:jc w:val="both"/>
        <w:rPr>
          <w:sz w:val="28"/>
          <w:szCs w:val="28"/>
        </w:rPr>
      </w:pPr>
      <w:r w:rsidRPr="00387EC8">
        <w:rPr>
          <w:sz w:val="28"/>
          <w:szCs w:val="28"/>
        </w:rPr>
        <w:t>В фармацевтических субстанциях контролируются родственные примеси, обусловленные процессом е</w:t>
      </w:r>
      <w:r w:rsidR="00D44C1E">
        <w:rPr>
          <w:sz w:val="28"/>
          <w:szCs w:val="28"/>
        </w:rPr>
        <w:t>ё</w:t>
      </w:r>
      <w:r w:rsidRPr="00387EC8">
        <w:rPr>
          <w:sz w:val="28"/>
          <w:szCs w:val="28"/>
        </w:rPr>
        <w:t xml:space="preserve"> производства (исходные вещества, промежуточные продукты, продукты побочных реакций) и/или хранения. Данные примеси могут быть идентифицированными или </w:t>
      </w:r>
      <w:r w:rsidR="00EB1E11">
        <w:rPr>
          <w:sz w:val="28"/>
          <w:szCs w:val="28"/>
        </w:rPr>
        <w:t>неидентифицированными.</w:t>
      </w:r>
    </w:p>
    <w:p w:rsidR="0045201D" w:rsidRDefault="007B6896" w:rsidP="00D44C1E">
      <w:pPr>
        <w:pStyle w:val="Default"/>
        <w:spacing w:line="360" w:lineRule="auto"/>
        <w:ind w:firstLine="709"/>
        <w:jc w:val="both"/>
        <w:rPr>
          <w:sz w:val="28"/>
          <w:szCs w:val="28"/>
        </w:rPr>
      </w:pPr>
      <w:r w:rsidRPr="00EC3A9C">
        <w:rPr>
          <w:sz w:val="28"/>
          <w:szCs w:val="28"/>
        </w:rPr>
        <w:t xml:space="preserve">Требования к содержанию примесей приведены в соответствующих фармакопейных статьях и в </w:t>
      </w:r>
      <w:r w:rsidR="007E2695" w:rsidRPr="00387EC8">
        <w:rPr>
          <w:sz w:val="28"/>
          <w:szCs w:val="28"/>
        </w:rPr>
        <w:t xml:space="preserve">ОФС </w:t>
      </w:r>
      <w:r w:rsidR="00EC3A9C" w:rsidRPr="00EC3A9C">
        <w:rPr>
          <w:sz w:val="28"/>
          <w:szCs w:val="28"/>
        </w:rPr>
        <w:t>«</w:t>
      </w:r>
      <w:r w:rsidRPr="00EC3A9C">
        <w:rPr>
          <w:sz w:val="28"/>
          <w:szCs w:val="28"/>
        </w:rPr>
        <w:t>Фармацевтические субстанции</w:t>
      </w:r>
      <w:r w:rsidR="00EC3A9C" w:rsidRPr="00EC3A9C">
        <w:rPr>
          <w:sz w:val="28"/>
          <w:szCs w:val="28"/>
        </w:rPr>
        <w:t>»</w:t>
      </w:r>
      <w:r w:rsidRPr="00EC3A9C">
        <w:rPr>
          <w:sz w:val="28"/>
          <w:szCs w:val="28"/>
        </w:rPr>
        <w:t xml:space="preserve">. </w:t>
      </w:r>
    </w:p>
    <w:p w:rsidR="00D92CE1" w:rsidRPr="00EC3A9C" w:rsidRDefault="00387EC8" w:rsidP="00D44C1E">
      <w:pPr>
        <w:pStyle w:val="Default"/>
        <w:spacing w:line="360" w:lineRule="auto"/>
        <w:ind w:firstLine="709"/>
        <w:jc w:val="both"/>
        <w:rPr>
          <w:sz w:val="28"/>
          <w:szCs w:val="28"/>
        </w:rPr>
      </w:pPr>
      <w:r w:rsidRPr="00EC3A9C">
        <w:rPr>
          <w:sz w:val="28"/>
          <w:szCs w:val="28"/>
        </w:rPr>
        <w:t>Контроль родственных примесей осуществляется в соответствии с фармакопейными статьями</w:t>
      </w:r>
      <w:r w:rsidRPr="00387EC8">
        <w:rPr>
          <w:sz w:val="28"/>
          <w:szCs w:val="28"/>
        </w:rPr>
        <w:t xml:space="preserve"> на фармацевтические субстанции. Если фармацевтическая субстанция содержит примеси, отличные от указанных в фармакопейной статье, необходимо применить требования ОФС</w:t>
      </w:r>
      <w:r w:rsidR="007E2695">
        <w:rPr>
          <w:sz w:val="28"/>
          <w:szCs w:val="28"/>
        </w:rPr>
        <w:t> </w:t>
      </w:r>
      <w:r w:rsidRPr="00387EC8">
        <w:rPr>
          <w:sz w:val="28"/>
          <w:szCs w:val="28"/>
        </w:rPr>
        <w:t>«Фармацевтические субстанции» в отношении идентификации и контроля примесей в ней, а также проверить пригодность методики, описанной в фармакопейной статье, для контроля данных примесей.</w:t>
      </w:r>
      <w:r w:rsidRPr="00EB1E11">
        <w:rPr>
          <w:sz w:val="28"/>
          <w:szCs w:val="28"/>
        </w:rPr>
        <w:t xml:space="preserve"> </w:t>
      </w:r>
      <w:r w:rsidR="00EB1E11" w:rsidRPr="00EB1E11">
        <w:rPr>
          <w:sz w:val="28"/>
          <w:szCs w:val="28"/>
        </w:rPr>
        <w:t>В противном случае необходимо разработать новую методику и внести изменение в ранее утвержд</w:t>
      </w:r>
      <w:r w:rsidR="007E2695">
        <w:rPr>
          <w:sz w:val="28"/>
          <w:szCs w:val="28"/>
        </w:rPr>
        <w:t>ё</w:t>
      </w:r>
      <w:r w:rsidR="00EB1E11" w:rsidRPr="00EB1E11">
        <w:rPr>
          <w:sz w:val="28"/>
          <w:szCs w:val="28"/>
        </w:rPr>
        <w:t>нную фармакопейную статью.</w:t>
      </w:r>
      <w:r w:rsidR="00EB1E11">
        <w:rPr>
          <w:i/>
          <w:sz w:val="28"/>
          <w:szCs w:val="28"/>
        </w:rPr>
        <w:t xml:space="preserve"> </w:t>
      </w:r>
      <w:r w:rsidR="007B6896" w:rsidRPr="00EC3A9C">
        <w:rPr>
          <w:sz w:val="28"/>
          <w:szCs w:val="28"/>
        </w:rPr>
        <w:t>В зависимости от обнаруженного содержания и предложенных пределов, необходимо рассмотреть возможность идентификации или квалификации этих примесей.</w:t>
      </w:r>
    </w:p>
    <w:p w:rsidR="00EB1E11" w:rsidRPr="00EB1E11" w:rsidRDefault="00EB1E11" w:rsidP="00D44C1E">
      <w:pPr>
        <w:pStyle w:val="Default"/>
        <w:spacing w:line="360" w:lineRule="auto"/>
        <w:ind w:firstLine="709"/>
        <w:jc w:val="both"/>
        <w:rPr>
          <w:sz w:val="28"/>
          <w:szCs w:val="28"/>
        </w:rPr>
      </w:pPr>
      <w:r w:rsidRPr="00EB1E11">
        <w:rPr>
          <w:sz w:val="28"/>
          <w:szCs w:val="28"/>
        </w:rPr>
        <w:t>В случае если масштабирование производства или изменение в технологии получения субстанции приводят к образованию новой примеси, необходимо применить требования общей фармакопейной статьи «Фармацевтические субстанции» в отношении предела контроля, идентификации и квалификации. Если результаты идентификации и квалификации соответствуют указанным пределам, необходимо внести изменения в фармакопейную статью. Если результаты идентификации и квалификации превысят указанные пределы, необходимо провести исследования по безопасности.</w:t>
      </w:r>
    </w:p>
    <w:p w:rsidR="00EB1E11" w:rsidRPr="00EB1E11" w:rsidRDefault="00EB1E11" w:rsidP="00D44C1E">
      <w:pPr>
        <w:spacing w:line="360" w:lineRule="auto"/>
        <w:jc w:val="both"/>
        <w:rPr>
          <w:rFonts w:ascii="Times New Roman" w:hAnsi="Times New Roman"/>
          <w:color w:val="000000"/>
          <w:sz w:val="28"/>
          <w:szCs w:val="28"/>
        </w:rPr>
      </w:pPr>
      <w:r w:rsidRPr="00EB1E11">
        <w:rPr>
          <w:rFonts w:ascii="Times New Roman" w:hAnsi="Times New Roman"/>
          <w:color w:val="000000"/>
          <w:sz w:val="28"/>
          <w:szCs w:val="28"/>
        </w:rPr>
        <w:lastRenderedPageBreak/>
        <w:t>При отсутствии фармакопейной статьи на фармацевтическую субстанцию пределы контроля, идентификации и ква</w:t>
      </w:r>
      <w:r>
        <w:rPr>
          <w:rFonts w:ascii="Times New Roman" w:hAnsi="Times New Roman"/>
          <w:color w:val="000000"/>
          <w:sz w:val="28"/>
          <w:szCs w:val="28"/>
        </w:rPr>
        <w:t xml:space="preserve">лификации родственных примесей </w:t>
      </w:r>
      <w:r w:rsidRPr="00EB1E11">
        <w:rPr>
          <w:rFonts w:ascii="Times New Roman" w:hAnsi="Times New Roman"/>
          <w:color w:val="000000"/>
          <w:sz w:val="28"/>
          <w:szCs w:val="28"/>
        </w:rPr>
        <w:t>формируются в соответствии с ОФС «Фармацевтические субстанции», раздел «Родст</w:t>
      </w:r>
      <w:r>
        <w:rPr>
          <w:rFonts w:ascii="Times New Roman" w:hAnsi="Times New Roman"/>
          <w:color w:val="000000"/>
          <w:sz w:val="28"/>
          <w:szCs w:val="28"/>
        </w:rPr>
        <w:t>венные примеси» (таблицы 1 и </w:t>
      </w:r>
      <w:r w:rsidRPr="00EB1E11">
        <w:rPr>
          <w:rFonts w:ascii="Times New Roman" w:hAnsi="Times New Roman"/>
          <w:color w:val="000000"/>
          <w:sz w:val="28"/>
          <w:szCs w:val="28"/>
        </w:rPr>
        <w:t>2</w:t>
      </w:r>
      <w:r>
        <w:rPr>
          <w:rFonts w:ascii="Times New Roman" w:hAnsi="Times New Roman"/>
          <w:color w:val="000000"/>
          <w:sz w:val="28"/>
          <w:szCs w:val="28"/>
        </w:rPr>
        <w:t>).</w:t>
      </w:r>
    </w:p>
    <w:p w:rsidR="00410C78" w:rsidRPr="00D44C1E" w:rsidRDefault="00387EC8" w:rsidP="00D44C1E">
      <w:pPr>
        <w:spacing w:line="360" w:lineRule="auto"/>
        <w:jc w:val="both"/>
        <w:rPr>
          <w:rFonts w:ascii="Times New Roman" w:hAnsi="Times New Roman"/>
          <w:sz w:val="28"/>
          <w:szCs w:val="28"/>
        </w:rPr>
      </w:pPr>
      <w:r w:rsidRPr="00387EC8">
        <w:rPr>
          <w:rFonts w:ascii="Times New Roman" w:hAnsi="Times New Roman"/>
          <w:sz w:val="28"/>
          <w:szCs w:val="28"/>
        </w:rPr>
        <w:t>Более высокие пределы содержания примесей в субстанциях могут быть установлены только при наличии соответствующего обоснования, подтверждающего безопасность заявляемой нормы содержания отдельной примеси или определенного профиля примесей. Для высокотоксичных (например, генотоксичных) примесей или примесей, которые вызывают нежелательные фармакологические эффекты, должны применяться более низкие пределы содержания с уч</w:t>
      </w:r>
      <w:r w:rsidR="00D44C1E">
        <w:rPr>
          <w:rFonts w:ascii="Times New Roman" w:hAnsi="Times New Roman"/>
          <w:sz w:val="28"/>
          <w:szCs w:val="28"/>
        </w:rPr>
        <w:t>ё</w:t>
      </w:r>
      <w:r w:rsidRPr="00387EC8">
        <w:rPr>
          <w:rFonts w:ascii="Times New Roman" w:hAnsi="Times New Roman"/>
          <w:sz w:val="28"/>
          <w:szCs w:val="28"/>
        </w:rPr>
        <w:t>том параметров их безопасности.</w:t>
      </w:r>
    </w:p>
    <w:p w:rsidR="00387EC8" w:rsidRPr="00D44C1E" w:rsidRDefault="00387EC8" w:rsidP="00D44C1E">
      <w:pPr>
        <w:pStyle w:val="Default"/>
        <w:keepNext/>
        <w:spacing w:before="240" w:line="360" w:lineRule="auto"/>
        <w:jc w:val="center"/>
        <w:rPr>
          <w:b/>
          <w:sz w:val="28"/>
          <w:szCs w:val="28"/>
        </w:rPr>
      </w:pPr>
      <w:r w:rsidRPr="00D44C1E">
        <w:rPr>
          <w:b/>
          <w:sz w:val="28"/>
          <w:szCs w:val="28"/>
        </w:rPr>
        <w:t>Р</w:t>
      </w:r>
      <w:r w:rsidR="00D44C1E" w:rsidRPr="00D44C1E">
        <w:rPr>
          <w:b/>
          <w:sz w:val="28"/>
          <w:szCs w:val="28"/>
        </w:rPr>
        <w:t>одственные примеси в лекарственных препаратах</w:t>
      </w:r>
    </w:p>
    <w:p w:rsidR="00387EC8" w:rsidRPr="00387EC8" w:rsidRDefault="00387EC8" w:rsidP="00D44C1E">
      <w:pPr>
        <w:pStyle w:val="Default"/>
        <w:spacing w:line="360" w:lineRule="auto"/>
        <w:ind w:firstLine="709"/>
        <w:jc w:val="both"/>
        <w:rPr>
          <w:sz w:val="28"/>
          <w:szCs w:val="28"/>
        </w:rPr>
      </w:pPr>
      <w:r w:rsidRPr="00387EC8">
        <w:rPr>
          <w:sz w:val="28"/>
          <w:szCs w:val="28"/>
        </w:rPr>
        <w:t xml:space="preserve">В лекарственных препаратах контролируются продукты, образующиеся в результате деструкции действующего вещества (фармацевтической субстанции) или при взаимодействии действующего вещества с вспомогательными веществами или с материалом первичной упаковки и укупорочных средств. Данные примеси могут быть идентифицированными или неидентифицированными. К родственным примесям в лекарственных препаратах не относятся примеси, которые образуются из вспомогательных веществ или экстрагируется из первичной упаковки и укупорочных средств. </w:t>
      </w:r>
    </w:p>
    <w:p w:rsidR="006F7657" w:rsidRDefault="00387EC8">
      <w:pPr>
        <w:pStyle w:val="Default"/>
        <w:spacing w:after="240" w:line="360" w:lineRule="auto"/>
        <w:ind w:firstLine="709"/>
        <w:jc w:val="both"/>
        <w:rPr>
          <w:sz w:val="28"/>
          <w:szCs w:val="28"/>
        </w:rPr>
      </w:pPr>
      <w:r w:rsidRPr="00387EC8">
        <w:rPr>
          <w:sz w:val="28"/>
          <w:szCs w:val="28"/>
        </w:rPr>
        <w:t>Пределы контроля, идентификации и квалификации родственных примесей для лекарственных препаратов в зависимости от максимальной суточной д</w:t>
      </w:r>
      <w:r w:rsidR="00D44C1E">
        <w:rPr>
          <w:sz w:val="28"/>
          <w:szCs w:val="28"/>
        </w:rPr>
        <w:t>озы препарата приведены в табл</w:t>
      </w:r>
      <w:r w:rsidR="00CC7570">
        <w:rPr>
          <w:sz w:val="28"/>
          <w:szCs w:val="28"/>
        </w:rPr>
        <w:t>ице</w:t>
      </w:r>
      <w:r w:rsidR="00D44C1E">
        <w:rPr>
          <w:sz w:val="28"/>
          <w:szCs w:val="28"/>
        </w:rPr>
        <w:t> </w:t>
      </w:r>
      <w:r w:rsidR="00EB1E11">
        <w:rPr>
          <w:sz w:val="28"/>
          <w:szCs w:val="28"/>
        </w:rPr>
        <w:t>1.</w:t>
      </w:r>
    </w:p>
    <w:p w:rsidR="00387EC8" w:rsidRPr="002C12AD" w:rsidRDefault="00D44C1E" w:rsidP="007E2695">
      <w:pPr>
        <w:keepNext/>
        <w:keepLines/>
        <w:spacing w:before="240" w:after="120" w:line="240" w:lineRule="auto"/>
        <w:ind w:firstLine="0"/>
        <w:rPr>
          <w:rFonts w:ascii="Times New Roman" w:hAnsi="Times New Roman"/>
          <w:sz w:val="28"/>
          <w:szCs w:val="28"/>
        </w:rPr>
      </w:pPr>
      <w:r>
        <w:rPr>
          <w:rFonts w:ascii="Times New Roman" w:hAnsi="Times New Roman"/>
          <w:sz w:val="28"/>
          <w:szCs w:val="28"/>
        </w:rPr>
        <w:lastRenderedPageBreak/>
        <w:t>Таблица </w:t>
      </w:r>
      <w:r w:rsidR="00387EC8" w:rsidRPr="00387EC8">
        <w:rPr>
          <w:rFonts w:ascii="Times New Roman" w:hAnsi="Times New Roman"/>
          <w:sz w:val="28"/>
          <w:szCs w:val="28"/>
        </w:rPr>
        <w:t>1 –</w:t>
      </w:r>
      <w:r w:rsidR="002C12AD">
        <w:rPr>
          <w:rFonts w:ascii="Times New Roman" w:hAnsi="Times New Roman"/>
          <w:sz w:val="28"/>
          <w:szCs w:val="28"/>
        </w:rPr>
        <w:t xml:space="preserve"> </w:t>
      </w:r>
      <w:r w:rsidR="009070CC">
        <w:rPr>
          <w:rFonts w:ascii="Times New Roman" w:hAnsi="Times New Roman"/>
          <w:sz w:val="28"/>
          <w:szCs w:val="28"/>
        </w:rPr>
        <w:t>П</w:t>
      </w:r>
      <w:r w:rsidR="00387EC8" w:rsidRPr="00387EC8">
        <w:rPr>
          <w:rFonts w:ascii="Times New Roman" w:hAnsi="Times New Roman"/>
          <w:sz w:val="28"/>
          <w:szCs w:val="28"/>
        </w:rPr>
        <w:t>ределы содержания продуктов деструкции в лекарственных препаратах</w:t>
      </w:r>
    </w:p>
    <w:tbl>
      <w:tblPr>
        <w:tblW w:w="0" w:type="auto"/>
        <w:tblBorders>
          <w:top w:val="nil"/>
          <w:left w:val="nil"/>
          <w:bottom w:val="nil"/>
          <w:right w:val="nil"/>
        </w:tblBorders>
        <w:tblLayout w:type="fixed"/>
        <w:tblLook w:val="0000" w:firstRow="0" w:lastRow="0" w:firstColumn="0" w:lastColumn="0" w:noHBand="0" w:noVBand="0"/>
      </w:tblPr>
      <w:tblGrid>
        <w:gridCol w:w="4761"/>
        <w:gridCol w:w="4761"/>
      </w:tblGrid>
      <w:tr w:rsidR="00387EC8" w:rsidRPr="00526E6C" w:rsidTr="00387EC8">
        <w:trPr>
          <w:trHeight w:val="201"/>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387EC8" w:rsidP="007E2695">
            <w:pPr>
              <w:pStyle w:val="Default"/>
              <w:keepNext/>
              <w:keepLines/>
              <w:rPr>
                <w:sz w:val="18"/>
                <w:szCs w:val="18"/>
              </w:rPr>
            </w:pPr>
            <w:r w:rsidRPr="00526E6C">
              <w:rPr>
                <w:sz w:val="28"/>
                <w:szCs w:val="28"/>
              </w:rPr>
              <w:t>Максимальная суточная доза</w:t>
            </w:r>
            <w:r w:rsidRPr="00526E6C">
              <w:rPr>
                <w:position w:val="8"/>
                <w:sz w:val="18"/>
                <w:szCs w:val="18"/>
                <w:vertAlign w:val="superscript"/>
              </w:rPr>
              <w:t xml:space="preserve">1 </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387EC8" w:rsidP="007E2695">
            <w:pPr>
              <w:pStyle w:val="Default"/>
              <w:keepNext/>
              <w:keepLines/>
              <w:rPr>
                <w:sz w:val="18"/>
                <w:szCs w:val="18"/>
              </w:rPr>
            </w:pPr>
            <w:r w:rsidRPr="00526E6C">
              <w:rPr>
                <w:sz w:val="28"/>
                <w:szCs w:val="28"/>
              </w:rPr>
              <w:t>Предельное содержание примеси</w:t>
            </w:r>
            <w:r w:rsidRPr="00526E6C">
              <w:rPr>
                <w:position w:val="8"/>
                <w:sz w:val="18"/>
                <w:szCs w:val="18"/>
                <w:vertAlign w:val="superscript"/>
              </w:rPr>
              <w:t xml:space="preserve">2,3 </w:t>
            </w:r>
          </w:p>
        </w:tc>
      </w:tr>
      <w:tr w:rsidR="00387EC8" w:rsidRPr="00526E6C" w:rsidTr="00387EC8">
        <w:trPr>
          <w:trHeight w:val="189"/>
        </w:trPr>
        <w:tc>
          <w:tcPr>
            <w:tcW w:w="9522" w:type="dxa"/>
            <w:gridSpan w:val="2"/>
            <w:tcBorders>
              <w:top w:val="single" w:sz="4" w:space="0" w:color="auto"/>
              <w:left w:val="single" w:sz="4" w:space="0" w:color="auto"/>
              <w:bottom w:val="single" w:sz="4" w:space="0" w:color="auto"/>
              <w:right w:val="single" w:sz="4" w:space="0" w:color="auto"/>
            </w:tcBorders>
          </w:tcPr>
          <w:p w:rsidR="00387EC8" w:rsidRPr="00526E6C" w:rsidRDefault="00387EC8" w:rsidP="007E2695">
            <w:pPr>
              <w:pStyle w:val="Default"/>
              <w:keepNext/>
              <w:keepLines/>
              <w:jc w:val="center"/>
              <w:rPr>
                <w:sz w:val="28"/>
                <w:szCs w:val="28"/>
              </w:rPr>
            </w:pPr>
            <w:r w:rsidRPr="00526E6C">
              <w:rPr>
                <w:sz w:val="28"/>
                <w:szCs w:val="28"/>
              </w:rPr>
              <w:t xml:space="preserve">Контролируемый предел </w:t>
            </w:r>
          </w:p>
        </w:tc>
      </w:tr>
      <w:tr w:rsidR="00387EC8" w:rsidRPr="00526E6C" w:rsidTr="00387EC8">
        <w:trPr>
          <w:trHeight w:val="193"/>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7E2695">
            <w:pPr>
              <w:pStyle w:val="Default"/>
              <w:keepNext/>
              <w:keepLines/>
              <w:jc w:val="center"/>
              <w:rPr>
                <w:sz w:val="28"/>
                <w:szCs w:val="28"/>
              </w:rPr>
            </w:pPr>
            <w:r>
              <w:rPr>
                <w:sz w:val="28"/>
                <w:szCs w:val="28"/>
              </w:rPr>
              <w:t>≤1 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7E2695">
            <w:pPr>
              <w:pStyle w:val="Default"/>
              <w:keepNext/>
              <w:keepLines/>
              <w:jc w:val="center"/>
              <w:rPr>
                <w:sz w:val="28"/>
                <w:szCs w:val="28"/>
              </w:rPr>
            </w:pPr>
            <w:r>
              <w:rPr>
                <w:sz w:val="28"/>
                <w:szCs w:val="28"/>
              </w:rPr>
              <w:t>0,1 %</w:t>
            </w:r>
          </w:p>
        </w:tc>
      </w:tr>
      <w:tr w:rsidR="00387EC8" w:rsidRPr="00526E6C" w:rsidTr="00387EC8">
        <w:trPr>
          <w:trHeight w:val="189"/>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7E2695">
            <w:pPr>
              <w:pStyle w:val="Default"/>
              <w:keepNext/>
              <w:keepLines/>
              <w:jc w:val="center"/>
              <w:rPr>
                <w:sz w:val="28"/>
                <w:szCs w:val="28"/>
              </w:rPr>
            </w:pPr>
            <w:r>
              <w:rPr>
                <w:sz w:val="28"/>
                <w:szCs w:val="28"/>
              </w:rPr>
              <w:t>&gt;1 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7E2695">
            <w:pPr>
              <w:pStyle w:val="Default"/>
              <w:keepNext/>
              <w:keepLines/>
              <w:jc w:val="center"/>
              <w:rPr>
                <w:sz w:val="28"/>
                <w:szCs w:val="28"/>
              </w:rPr>
            </w:pPr>
            <w:r>
              <w:rPr>
                <w:sz w:val="28"/>
                <w:szCs w:val="28"/>
              </w:rPr>
              <w:t>0,05 %</w:t>
            </w:r>
          </w:p>
        </w:tc>
      </w:tr>
      <w:tr w:rsidR="00387EC8" w:rsidRPr="00526E6C" w:rsidTr="00387EC8">
        <w:trPr>
          <w:trHeight w:val="189"/>
        </w:trPr>
        <w:tc>
          <w:tcPr>
            <w:tcW w:w="9522" w:type="dxa"/>
            <w:gridSpan w:val="2"/>
            <w:tcBorders>
              <w:top w:val="single" w:sz="4" w:space="0" w:color="auto"/>
              <w:left w:val="single" w:sz="4" w:space="0" w:color="auto"/>
              <w:bottom w:val="single" w:sz="4" w:space="0" w:color="auto"/>
              <w:right w:val="single" w:sz="4" w:space="0" w:color="auto"/>
            </w:tcBorders>
          </w:tcPr>
          <w:p w:rsidR="00387EC8" w:rsidRPr="00526E6C" w:rsidRDefault="00387EC8" w:rsidP="007E2695">
            <w:pPr>
              <w:pStyle w:val="Default"/>
              <w:keepNext/>
              <w:keepLines/>
              <w:jc w:val="center"/>
              <w:rPr>
                <w:sz w:val="28"/>
                <w:szCs w:val="28"/>
              </w:rPr>
            </w:pPr>
            <w:r w:rsidRPr="00526E6C">
              <w:rPr>
                <w:sz w:val="28"/>
                <w:szCs w:val="28"/>
              </w:rPr>
              <w:t xml:space="preserve">Предел идентификации </w:t>
            </w:r>
          </w:p>
        </w:tc>
      </w:tr>
      <w:tr w:rsidR="00387EC8" w:rsidRPr="00526E6C" w:rsidTr="00387EC8">
        <w:trPr>
          <w:trHeight w:val="511"/>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7E2695">
            <w:pPr>
              <w:pStyle w:val="Default"/>
              <w:keepNext/>
              <w:keepLines/>
              <w:jc w:val="center"/>
              <w:rPr>
                <w:sz w:val="28"/>
                <w:szCs w:val="28"/>
              </w:rPr>
            </w:pPr>
            <w:r>
              <w:rPr>
                <w:sz w:val="28"/>
                <w:szCs w:val="28"/>
              </w:rPr>
              <w:t>&lt;1 мг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7E2695">
            <w:pPr>
              <w:pStyle w:val="Default"/>
              <w:keepNext/>
              <w:keepLines/>
              <w:jc w:val="center"/>
              <w:rPr>
                <w:sz w:val="28"/>
                <w:szCs w:val="28"/>
              </w:rPr>
            </w:pPr>
            <w:r>
              <w:rPr>
                <w:sz w:val="28"/>
                <w:szCs w:val="28"/>
              </w:rPr>
              <w:t>1,0 % или 5 </w:t>
            </w:r>
            <w:r w:rsidR="00387EC8" w:rsidRPr="00526E6C">
              <w:rPr>
                <w:sz w:val="28"/>
                <w:szCs w:val="28"/>
              </w:rPr>
              <w:t xml:space="preserve">мкг суточного потребления примеси </w:t>
            </w:r>
          </w:p>
          <w:p w:rsidR="00387EC8" w:rsidRPr="00526E6C" w:rsidRDefault="00D44C1E" w:rsidP="007E2695">
            <w:pPr>
              <w:pStyle w:val="Default"/>
              <w:keepNext/>
              <w:keepLines/>
              <w:jc w:val="center"/>
              <w:rPr>
                <w:sz w:val="28"/>
                <w:szCs w:val="28"/>
              </w:rPr>
            </w:pPr>
            <w:r>
              <w:rPr>
                <w:sz w:val="28"/>
                <w:szCs w:val="28"/>
              </w:rPr>
              <w:t>(что меньше)</w:t>
            </w:r>
          </w:p>
        </w:tc>
      </w:tr>
      <w:tr w:rsidR="00387EC8" w:rsidRPr="00526E6C" w:rsidTr="00387EC8">
        <w:trPr>
          <w:trHeight w:val="510"/>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1 мг–10 мг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62137" w:rsidP="00CC7570">
            <w:pPr>
              <w:pStyle w:val="Default"/>
              <w:jc w:val="center"/>
              <w:rPr>
                <w:sz w:val="28"/>
                <w:szCs w:val="28"/>
              </w:rPr>
            </w:pPr>
            <w:r>
              <w:rPr>
                <w:sz w:val="28"/>
                <w:szCs w:val="28"/>
              </w:rPr>
              <w:t>0,5 </w:t>
            </w:r>
            <w:r w:rsidR="00387EC8" w:rsidRPr="00526E6C">
              <w:rPr>
                <w:sz w:val="28"/>
                <w:szCs w:val="28"/>
              </w:rPr>
              <w:t xml:space="preserve">% или </w:t>
            </w:r>
            <w:r w:rsidR="00387EC8" w:rsidRPr="00DA1C4F">
              <w:rPr>
                <w:sz w:val="28"/>
                <w:szCs w:val="28"/>
              </w:rPr>
              <w:t>20</w:t>
            </w:r>
            <w:r w:rsidR="00DA1C4F">
              <w:rPr>
                <w:sz w:val="28"/>
                <w:szCs w:val="28"/>
              </w:rPr>
              <w:t> </w:t>
            </w:r>
            <w:r w:rsidR="00387EC8" w:rsidRPr="00DA1C4F">
              <w:rPr>
                <w:sz w:val="28"/>
                <w:szCs w:val="28"/>
              </w:rPr>
              <w:t xml:space="preserve">мкг </w:t>
            </w:r>
            <w:r w:rsidR="00387EC8" w:rsidRPr="00526E6C">
              <w:rPr>
                <w:sz w:val="28"/>
                <w:szCs w:val="28"/>
              </w:rPr>
              <w:t xml:space="preserve">суточного потребления примеси </w:t>
            </w:r>
          </w:p>
          <w:p w:rsidR="00387EC8" w:rsidRPr="00526E6C" w:rsidRDefault="00D44C1E">
            <w:pPr>
              <w:pStyle w:val="Default"/>
              <w:jc w:val="center"/>
              <w:rPr>
                <w:sz w:val="28"/>
                <w:szCs w:val="28"/>
              </w:rPr>
            </w:pPr>
            <w:r>
              <w:rPr>
                <w:sz w:val="28"/>
                <w:szCs w:val="28"/>
              </w:rPr>
              <w:t>(что меньше)</w:t>
            </w:r>
          </w:p>
        </w:tc>
      </w:tr>
      <w:tr w:rsidR="00387EC8" w:rsidRPr="00526E6C" w:rsidTr="00387EC8">
        <w:trPr>
          <w:trHeight w:val="510"/>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&gt;10 мг–2 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CC7570">
            <w:pPr>
              <w:pStyle w:val="Default"/>
              <w:jc w:val="center"/>
              <w:rPr>
                <w:sz w:val="28"/>
                <w:szCs w:val="28"/>
              </w:rPr>
            </w:pPr>
            <w:r>
              <w:rPr>
                <w:sz w:val="28"/>
                <w:szCs w:val="28"/>
              </w:rPr>
              <w:t>0,2 % или 2 </w:t>
            </w:r>
            <w:r w:rsidR="00387EC8" w:rsidRPr="00526E6C">
              <w:rPr>
                <w:sz w:val="28"/>
                <w:szCs w:val="28"/>
              </w:rPr>
              <w:t xml:space="preserve">мг суточного потребления примеси </w:t>
            </w:r>
          </w:p>
          <w:p w:rsidR="00387EC8" w:rsidRPr="00526E6C" w:rsidRDefault="00D44C1E">
            <w:pPr>
              <w:pStyle w:val="Default"/>
              <w:jc w:val="center"/>
              <w:rPr>
                <w:sz w:val="28"/>
                <w:szCs w:val="28"/>
              </w:rPr>
            </w:pPr>
            <w:r>
              <w:rPr>
                <w:sz w:val="28"/>
                <w:szCs w:val="28"/>
              </w:rPr>
              <w:t>(что меньше)</w:t>
            </w:r>
          </w:p>
        </w:tc>
      </w:tr>
      <w:tr w:rsidR="00387EC8" w:rsidRPr="00526E6C" w:rsidTr="00387EC8">
        <w:trPr>
          <w:trHeight w:val="189"/>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&gt;2 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0,10 %</w:t>
            </w:r>
          </w:p>
        </w:tc>
      </w:tr>
      <w:tr w:rsidR="00387EC8" w:rsidRPr="00526E6C" w:rsidTr="00387EC8">
        <w:trPr>
          <w:trHeight w:val="189"/>
        </w:trPr>
        <w:tc>
          <w:tcPr>
            <w:tcW w:w="9522" w:type="dxa"/>
            <w:gridSpan w:val="2"/>
            <w:tcBorders>
              <w:top w:val="single" w:sz="4" w:space="0" w:color="auto"/>
              <w:left w:val="single" w:sz="4" w:space="0" w:color="auto"/>
              <w:bottom w:val="single" w:sz="4" w:space="0" w:color="auto"/>
              <w:right w:val="single" w:sz="4" w:space="0" w:color="auto"/>
            </w:tcBorders>
          </w:tcPr>
          <w:p w:rsidR="00387EC8" w:rsidRPr="00526E6C" w:rsidRDefault="00387EC8">
            <w:pPr>
              <w:pStyle w:val="Default"/>
              <w:jc w:val="center"/>
              <w:rPr>
                <w:sz w:val="28"/>
                <w:szCs w:val="28"/>
              </w:rPr>
            </w:pPr>
            <w:r w:rsidRPr="00526E6C">
              <w:rPr>
                <w:sz w:val="28"/>
                <w:szCs w:val="28"/>
              </w:rPr>
              <w:t xml:space="preserve">Предел квалификации </w:t>
            </w:r>
          </w:p>
        </w:tc>
      </w:tr>
      <w:tr w:rsidR="00387EC8" w:rsidRPr="00526E6C" w:rsidTr="00387EC8">
        <w:trPr>
          <w:trHeight w:val="511"/>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&lt;10 мг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CC7570">
            <w:pPr>
              <w:pStyle w:val="Default"/>
              <w:jc w:val="center"/>
              <w:rPr>
                <w:sz w:val="28"/>
                <w:szCs w:val="28"/>
              </w:rPr>
            </w:pPr>
            <w:r>
              <w:rPr>
                <w:sz w:val="28"/>
                <w:szCs w:val="28"/>
              </w:rPr>
              <w:t>1,0 % или 50 </w:t>
            </w:r>
            <w:r w:rsidR="00387EC8" w:rsidRPr="00526E6C">
              <w:rPr>
                <w:sz w:val="28"/>
                <w:szCs w:val="28"/>
              </w:rPr>
              <w:t xml:space="preserve">мкг суточного потребления примеси </w:t>
            </w:r>
          </w:p>
          <w:p w:rsidR="00387EC8" w:rsidRPr="00526E6C" w:rsidRDefault="00D44C1E">
            <w:pPr>
              <w:pStyle w:val="Default"/>
              <w:jc w:val="center"/>
              <w:rPr>
                <w:sz w:val="28"/>
                <w:szCs w:val="28"/>
              </w:rPr>
            </w:pPr>
            <w:r>
              <w:rPr>
                <w:sz w:val="28"/>
                <w:szCs w:val="28"/>
              </w:rPr>
              <w:t>(что меньше)</w:t>
            </w:r>
          </w:p>
        </w:tc>
      </w:tr>
      <w:tr w:rsidR="00387EC8" w:rsidRPr="00526E6C" w:rsidTr="00387EC8">
        <w:trPr>
          <w:trHeight w:val="510"/>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10 мг–100 мг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CC7570">
            <w:pPr>
              <w:pStyle w:val="Default"/>
              <w:jc w:val="center"/>
              <w:rPr>
                <w:sz w:val="28"/>
                <w:szCs w:val="28"/>
              </w:rPr>
            </w:pPr>
            <w:r>
              <w:rPr>
                <w:sz w:val="28"/>
                <w:szCs w:val="28"/>
              </w:rPr>
              <w:t>0,5 % или 200 </w:t>
            </w:r>
            <w:r w:rsidR="00387EC8" w:rsidRPr="00526E6C">
              <w:rPr>
                <w:sz w:val="28"/>
                <w:szCs w:val="28"/>
              </w:rPr>
              <w:t xml:space="preserve">мкг суточного потребления примеси </w:t>
            </w:r>
          </w:p>
          <w:p w:rsidR="00387EC8" w:rsidRPr="00526E6C" w:rsidRDefault="00D44C1E">
            <w:pPr>
              <w:pStyle w:val="Default"/>
              <w:jc w:val="center"/>
              <w:rPr>
                <w:sz w:val="28"/>
                <w:szCs w:val="28"/>
              </w:rPr>
            </w:pPr>
            <w:r>
              <w:rPr>
                <w:sz w:val="28"/>
                <w:szCs w:val="28"/>
              </w:rPr>
              <w:t>(что меньше)</w:t>
            </w:r>
          </w:p>
        </w:tc>
      </w:tr>
      <w:tr w:rsidR="00387EC8" w:rsidRPr="00526E6C" w:rsidTr="00387EC8">
        <w:trPr>
          <w:trHeight w:val="510"/>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&gt;100 мг–2 г</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rsidP="00CC7570">
            <w:pPr>
              <w:pStyle w:val="Default"/>
              <w:jc w:val="center"/>
              <w:rPr>
                <w:sz w:val="28"/>
                <w:szCs w:val="28"/>
              </w:rPr>
            </w:pPr>
            <w:r>
              <w:rPr>
                <w:sz w:val="28"/>
                <w:szCs w:val="28"/>
              </w:rPr>
              <w:t>0,2 % или 3 </w:t>
            </w:r>
            <w:r w:rsidR="00387EC8" w:rsidRPr="00526E6C">
              <w:rPr>
                <w:sz w:val="28"/>
                <w:szCs w:val="28"/>
              </w:rPr>
              <w:t xml:space="preserve">мг суточного потребления примеси </w:t>
            </w:r>
          </w:p>
          <w:p w:rsidR="00387EC8" w:rsidRPr="00526E6C" w:rsidRDefault="00D44C1E">
            <w:pPr>
              <w:pStyle w:val="Default"/>
              <w:jc w:val="center"/>
              <w:rPr>
                <w:sz w:val="28"/>
                <w:szCs w:val="28"/>
              </w:rPr>
            </w:pPr>
            <w:r>
              <w:rPr>
                <w:sz w:val="28"/>
                <w:szCs w:val="28"/>
              </w:rPr>
              <w:t>(что меньше)</w:t>
            </w:r>
          </w:p>
        </w:tc>
      </w:tr>
      <w:tr w:rsidR="00387EC8" w:rsidRPr="00526E6C" w:rsidTr="00387EC8">
        <w:trPr>
          <w:trHeight w:val="189"/>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&gt;2 </w:t>
            </w:r>
            <w:r w:rsidR="00387EC8" w:rsidRPr="00526E6C">
              <w:rPr>
                <w:sz w:val="28"/>
                <w:szCs w:val="28"/>
              </w:rPr>
              <w:t xml:space="preserve">г </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D44C1E">
            <w:pPr>
              <w:pStyle w:val="Default"/>
              <w:jc w:val="center"/>
              <w:rPr>
                <w:sz w:val="28"/>
                <w:szCs w:val="28"/>
              </w:rPr>
            </w:pPr>
            <w:r>
              <w:rPr>
                <w:sz w:val="28"/>
                <w:szCs w:val="28"/>
              </w:rPr>
              <w:t>0,15 %</w:t>
            </w:r>
          </w:p>
        </w:tc>
      </w:tr>
      <w:tr w:rsidR="00387EC8" w:rsidRPr="00526E6C" w:rsidTr="00387EC8">
        <w:trPr>
          <w:trHeight w:val="201"/>
        </w:trPr>
        <w:tc>
          <w:tcPr>
            <w:tcW w:w="4761" w:type="dxa"/>
            <w:tcBorders>
              <w:top w:val="single" w:sz="4" w:space="0" w:color="auto"/>
              <w:left w:val="single" w:sz="4" w:space="0" w:color="auto"/>
              <w:bottom w:val="single" w:sz="4" w:space="0" w:color="auto"/>
              <w:right w:val="single" w:sz="4" w:space="0" w:color="auto"/>
            </w:tcBorders>
          </w:tcPr>
          <w:p w:rsidR="00387EC8" w:rsidRPr="00526E6C" w:rsidRDefault="00387EC8">
            <w:pPr>
              <w:pStyle w:val="Default"/>
              <w:rPr>
                <w:sz w:val="18"/>
                <w:szCs w:val="18"/>
              </w:rPr>
            </w:pPr>
            <w:r w:rsidRPr="00526E6C">
              <w:rPr>
                <w:sz w:val="28"/>
                <w:szCs w:val="28"/>
              </w:rPr>
              <w:t>Максимальная суточная доза</w:t>
            </w:r>
            <w:r w:rsidRPr="00526E6C">
              <w:rPr>
                <w:position w:val="8"/>
                <w:sz w:val="18"/>
                <w:szCs w:val="18"/>
                <w:vertAlign w:val="superscript"/>
              </w:rPr>
              <w:t xml:space="preserve">1 </w:t>
            </w:r>
          </w:p>
        </w:tc>
        <w:tc>
          <w:tcPr>
            <w:tcW w:w="4761" w:type="dxa"/>
            <w:tcBorders>
              <w:top w:val="single" w:sz="4" w:space="0" w:color="auto"/>
              <w:left w:val="single" w:sz="4" w:space="0" w:color="auto"/>
              <w:bottom w:val="single" w:sz="4" w:space="0" w:color="auto"/>
              <w:right w:val="single" w:sz="4" w:space="0" w:color="auto"/>
            </w:tcBorders>
          </w:tcPr>
          <w:p w:rsidR="00387EC8" w:rsidRPr="00526E6C" w:rsidRDefault="00387EC8" w:rsidP="00CC7570">
            <w:pPr>
              <w:pStyle w:val="Default"/>
              <w:rPr>
                <w:sz w:val="18"/>
                <w:szCs w:val="18"/>
                <w:lang w:val="en-US"/>
              </w:rPr>
            </w:pPr>
            <w:r w:rsidRPr="00526E6C">
              <w:rPr>
                <w:sz w:val="28"/>
                <w:szCs w:val="28"/>
              </w:rPr>
              <w:t>Предельное содержание примеси</w:t>
            </w:r>
            <w:r w:rsidRPr="00526E6C">
              <w:rPr>
                <w:position w:val="8"/>
                <w:sz w:val="18"/>
                <w:szCs w:val="18"/>
                <w:vertAlign w:val="superscript"/>
              </w:rPr>
              <w:t>2,3</w:t>
            </w:r>
          </w:p>
        </w:tc>
      </w:tr>
      <w:tr w:rsidR="00526E6C" w:rsidRPr="00526E6C" w:rsidTr="00526E6C">
        <w:trPr>
          <w:trHeight w:val="201"/>
        </w:trPr>
        <w:tc>
          <w:tcPr>
            <w:tcW w:w="9522" w:type="dxa"/>
            <w:gridSpan w:val="2"/>
            <w:tcBorders>
              <w:top w:val="single" w:sz="4" w:space="0" w:color="auto"/>
              <w:left w:val="single" w:sz="4" w:space="0" w:color="auto"/>
              <w:bottom w:val="single" w:sz="4" w:space="0" w:color="auto"/>
              <w:right w:val="single" w:sz="4" w:space="0" w:color="auto"/>
            </w:tcBorders>
          </w:tcPr>
          <w:p w:rsidR="00AC43F5" w:rsidRPr="00CC7570" w:rsidRDefault="007E2695" w:rsidP="00AC43F5">
            <w:pPr>
              <w:ind w:left="709" w:firstLine="0"/>
              <w:rPr>
                <w:rFonts w:ascii="Times New Roman" w:hAnsi="Times New Roman"/>
                <w:sz w:val="24"/>
                <w:szCs w:val="24"/>
              </w:rPr>
            </w:pPr>
            <w:r>
              <w:rPr>
                <w:rFonts w:ascii="Times New Roman" w:hAnsi="Times New Roman"/>
                <w:sz w:val="24"/>
                <w:szCs w:val="24"/>
              </w:rPr>
              <w:t>Примечание</w:t>
            </w:r>
          </w:p>
          <w:p w:rsidR="00AC43F5" w:rsidRPr="00CC7570" w:rsidRDefault="00A273B8" w:rsidP="00AC43F5">
            <w:pPr>
              <w:ind w:left="709" w:firstLine="0"/>
              <w:rPr>
                <w:rFonts w:ascii="Times New Roman" w:hAnsi="Times New Roman"/>
                <w:sz w:val="24"/>
                <w:szCs w:val="24"/>
              </w:rPr>
            </w:pPr>
            <w:r w:rsidRPr="00A273B8">
              <w:rPr>
                <w:rFonts w:ascii="Times New Roman" w:hAnsi="Times New Roman"/>
                <w:sz w:val="24"/>
                <w:szCs w:val="24"/>
              </w:rPr>
              <w:t xml:space="preserve">1 − количество фармацевтической субстанции, вводимое пациенту в течение суток; </w:t>
            </w:r>
          </w:p>
          <w:p w:rsidR="00526E6C" w:rsidRPr="00CC7570" w:rsidRDefault="00A273B8" w:rsidP="00AC43F5">
            <w:pPr>
              <w:ind w:left="709" w:firstLine="0"/>
              <w:rPr>
                <w:rFonts w:ascii="Times New Roman" w:hAnsi="Times New Roman"/>
                <w:sz w:val="24"/>
                <w:szCs w:val="24"/>
              </w:rPr>
            </w:pPr>
            <w:r w:rsidRPr="00A273B8">
              <w:rPr>
                <w:rFonts w:ascii="Times New Roman" w:hAnsi="Times New Roman"/>
                <w:sz w:val="24"/>
                <w:szCs w:val="24"/>
              </w:rPr>
              <w:t xml:space="preserve">2 − предельное содержание для продуктов деструкции выражается либо в процентном содержании по отношению к фармацевтической субстанции, либо в суточном потреблении примеси. Более низкие пределы содержания примеси устанавливаются, если продукт деструкции обладает повышенной токсичностью; </w:t>
            </w:r>
          </w:p>
          <w:p w:rsidR="00526E6C" w:rsidRPr="00AC43F5" w:rsidRDefault="00A273B8" w:rsidP="00CC7570">
            <w:pPr>
              <w:ind w:left="660" w:firstLine="0"/>
              <w:rPr>
                <w:rFonts w:ascii="Times New Roman" w:hAnsi="Times New Roman"/>
              </w:rPr>
            </w:pPr>
            <w:r w:rsidRPr="00A273B8">
              <w:rPr>
                <w:rFonts w:ascii="Times New Roman" w:hAnsi="Times New Roman"/>
                <w:sz w:val="24"/>
                <w:szCs w:val="24"/>
              </w:rPr>
              <w:t>3 − выбор более высокого предела содержания должен быть научно обоснован с уч</w:t>
            </w:r>
            <w:r w:rsidR="00CC7570">
              <w:rPr>
                <w:rFonts w:ascii="Times New Roman" w:hAnsi="Times New Roman"/>
                <w:sz w:val="24"/>
                <w:szCs w:val="24"/>
              </w:rPr>
              <w:t>ё</w:t>
            </w:r>
            <w:r w:rsidRPr="00A273B8">
              <w:rPr>
                <w:rFonts w:ascii="Times New Roman" w:hAnsi="Times New Roman"/>
                <w:sz w:val="24"/>
                <w:szCs w:val="24"/>
              </w:rPr>
              <w:t>том безопасности примеси.</w:t>
            </w:r>
          </w:p>
        </w:tc>
      </w:tr>
    </w:tbl>
    <w:p w:rsidR="006F7657" w:rsidRDefault="00387EC8" w:rsidP="007E2695">
      <w:pPr>
        <w:pStyle w:val="Default"/>
        <w:spacing w:before="120" w:line="360" w:lineRule="auto"/>
        <w:ind w:firstLine="709"/>
        <w:jc w:val="both"/>
        <w:rPr>
          <w:sz w:val="28"/>
          <w:szCs w:val="28"/>
        </w:rPr>
      </w:pPr>
      <w:r w:rsidRPr="00526E6C">
        <w:rPr>
          <w:sz w:val="28"/>
          <w:szCs w:val="28"/>
        </w:rPr>
        <w:t>В лекарственных препаратах контроль технологических примесей, не являющихся продуктами деструкции фармацевтической субстанций, как правило, осуществляется, если содержание токсичной технологической примеси в лекарственном препарате п</w:t>
      </w:r>
      <w:r w:rsidR="00E51C0C">
        <w:rPr>
          <w:sz w:val="28"/>
          <w:szCs w:val="28"/>
        </w:rPr>
        <w:t>ревышает контролируемый предел.</w:t>
      </w:r>
    </w:p>
    <w:p w:rsidR="00387EC8" w:rsidRPr="00526E6C" w:rsidRDefault="00387EC8" w:rsidP="00526E6C">
      <w:pPr>
        <w:spacing w:line="360" w:lineRule="auto"/>
        <w:jc w:val="both"/>
        <w:rPr>
          <w:rFonts w:ascii="Times New Roman" w:hAnsi="Times New Roman"/>
        </w:rPr>
      </w:pPr>
      <w:r w:rsidRPr="00526E6C">
        <w:rPr>
          <w:rFonts w:ascii="Times New Roman" w:hAnsi="Times New Roman"/>
          <w:sz w:val="28"/>
          <w:szCs w:val="28"/>
        </w:rPr>
        <w:lastRenderedPageBreak/>
        <w:t>В лекарственных препаратах, содержащих два и более действующих вещества, в случае если отнесение неидентифицированных примесей к одному или другому действующему веществу затруднено, то их оценку рекомендуется проводить относительно действующего вещества с наименьшим содержанием.</w:t>
      </w:r>
    </w:p>
    <w:sectPr w:rsidR="00387EC8" w:rsidRPr="00526E6C" w:rsidSect="007E2695">
      <w:footerReference w:type="default" r:id="rId6"/>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695" w:rsidRDefault="007E2695" w:rsidP="00410C78">
      <w:pPr>
        <w:spacing w:line="240" w:lineRule="auto"/>
      </w:pPr>
      <w:r>
        <w:separator/>
      </w:r>
    </w:p>
  </w:endnote>
  <w:endnote w:type="continuationSeparator" w:id="0">
    <w:p w:rsidR="007E2695" w:rsidRDefault="007E2695" w:rsidP="00410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95" w:rsidRPr="00410C78" w:rsidRDefault="004C5053">
    <w:pPr>
      <w:pStyle w:val="a8"/>
      <w:jc w:val="center"/>
      <w:rPr>
        <w:rFonts w:ascii="Times New Roman" w:hAnsi="Times New Roman"/>
        <w:sz w:val="28"/>
        <w:szCs w:val="28"/>
      </w:rPr>
    </w:pPr>
    <w:r w:rsidRPr="00410C78">
      <w:rPr>
        <w:rFonts w:ascii="Times New Roman" w:hAnsi="Times New Roman"/>
        <w:sz w:val="28"/>
        <w:szCs w:val="28"/>
      </w:rPr>
      <w:fldChar w:fldCharType="begin"/>
    </w:r>
    <w:r w:rsidR="007E2695" w:rsidRPr="00410C78">
      <w:rPr>
        <w:rFonts w:ascii="Times New Roman" w:hAnsi="Times New Roman"/>
        <w:sz w:val="28"/>
        <w:szCs w:val="28"/>
      </w:rPr>
      <w:instrText xml:space="preserve"> PAGE   \* MERGEFORMAT </w:instrText>
    </w:r>
    <w:r w:rsidRPr="00410C78">
      <w:rPr>
        <w:rFonts w:ascii="Times New Roman" w:hAnsi="Times New Roman"/>
        <w:sz w:val="28"/>
        <w:szCs w:val="28"/>
      </w:rPr>
      <w:fldChar w:fldCharType="separate"/>
    </w:r>
    <w:r w:rsidR="006D303E">
      <w:rPr>
        <w:rFonts w:ascii="Times New Roman" w:hAnsi="Times New Roman"/>
        <w:noProof/>
        <w:sz w:val="28"/>
        <w:szCs w:val="28"/>
      </w:rPr>
      <w:t>2</w:t>
    </w:r>
    <w:r w:rsidRPr="00410C78">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695" w:rsidRDefault="007E2695" w:rsidP="00410C78">
      <w:pPr>
        <w:spacing w:line="240" w:lineRule="auto"/>
      </w:pPr>
      <w:r>
        <w:separator/>
      </w:r>
    </w:p>
  </w:footnote>
  <w:footnote w:type="continuationSeparator" w:id="0">
    <w:p w:rsidR="007E2695" w:rsidRDefault="007E2695" w:rsidP="00410C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387EC8"/>
    <w:rsid w:val="0000639F"/>
    <w:rsid w:val="00053880"/>
    <w:rsid w:val="000572A6"/>
    <w:rsid w:val="000A7D4F"/>
    <w:rsid w:val="000B6380"/>
    <w:rsid w:val="000C2876"/>
    <w:rsid w:val="000C7C88"/>
    <w:rsid w:val="000D4BF6"/>
    <w:rsid w:val="00123D08"/>
    <w:rsid w:val="0014105C"/>
    <w:rsid w:val="0014536E"/>
    <w:rsid w:val="001B2826"/>
    <w:rsid w:val="001B635A"/>
    <w:rsid w:val="001C6882"/>
    <w:rsid w:val="001D5E41"/>
    <w:rsid w:val="001F3195"/>
    <w:rsid w:val="00216F09"/>
    <w:rsid w:val="002239A2"/>
    <w:rsid w:val="00260645"/>
    <w:rsid w:val="00267100"/>
    <w:rsid w:val="002A7B5C"/>
    <w:rsid w:val="002C12AD"/>
    <w:rsid w:val="002C6B46"/>
    <w:rsid w:val="002E0E55"/>
    <w:rsid w:val="002E7576"/>
    <w:rsid w:val="00325E44"/>
    <w:rsid w:val="003312AE"/>
    <w:rsid w:val="00345784"/>
    <w:rsid w:val="00387EC8"/>
    <w:rsid w:val="003A3354"/>
    <w:rsid w:val="003C04B4"/>
    <w:rsid w:val="004015BF"/>
    <w:rsid w:val="00410C78"/>
    <w:rsid w:val="00412B24"/>
    <w:rsid w:val="0042355F"/>
    <w:rsid w:val="0045201D"/>
    <w:rsid w:val="00454944"/>
    <w:rsid w:val="00476C2E"/>
    <w:rsid w:val="00483DE2"/>
    <w:rsid w:val="004A5B68"/>
    <w:rsid w:val="004C5053"/>
    <w:rsid w:val="004E268C"/>
    <w:rsid w:val="00513DEB"/>
    <w:rsid w:val="00515BF7"/>
    <w:rsid w:val="00526E6C"/>
    <w:rsid w:val="00540562"/>
    <w:rsid w:val="00545D05"/>
    <w:rsid w:val="005C1375"/>
    <w:rsid w:val="005E1A52"/>
    <w:rsid w:val="005E5AAC"/>
    <w:rsid w:val="005F377D"/>
    <w:rsid w:val="006300E5"/>
    <w:rsid w:val="00631724"/>
    <w:rsid w:val="006D303E"/>
    <w:rsid w:val="006E5738"/>
    <w:rsid w:val="006F7657"/>
    <w:rsid w:val="006F7840"/>
    <w:rsid w:val="00701E55"/>
    <w:rsid w:val="00717B6B"/>
    <w:rsid w:val="00723898"/>
    <w:rsid w:val="00773EB9"/>
    <w:rsid w:val="00790BCA"/>
    <w:rsid w:val="00796966"/>
    <w:rsid w:val="007A0D77"/>
    <w:rsid w:val="007B6896"/>
    <w:rsid w:val="007D059A"/>
    <w:rsid w:val="007D111A"/>
    <w:rsid w:val="007E2695"/>
    <w:rsid w:val="00802092"/>
    <w:rsid w:val="008167E4"/>
    <w:rsid w:val="00864767"/>
    <w:rsid w:val="008926B5"/>
    <w:rsid w:val="00893185"/>
    <w:rsid w:val="008E77AF"/>
    <w:rsid w:val="008F7FF4"/>
    <w:rsid w:val="00900C85"/>
    <w:rsid w:val="009070CC"/>
    <w:rsid w:val="00921BDB"/>
    <w:rsid w:val="0096205F"/>
    <w:rsid w:val="00993C9F"/>
    <w:rsid w:val="00A00B56"/>
    <w:rsid w:val="00A1567F"/>
    <w:rsid w:val="00A273B8"/>
    <w:rsid w:val="00A54D53"/>
    <w:rsid w:val="00A70316"/>
    <w:rsid w:val="00A968BD"/>
    <w:rsid w:val="00AB0312"/>
    <w:rsid w:val="00AB32CD"/>
    <w:rsid w:val="00AC2015"/>
    <w:rsid w:val="00AC43F5"/>
    <w:rsid w:val="00AD0F4C"/>
    <w:rsid w:val="00B23869"/>
    <w:rsid w:val="00B64E48"/>
    <w:rsid w:val="00B85798"/>
    <w:rsid w:val="00BD13C0"/>
    <w:rsid w:val="00BD3E6D"/>
    <w:rsid w:val="00C054F4"/>
    <w:rsid w:val="00C46249"/>
    <w:rsid w:val="00C61789"/>
    <w:rsid w:val="00C70DE9"/>
    <w:rsid w:val="00C92CC5"/>
    <w:rsid w:val="00CB3C74"/>
    <w:rsid w:val="00CB787D"/>
    <w:rsid w:val="00CC2BA7"/>
    <w:rsid w:val="00CC7570"/>
    <w:rsid w:val="00D026D1"/>
    <w:rsid w:val="00D44C1E"/>
    <w:rsid w:val="00D500AF"/>
    <w:rsid w:val="00D514BD"/>
    <w:rsid w:val="00D522DA"/>
    <w:rsid w:val="00D53CD2"/>
    <w:rsid w:val="00D62137"/>
    <w:rsid w:val="00D62702"/>
    <w:rsid w:val="00D763D3"/>
    <w:rsid w:val="00D82997"/>
    <w:rsid w:val="00D92CE1"/>
    <w:rsid w:val="00DA18DF"/>
    <w:rsid w:val="00DA1C4F"/>
    <w:rsid w:val="00DA4AD0"/>
    <w:rsid w:val="00DE02C5"/>
    <w:rsid w:val="00E10D43"/>
    <w:rsid w:val="00E15ADA"/>
    <w:rsid w:val="00E31F39"/>
    <w:rsid w:val="00E51C0C"/>
    <w:rsid w:val="00E7059D"/>
    <w:rsid w:val="00EB1E11"/>
    <w:rsid w:val="00EC3A9C"/>
    <w:rsid w:val="00EC5A86"/>
    <w:rsid w:val="00ED68E5"/>
    <w:rsid w:val="00EF4D42"/>
    <w:rsid w:val="00F17E0D"/>
    <w:rsid w:val="00F476D0"/>
    <w:rsid w:val="00F61135"/>
    <w:rsid w:val="00F912DD"/>
    <w:rsid w:val="00FC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9A88CC0-2858-4495-8935-8F1C8FA4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4C"/>
    <w:pPr>
      <w:spacing w:line="276" w:lineRule="auto"/>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7EC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387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semiHidden/>
    <w:unhideWhenUsed/>
    <w:rsid w:val="00410C78"/>
    <w:pPr>
      <w:widowControl w:val="0"/>
      <w:spacing w:after="120" w:line="240" w:lineRule="auto"/>
      <w:ind w:firstLine="0"/>
    </w:pPr>
    <w:rPr>
      <w:rFonts w:ascii="NTHarmonica" w:eastAsia="Times New Roman" w:hAnsi="NTHarmonica"/>
      <w:sz w:val="24"/>
      <w:szCs w:val="20"/>
      <w:lang w:val="en-GB" w:eastAsia="ru-RU"/>
    </w:rPr>
  </w:style>
  <w:style w:type="character" w:customStyle="1" w:styleId="a5">
    <w:name w:val="Основной текст Знак"/>
    <w:basedOn w:val="a0"/>
    <w:link w:val="a4"/>
    <w:semiHidden/>
    <w:rsid w:val="00410C78"/>
    <w:rPr>
      <w:rFonts w:ascii="NTHarmonica" w:eastAsia="Times New Roman" w:hAnsi="NTHarmonica"/>
      <w:sz w:val="24"/>
      <w:lang w:val="en-GB"/>
    </w:rPr>
  </w:style>
  <w:style w:type="paragraph" w:customStyle="1" w:styleId="1">
    <w:name w:val="Основной текст1"/>
    <w:basedOn w:val="a"/>
    <w:rsid w:val="00410C78"/>
    <w:pPr>
      <w:spacing w:after="120" w:line="240" w:lineRule="auto"/>
      <w:ind w:firstLine="0"/>
    </w:pPr>
    <w:rPr>
      <w:rFonts w:ascii="NTHarmonica" w:eastAsia="Times New Roman" w:hAnsi="NTHarmonica"/>
      <w:sz w:val="24"/>
      <w:szCs w:val="20"/>
      <w:lang w:eastAsia="ru-RU"/>
    </w:rPr>
  </w:style>
  <w:style w:type="paragraph" w:styleId="a6">
    <w:name w:val="header"/>
    <w:basedOn w:val="a"/>
    <w:link w:val="a7"/>
    <w:uiPriority w:val="99"/>
    <w:semiHidden/>
    <w:unhideWhenUsed/>
    <w:rsid w:val="00410C78"/>
    <w:pPr>
      <w:tabs>
        <w:tab w:val="center" w:pos="4677"/>
        <w:tab w:val="right" w:pos="9355"/>
      </w:tabs>
    </w:pPr>
  </w:style>
  <w:style w:type="character" w:customStyle="1" w:styleId="a7">
    <w:name w:val="Верхний колонтитул Знак"/>
    <w:basedOn w:val="a0"/>
    <w:link w:val="a6"/>
    <w:uiPriority w:val="99"/>
    <w:semiHidden/>
    <w:rsid w:val="00410C78"/>
    <w:rPr>
      <w:sz w:val="22"/>
      <w:szCs w:val="22"/>
      <w:lang w:eastAsia="en-US"/>
    </w:rPr>
  </w:style>
  <w:style w:type="paragraph" w:styleId="a8">
    <w:name w:val="footer"/>
    <w:basedOn w:val="a"/>
    <w:link w:val="a9"/>
    <w:uiPriority w:val="99"/>
    <w:unhideWhenUsed/>
    <w:rsid w:val="00410C78"/>
    <w:pPr>
      <w:tabs>
        <w:tab w:val="center" w:pos="4677"/>
        <w:tab w:val="right" w:pos="9355"/>
      </w:tabs>
    </w:pPr>
  </w:style>
  <w:style w:type="character" w:customStyle="1" w:styleId="a9">
    <w:name w:val="Нижний колонтитул Знак"/>
    <w:basedOn w:val="a0"/>
    <w:link w:val="a8"/>
    <w:uiPriority w:val="99"/>
    <w:rsid w:val="00410C78"/>
    <w:rPr>
      <w:sz w:val="22"/>
      <w:szCs w:val="22"/>
      <w:lang w:eastAsia="en-US"/>
    </w:rPr>
  </w:style>
  <w:style w:type="table" w:customStyle="1" w:styleId="10">
    <w:name w:val="Сетка таблицы1"/>
    <w:basedOn w:val="a1"/>
    <w:next w:val="a3"/>
    <w:uiPriority w:val="59"/>
    <w:rsid w:val="001410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631724"/>
    <w:rPr>
      <w:sz w:val="16"/>
      <w:szCs w:val="16"/>
    </w:rPr>
  </w:style>
  <w:style w:type="paragraph" w:styleId="ab">
    <w:name w:val="annotation text"/>
    <w:basedOn w:val="a"/>
    <w:link w:val="ac"/>
    <w:uiPriority w:val="99"/>
    <w:unhideWhenUsed/>
    <w:rsid w:val="00631724"/>
    <w:pPr>
      <w:spacing w:line="240" w:lineRule="auto"/>
    </w:pPr>
    <w:rPr>
      <w:sz w:val="20"/>
      <w:szCs w:val="20"/>
    </w:rPr>
  </w:style>
  <w:style w:type="character" w:customStyle="1" w:styleId="ac">
    <w:name w:val="Текст примечания Знак"/>
    <w:basedOn w:val="a0"/>
    <w:link w:val="ab"/>
    <w:uiPriority w:val="99"/>
    <w:rsid w:val="00631724"/>
    <w:rPr>
      <w:lang w:eastAsia="en-US"/>
    </w:rPr>
  </w:style>
  <w:style w:type="paragraph" w:styleId="ad">
    <w:name w:val="annotation subject"/>
    <w:basedOn w:val="ab"/>
    <w:next w:val="ab"/>
    <w:link w:val="ae"/>
    <w:uiPriority w:val="99"/>
    <w:semiHidden/>
    <w:unhideWhenUsed/>
    <w:rsid w:val="00631724"/>
    <w:rPr>
      <w:b/>
      <w:bCs/>
    </w:rPr>
  </w:style>
  <w:style w:type="character" w:customStyle="1" w:styleId="ae">
    <w:name w:val="Тема примечания Знак"/>
    <w:basedOn w:val="ac"/>
    <w:link w:val="ad"/>
    <w:uiPriority w:val="99"/>
    <w:semiHidden/>
    <w:rsid w:val="00631724"/>
    <w:rPr>
      <w:b/>
      <w:bCs/>
      <w:lang w:eastAsia="en-US"/>
    </w:rPr>
  </w:style>
  <w:style w:type="paragraph" w:styleId="af">
    <w:name w:val="Balloon Text"/>
    <w:basedOn w:val="a"/>
    <w:link w:val="af0"/>
    <w:uiPriority w:val="99"/>
    <w:semiHidden/>
    <w:unhideWhenUsed/>
    <w:rsid w:val="00631724"/>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17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Konovalovaev</dc:creator>
  <cp:lastModifiedBy>Болобан Екатерина Александровна</cp:lastModifiedBy>
  <cp:revision>6</cp:revision>
  <dcterms:created xsi:type="dcterms:W3CDTF">2023-06-21T07:30:00Z</dcterms:created>
  <dcterms:modified xsi:type="dcterms:W3CDTF">2023-07-11T07:38:00Z</dcterms:modified>
</cp:coreProperties>
</file>