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02" w:rsidRPr="00F604D6" w:rsidRDefault="00457702" w:rsidP="00457702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57702" w:rsidRPr="00F604D6" w:rsidRDefault="00457702" w:rsidP="0045770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57702" w:rsidRPr="00F604D6" w:rsidRDefault="00457702" w:rsidP="0045770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57702" w:rsidRDefault="00457702" w:rsidP="0045770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57702" w:rsidRPr="00231C17" w:rsidRDefault="00457702" w:rsidP="00457702">
      <w:pPr>
        <w:spacing w:line="240" w:lineRule="auto"/>
        <w:jc w:val="center"/>
        <w:rPr>
          <w:b/>
          <w:szCs w:val="28"/>
        </w:rPr>
      </w:pPr>
      <w:r>
        <w:rPr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57702" w:rsidTr="00E8671E">
        <w:tc>
          <w:tcPr>
            <w:tcW w:w="9356" w:type="dxa"/>
          </w:tcPr>
          <w:p w:rsidR="00457702" w:rsidRDefault="00457702" w:rsidP="00457702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457702" w:rsidRDefault="00457702" w:rsidP="00457702">
      <w:pPr>
        <w:spacing w:line="40" w:lineRule="exact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457702" w:rsidRPr="00F57AED" w:rsidTr="00E8671E">
        <w:tc>
          <w:tcPr>
            <w:tcW w:w="5495" w:type="dxa"/>
          </w:tcPr>
          <w:p w:rsidR="00457702" w:rsidRPr="00121CB3" w:rsidRDefault="00D360B8" w:rsidP="009E26DB">
            <w:pPr>
              <w:spacing w:after="12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457702">
              <w:rPr>
                <w:b/>
                <w:szCs w:val="28"/>
              </w:rPr>
              <w:t>римес</w:t>
            </w:r>
            <w:r>
              <w:rPr>
                <w:b/>
                <w:szCs w:val="28"/>
              </w:rPr>
              <w:t>ь</w:t>
            </w:r>
            <w:r w:rsidR="00457702">
              <w:rPr>
                <w:b/>
                <w:szCs w:val="28"/>
              </w:rPr>
              <w:t xml:space="preserve"> кислорода в газах медицинских</w:t>
            </w:r>
          </w:p>
        </w:tc>
        <w:tc>
          <w:tcPr>
            <w:tcW w:w="283" w:type="dxa"/>
          </w:tcPr>
          <w:p w:rsidR="00457702" w:rsidRPr="00121CB3" w:rsidRDefault="00457702" w:rsidP="009E26DB">
            <w:pPr>
              <w:spacing w:after="120" w:line="240" w:lineRule="auto"/>
              <w:rPr>
                <w:b/>
                <w:szCs w:val="28"/>
              </w:rPr>
            </w:pPr>
          </w:p>
        </w:tc>
        <w:tc>
          <w:tcPr>
            <w:tcW w:w="3793" w:type="dxa"/>
          </w:tcPr>
          <w:p w:rsidR="00457702" w:rsidRPr="00F57AED" w:rsidRDefault="00457702" w:rsidP="009E26DB">
            <w:pPr>
              <w:spacing w:after="120" w:line="240" w:lineRule="auto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ОФС</w:t>
            </w:r>
            <w:r w:rsidR="00277218">
              <w:rPr>
                <w:b/>
                <w:szCs w:val="28"/>
              </w:rPr>
              <w:t>.1.2.2.2.0023</w:t>
            </w:r>
          </w:p>
        </w:tc>
      </w:tr>
      <w:tr w:rsidR="00457702" w:rsidRPr="00A70813" w:rsidTr="00E8671E">
        <w:tc>
          <w:tcPr>
            <w:tcW w:w="5495" w:type="dxa"/>
          </w:tcPr>
          <w:p w:rsidR="00457702" w:rsidRPr="00121CB3" w:rsidRDefault="00457702" w:rsidP="009E26DB">
            <w:pPr>
              <w:spacing w:after="12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457702" w:rsidRPr="00121CB3" w:rsidRDefault="00457702" w:rsidP="009E26DB">
            <w:pPr>
              <w:spacing w:after="12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457702" w:rsidRPr="00A70813" w:rsidRDefault="00457702" w:rsidP="009E26DB">
            <w:pPr>
              <w:spacing w:after="12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Вводится впервые</w:t>
            </w:r>
          </w:p>
        </w:tc>
      </w:tr>
    </w:tbl>
    <w:p w:rsidR="00457702" w:rsidRDefault="00457702" w:rsidP="00457702">
      <w:pPr>
        <w:spacing w:line="40" w:lineRule="exact"/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57702" w:rsidTr="00E8671E">
        <w:tc>
          <w:tcPr>
            <w:tcW w:w="9356" w:type="dxa"/>
          </w:tcPr>
          <w:p w:rsidR="00457702" w:rsidRDefault="00457702" w:rsidP="00457702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457702" w:rsidRDefault="00457702" w:rsidP="009E26DB">
      <w:pPr>
        <w:ind w:firstLine="709"/>
        <w:jc w:val="both"/>
        <w:rPr>
          <w:szCs w:val="28"/>
        </w:rPr>
      </w:pPr>
    </w:p>
    <w:p w:rsidR="00B323BC" w:rsidRDefault="00D360B8" w:rsidP="009E26DB">
      <w:pPr>
        <w:ind w:firstLine="709"/>
        <w:jc w:val="both"/>
      </w:pPr>
      <w:r>
        <w:t>Методы определения примеси</w:t>
      </w:r>
      <w:r w:rsidR="00CB0A14">
        <w:t xml:space="preserve"> кислорода в</w:t>
      </w:r>
      <w:r w:rsidR="00457702">
        <w:t xml:space="preserve"> </w:t>
      </w:r>
      <w:r w:rsidR="00CB0A14">
        <w:t>газах медицинских</w:t>
      </w:r>
      <w:r>
        <w:t xml:space="preserve"> основан</w:t>
      </w:r>
      <w:r w:rsidR="00C568ED">
        <w:t>ы</w:t>
      </w:r>
      <w:r>
        <w:t xml:space="preserve"> на использовании</w:t>
      </w:r>
      <w:r w:rsidR="00CB0A14">
        <w:t xml:space="preserve"> парамагнитного </w:t>
      </w:r>
      <w:bookmarkStart w:id="0" w:name="_GoBack"/>
      <w:bookmarkEnd w:id="0"/>
      <w:r>
        <w:t>метода (метод 1)</w:t>
      </w:r>
      <w:r w:rsidR="00C568ED">
        <w:t>,</w:t>
      </w:r>
      <w:r w:rsidR="0084615E">
        <w:t xml:space="preserve"> </w:t>
      </w:r>
      <w:r w:rsidR="00CB0A14">
        <w:t>электрохимического метод</w:t>
      </w:r>
      <w:r>
        <w:t>а (метод 2)</w:t>
      </w:r>
      <w:r w:rsidR="00CB0A14">
        <w:t>, индикаторных трубок</w:t>
      </w:r>
      <w:r w:rsidR="004B5EB3">
        <w:t xml:space="preserve"> </w:t>
      </w:r>
      <w:r>
        <w:t xml:space="preserve">(метод 3) </w:t>
      </w:r>
      <w:r w:rsidR="004B5EB3">
        <w:t>и метода газовой хроматографии</w:t>
      </w:r>
      <w:r>
        <w:t xml:space="preserve"> (метод 4)</w:t>
      </w:r>
      <w:r w:rsidR="00CB0A14">
        <w:t>.</w:t>
      </w:r>
      <w:r w:rsidR="0084615E">
        <w:t xml:space="preserve"> </w:t>
      </w:r>
    </w:p>
    <w:p w:rsidR="00B323BC" w:rsidRDefault="00D360B8" w:rsidP="000A5468">
      <w:pPr>
        <w:spacing w:before="240"/>
        <w:jc w:val="center"/>
        <w:rPr>
          <w:b/>
        </w:rPr>
      </w:pPr>
      <w:r>
        <w:rPr>
          <w:b/>
        </w:rPr>
        <w:t xml:space="preserve">Метод </w:t>
      </w:r>
      <w:r w:rsidR="00CB0A14">
        <w:rPr>
          <w:b/>
        </w:rPr>
        <w:t>1</w:t>
      </w:r>
    </w:p>
    <w:p w:rsidR="00B323BC" w:rsidRDefault="00CB0A14" w:rsidP="009E26DB">
      <w:pPr>
        <w:ind w:firstLine="709"/>
        <w:jc w:val="both"/>
      </w:pPr>
      <w:r>
        <w:t xml:space="preserve">Метод основан на способности кислорода проявлять </w:t>
      </w:r>
      <w:r>
        <w:rPr>
          <w:color w:val="2D2D2D"/>
        </w:rPr>
        <w:t>сильные парамагнитные свойства и «втягиваться»</w:t>
      </w:r>
      <w:r>
        <w:t xml:space="preserve"> в магнитное поле.</w:t>
      </w:r>
    </w:p>
    <w:p w:rsidR="00B323BC" w:rsidRDefault="00CB0A14" w:rsidP="009E26DB">
      <w:pPr>
        <w:ind w:firstLine="70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Все другие газы, за редким исключением, проявляют слабые парамагнитные свойства или диамагнитны. Это свойство кислорода может быть использовано для селективного анализа.</w:t>
      </w:r>
    </w:p>
    <w:p w:rsidR="00B323BC" w:rsidRDefault="00C411F2" w:rsidP="009E26DB">
      <w:pPr>
        <w:ind w:firstLine="70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Т</w:t>
      </w:r>
      <w:r w:rsidR="00CB0A14">
        <w:rPr>
          <w:color w:val="2D2D2D"/>
          <w:shd w:val="clear" w:color="auto" w:fill="FFFFFF"/>
        </w:rPr>
        <w:t>ри основные методики обнаружения кислорода:</w:t>
      </w:r>
    </w:p>
    <w:p w:rsidR="00B323BC" w:rsidRDefault="000A5468" w:rsidP="009E26DB">
      <w:pPr>
        <w:ind w:firstLine="70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-</w:t>
      </w:r>
      <w:r w:rsidR="00CB0A14">
        <w:rPr>
          <w:color w:val="2D2D2D"/>
          <w:shd w:val="clear" w:color="auto" w:fill="FFFFFF"/>
        </w:rPr>
        <w:t xml:space="preserve"> в первой методике элемент, представляющий собой гантелевидное тело на крутящейся подвеске, помещ</w:t>
      </w:r>
      <w:r>
        <w:rPr>
          <w:color w:val="2D2D2D"/>
          <w:shd w:val="clear" w:color="auto" w:fill="FFFFFF"/>
        </w:rPr>
        <w:t>ё</w:t>
      </w:r>
      <w:r w:rsidR="00CB0A14">
        <w:rPr>
          <w:color w:val="2D2D2D"/>
          <w:shd w:val="clear" w:color="auto" w:fill="FFFFFF"/>
        </w:rPr>
        <w:t>н в сильное магнитное поле. Молекулы кислорода втягиваются в магнитное поле на том участке, где напряж</w:t>
      </w:r>
      <w:r>
        <w:rPr>
          <w:color w:val="2D2D2D"/>
          <w:shd w:val="clear" w:color="auto" w:fill="FFFFFF"/>
        </w:rPr>
        <w:t>ё</w:t>
      </w:r>
      <w:r w:rsidR="00CB0A14">
        <w:rPr>
          <w:color w:val="2D2D2D"/>
          <w:shd w:val="clear" w:color="auto" w:fill="FFFFFF"/>
        </w:rPr>
        <w:t xml:space="preserve">нность его максимальна, при этом гантелевидное тело отклоняется от своего исходного (нулевого) положения. Сила, необходимая для возвращения гантелевидного тела в его нулевое положение, пропорциональна содержанию кислорода в смеси; </w:t>
      </w:r>
    </w:p>
    <w:p w:rsidR="00B323BC" w:rsidRDefault="000A5468" w:rsidP="009E26DB">
      <w:pPr>
        <w:ind w:firstLine="70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-</w:t>
      </w:r>
      <w:r w:rsidR="00CB0A14">
        <w:rPr>
          <w:color w:val="2D2D2D"/>
          <w:shd w:val="clear" w:color="auto" w:fill="FFFFFF"/>
        </w:rPr>
        <w:t xml:space="preserve"> во второй методике используется зависимость парамагнитного эффекта от температуры. Парамагнитный эффект обратно пропорционален </w:t>
      </w:r>
      <w:r w:rsidR="00CB0A14">
        <w:rPr>
          <w:color w:val="2D2D2D"/>
          <w:shd w:val="clear" w:color="auto" w:fill="FFFFFF"/>
        </w:rPr>
        <w:lastRenderedPageBreak/>
        <w:t>абсолютной температуре. При наличии в среде парамагнитного газа градиента температуры и градиента магнитного поля возникает термомагнитная конвекция кислорода. Скорость потока (магнитный ветер) является функцией содержания кислорода и может быть определена, например, на основе измерения теплопроводности;</w:t>
      </w:r>
    </w:p>
    <w:p w:rsidR="00B323BC" w:rsidRDefault="000A5468" w:rsidP="009E26DB">
      <w:pPr>
        <w:ind w:firstLine="70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-</w:t>
      </w:r>
      <w:r w:rsidR="00CB0A14">
        <w:rPr>
          <w:color w:val="2D2D2D"/>
          <w:shd w:val="clear" w:color="auto" w:fill="FFFFFF"/>
        </w:rPr>
        <w:t xml:space="preserve"> в третьей методике используют сильное поле, приложенное к трубке. Молекулы кислорода будут втягиваться в поле, создавая сопротивление потоку газа сравнения (обычно) проходящего через трубку. Снижение скорости потока газа-носителя в трубке является мерой содержания кислорода.</w:t>
      </w:r>
    </w:p>
    <w:p w:rsidR="00B323BC" w:rsidRDefault="00CB0A14" w:rsidP="009E26DB">
      <w:pPr>
        <w:ind w:firstLine="709"/>
        <w:jc w:val="both"/>
      </w:pPr>
      <w:r>
        <w:t>На вход автоматической измерительной системы подают исследуемый газ, не содержащий определяемого компонента. Исследуемый газ должен содержать равномерно перемешанную смесь с известным содержанием влияющего газа (</w:t>
      </w:r>
      <w:r>
        <w:rPr>
          <w:i/>
        </w:rPr>
        <w:t>y</w:t>
      </w:r>
      <w:r>
        <w:rPr>
          <w:i/>
          <w:vertAlign w:val="subscript"/>
        </w:rPr>
        <w:t>i</w:t>
      </w:r>
      <w:r>
        <w:t>), соответствующим ожидаемым значениям. Записывают результат измерения (</w:t>
      </w:r>
      <w:r>
        <w:rPr>
          <w:i/>
        </w:rPr>
        <w:t>χ</w:t>
      </w:r>
      <w:r>
        <w:rPr>
          <w:i/>
          <w:vertAlign w:val="subscript"/>
        </w:rPr>
        <w:t>s</w:t>
      </w:r>
      <w:r>
        <w:rPr>
          <w:vertAlign w:val="subscript"/>
        </w:rPr>
        <w:t>i</w:t>
      </w:r>
      <w:r>
        <w:t xml:space="preserve">), выраженный в единицах </w:t>
      </w:r>
      <w:r w:rsidR="00C835CD">
        <w:t>объём</w:t>
      </w:r>
      <w:r>
        <w:t>ной доли, и массовую концентрацию (</w:t>
      </w:r>
      <w:r>
        <w:rPr>
          <w:i/>
        </w:rPr>
        <w:t>p</w:t>
      </w:r>
      <w:r>
        <w:rPr>
          <w:vertAlign w:val="subscript"/>
        </w:rPr>
        <w:t>si</w:t>
      </w:r>
      <w:r>
        <w:t>) мешающего газа. Измерения следует проводить при нулевом содержании мешающего газа в испытуемом газе и при содержании, соответствующем 90</w:t>
      </w:r>
      <w:r w:rsidR="000A5468">
        <w:t> </w:t>
      </w:r>
      <w:r>
        <w:t>% верхнего предела диапазона измерений. Мешающие газы, такие как Н</w:t>
      </w:r>
      <w:r>
        <w:rPr>
          <w:vertAlign w:val="subscript"/>
        </w:rPr>
        <w:t>2</w:t>
      </w:r>
      <w:r>
        <w:t>О, СO</w:t>
      </w:r>
      <w:r w:rsidRPr="000A5468">
        <w:rPr>
          <w:vertAlign w:val="subscript"/>
        </w:rPr>
        <w:t>2</w:t>
      </w:r>
      <w:r>
        <w:t>, СО, SO</w:t>
      </w:r>
      <w:r>
        <w:rPr>
          <w:vertAlign w:val="subscript"/>
        </w:rPr>
        <w:t>2</w:t>
      </w:r>
      <w:r>
        <w:t>, NO</w:t>
      </w:r>
      <w:r>
        <w:rPr>
          <w:vertAlign w:val="subscript"/>
        </w:rPr>
        <w:t>x</w:t>
      </w:r>
      <w:r>
        <w:t>, не должны оказывать влияния более 4</w:t>
      </w:r>
      <w:r w:rsidR="000A5468">
        <w:t> </w:t>
      </w:r>
      <w:r>
        <w:t xml:space="preserve">% диапазона измерений. Если зависимость результата измерений от массовой концентрации мешающего вещества линейна, то эффект влияния этого вещества может быть задан как </w:t>
      </w:r>
      <w:r>
        <w:rPr>
          <w:noProof/>
        </w:rPr>
        <w:drawing>
          <wp:inline distT="0" distB="0" distL="0" distR="0" wp14:anchorId="1F70ADF3" wp14:editId="40CDF52E">
            <wp:extent cx="571500" cy="21780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Если зависимость результата измерений от массовой концентрации мешающего вещества нелинейна, то эффект влияния этого вещества от массовой концентрации определяют для нескольких различных значений </w:t>
      </w:r>
      <w:r>
        <w:rPr>
          <w:i/>
        </w:rPr>
        <w:t>y</w:t>
      </w:r>
      <w:r>
        <w:rPr>
          <w:i/>
          <w:vertAlign w:val="subscript"/>
        </w:rPr>
        <w:t>i</w:t>
      </w:r>
      <w:r>
        <w:rPr>
          <w:i/>
        </w:rPr>
        <w:t xml:space="preserve">. </w:t>
      </w:r>
      <w:r>
        <w:t xml:space="preserve">Для установления максимально возможного суммарного влияния нескольких мешающих веществ определяют эффект влияния каждого мешающего вещества отдельно, а также общий эффект влияния смеси всех мешающих веществ. Эффект влияния </w:t>
      </w:r>
      <w:r>
        <w:rPr>
          <w:i/>
        </w:rPr>
        <w:t>E</w:t>
      </w:r>
      <w:r w:rsidRPr="00E9544D">
        <w:rPr>
          <w:i/>
          <w:vertAlign w:val="subscript"/>
        </w:rPr>
        <w:t>i</w:t>
      </w:r>
      <w:r>
        <w:t xml:space="preserve"> для типичной смеси мешающих веществ </w:t>
      </w:r>
      <w:r>
        <w:lastRenderedPageBreak/>
        <w:t xml:space="preserve">вычисляют по полученным эффектам </w:t>
      </w:r>
      <w:r>
        <w:rPr>
          <w:noProof/>
        </w:rPr>
        <w:drawing>
          <wp:inline distT="0" distB="0" distL="0" distR="0" wp14:anchorId="3843BE80" wp14:editId="19F017B5">
            <wp:extent cx="571500" cy="247650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индивидуальных мешающих веществ </w:t>
      </w:r>
      <w:r>
        <w:rPr>
          <w:i/>
        </w:rPr>
        <w:t>y</w:t>
      </w:r>
      <w:r>
        <w:rPr>
          <w:i/>
          <w:vertAlign w:val="subscript"/>
        </w:rPr>
        <w:t xml:space="preserve">i </w:t>
      </w:r>
      <w:r>
        <w:t xml:space="preserve">по формуле: </w:t>
      </w:r>
    </w:p>
    <w:p w:rsidR="00E9544D" w:rsidRDefault="00277218" w:rsidP="009E26DB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FS</m:t>
                  </m:r>
                </m:sub>
              </m:sSub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si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mi</m:t>
                  </m:r>
                </m:sub>
              </m:sSub>
              <m:r>
                <w:rPr>
                  <w:rFonts w:ascii="Cambria Math" w:hAnsi="Cambria Math"/>
                </w:rPr>
                <m:t>∙100,</m:t>
              </m:r>
            </m:e>
          </m:nary>
        </m:oMath>
      </m:oMathPara>
    </w:p>
    <w:p w:rsidR="00B323BC" w:rsidRDefault="009E26DB" w:rsidP="009E26DB">
      <w:pPr>
        <w:ind w:firstLine="709"/>
        <w:jc w:val="both"/>
      </w:pPr>
      <w:r>
        <w:t xml:space="preserve">где: </w:t>
      </w:r>
      <w:r w:rsidR="00C411F2">
        <w:rPr>
          <w:i/>
        </w:rPr>
        <w:t>ρ</w:t>
      </w:r>
      <w:r w:rsidR="00CB0A14">
        <w:rPr>
          <w:i/>
          <w:vertAlign w:val="subscript"/>
        </w:rPr>
        <w:t>mi</w:t>
      </w:r>
      <w:r w:rsidR="005F58B4">
        <w:rPr>
          <w:i/>
          <w:vertAlign w:val="subscript"/>
        </w:rPr>
        <w:t xml:space="preserve"> </w:t>
      </w:r>
      <w:r w:rsidR="005F58B4" w:rsidRPr="005F58B4">
        <w:rPr>
          <w:i/>
        </w:rPr>
        <w:t>–</w:t>
      </w:r>
      <w:r w:rsidR="00CB0A14">
        <w:t xml:space="preserve"> массовая концентрация мешающего вещества в смеси;</w:t>
      </w:r>
    </w:p>
    <w:p w:rsidR="00B323BC" w:rsidRDefault="005F58B4" w:rsidP="009E26DB">
      <w:pPr>
        <w:ind w:firstLine="709"/>
        <w:jc w:val="both"/>
      </w:pPr>
      <w:r>
        <w:rPr>
          <w:i/>
        </w:rPr>
        <w:t>ρ</w:t>
      </w:r>
      <w:r w:rsidR="00CB0A14">
        <w:rPr>
          <w:i/>
          <w:vertAlign w:val="subscript"/>
        </w:rPr>
        <w:t>FS</w:t>
      </w:r>
      <w:r w:rsidR="00CB0A14">
        <w:t xml:space="preserve"> – верхнее значение диапазона измерения массовой концентрации;</w:t>
      </w:r>
    </w:p>
    <w:p w:rsidR="00B323BC" w:rsidRDefault="00CB0A14" w:rsidP="009E26DB">
      <w:pPr>
        <w:ind w:firstLine="709"/>
        <w:jc w:val="both"/>
      </w:pPr>
      <w:r>
        <w:rPr>
          <w:i/>
        </w:rPr>
        <w:t>п –</w:t>
      </w:r>
      <w:r>
        <w:t xml:space="preserve"> число мешающих веществ.</w:t>
      </w:r>
    </w:p>
    <w:p w:rsidR="00B323BC" w:rsidRDefault="00CB0A14" w:rsidP="009E26DB">
      <w:pPr>
        <w:ind w:firstLine="709"/>
        <w:jc w:val="both"/>
      </w:pPr>
      <w:r>
        <w:t>Сравнивают вычисленное значение с результатом измерения массовой концентрации смеси мешающих веществ. Если эти значения различаются не более чем на 20</w:t>
      </w:r>
      <w:r w:rsidR="004B5EB3">
        <w:t> </w:t>
      </w:r>
      <w:r>
        <w:t>%, то эффектом комбинирования пренебрегают и вычисляют эффекты влияния для других смесей этого же состава.</w:t>
      </w:r>
      <w:r w:rsidR="005E7A79">
        <w:t xml:space="preserve"> </w:t>
      </w:r>
    </w:p>
    <w:p w:rsidR="005E7A79" w:rsidRDefault="005E7A79" w:rsidP="009E26DB">
      <w:pPr>
        <w:ind w:firstLine="70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Парамагнитный метод анализа предназначен для использования в диапазоне значений объёмной доли кислорода вплоть до 25 %.</w:t>
      </w:r>
    </w:p>
    <w:p w:rsidR="00B323BC" w:rsidRDefault="00D360B8" w:rsidP="00C411F2">
      <w:pPr>
        <w:keepNext/>
        <w:spacing w:before="240"/>
        <w:jc w:val="center"/>
        <w:rPr>
          <w:b/>
        </w:rPr>
      </w:pPr>
      <w:r>
        <w:rPr>
          <w:b/>
        </w:rPr>
        <w:t xml:space="preserve">Метод </w:t>
      </w:r>
      <w:r w:rsidR="00CB0A14">
        <w:rPr>
          <w:b/>
        </w:rPr>
        <w:t>2</w:t>
      </w:r>
    </w:p>
    <w:p w:rsidR="00B323BC" w:rsidRDefault="00CB0A14" w:rsidP="009E26DB">
      <w:pPr>
        <w:ind w:firstLine="709"/>
        <w:jc w:val="both"/>
      </w:pPr>
      <w:r>
        <w:t>Метод количественного определения кислорода основан на измерении электрического тока, который вырабатывается при окислительно-восстановительных реакциях с участием кислорода на электродах электрохимического чувствительного элемента и прямо пропорционален количеству определяемого кислорода</w:t>
      </w:r>
      <w:r w:rsidR="000A5468">
        <w:t>.</w:t>
      </w:r>
      <w:r>
        <w:t xml:space="preserve"> Электрохимический метод измерения молярной доли кислорода является косвенным методом, при котором первично измеряемая плотность электрического тока, возникающего при окислительно-восстановительных реакциях с участием кислорода в качестве окислителя на электродах электрохимического чувствительного элемента, преобразуется в соответствующее значение молярной доли кислорода. На катоде протекает реакция (1), а на аноде – реакция (2):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243"/>
        <w:gridCol w:w="3166"/>
      </w:tblGrid>
      <w:tr w:rsidR="000A5468" w:rsidTr="000A5468">
        <w:tc>
          <w:tcPr>
            <w:tcW w:w="3191" w:type="dxa"/>
          </w:tcPr>
          <w:p w:rsidR="000A5468" w:rsidRDefault="000A5468">
            <w:pPr>
              <w:jc w:val="both"/>
            </w:pPr>
          </w:p>
        </w:tc>
        <w:tc>
          <w:tcPr>
            <w:tcW w:w="3191" w:type="dxa"/>
          </w:tcPr>
          <w:p w:rsidR="000A5468" w:rsidRDefault="000A5468">
            <w:pPr>
              <w:jc w:val="both"/>
            </w:pPr>
            <w:r w:rsidRPr="000A5468">
              <w:rPr>
                <w:noProof/>
              </w:rPr>
              <w:drawing>
                <wp:inline distT="0" distB="0" distL="0" distR="0">
                  <wp:extent cx="1922145" cy="351155"/>
                  <wp:effectExtent l="0" t="0" r="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A5468" w:rsidRDefault="000A5468" w:rsidP="000A5468">
            <w:pPr>
              <w:spacing w:before="120"/>
              <w:jc w:val="right"/>
            </w:pPr>
            <w:r>
              <w:t>(1)</w:t>
            </w:r>
          </w:p>
        </w:tc>
      </w:tr>
      <w:tr w:rsidR="000A5468" w:rsidTr="000A5468">
        <w:tc>
          <w:tcPr>
            <w:tcW w:w="3191" w:type="dxa"/>
          </w:tcPr>
          <w:p w:rsidR="000A5468" w:rsidRDefault="000A5468">
            <w:pPr>
              <w:jc w:val="both"/>
            </w:pPr>
          </w:p>
        </w:tc>
        <w:tc>
          <w:tcPr>
            <w:tcW w:w="3191" w:type="dxa"/>
          </w:tcPr>
          <w:p w:rsidR="000A5468" w:rsidRDefault="000A5468">
            <w:pPr>
              <w:jc w:val="both"/>
            </w:pPr>
            <w:r w:rsidRPr="000A5468">
              <w:rPr>
                <w:noProof/>
              </w:rPr>
              <w:drawing>
                <wp:inline distT="0" distB="0" distL="0" distR="0">
                  <wp:extent cx="1876425" cy="363220"/>
                  <wp:effectExtent l="0" t="0" r="0" b="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A5468" w:rsidRDefault="000A5468" w:rsidP="000A5468">
            <w:pPr>
              <w:spacing w:before="120"/>
              <w:jc w:val="right"/>
            </w:pPr>
            <w:r>
              <w:t>(2)</w:t>
            </w:r>
          </w:p>
        </w:tc>
      </w:tr>
    </w:tbl>
    <w:p w:rsidR="00B323BC" w:rsidRDefault="00CB0A14" w:rsidP="000A5468">
      <w:pPr>
        <w:spacing w:before="120"/>
        <w:ind w:firstLine="567"/>
        <w:jc w:val="both"/>
      </w:pPr>
      <w:r>
        <w:lastRenderedPageBreak/>
        <w:t>Измерение плотности электрического тока проводят при постоянно прикладываемом электрическом потенциале. При отсутствии кислорода ток не генерируется.</w:t>
      </w:r>
    </w:p>
    <w:p w:rsidR="00B323BC" w:rsidRDefault="00CB0A14">
      <w:pPr>
        <w:ind w:firstLine="567"/>
        <w:jc w:val="both"/>
      </w:pPr>
      <w:r>
        <w:t>Схема протекания электрохимической реакции в электрохимической ячейке представлена на рис. 1.</w:t>
      </w:r>
    </w:p>
    <w:p w:rsidR="00B323BC" w:rsidRDefault="00CB0A14" w:rsidP="009E26DB">
      <w:pPr>
        <w:jc w:val="center"/>
      </w:pPr>
      <w:r>
        <w:rPr>
          <w:noProof/>
        </w:rPr>
        <w:drawing>
          <wp:inline distT="0" distB="0" distL="0" distR="0">
            <wp:extent cx="4086225" cy="1762125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3BC" w:rsidRDefault="00CB0A14" w:rsidP="009E26DB">
      <w:pPr>
        <w:spacing w:line="240" w:lineRule="auto"/>
        <w:jc w:val="center"/>
      </w:pPr>
      <w:r>
        <w:t>Рисунок 1 – Схема электрохимической ячейки</w:t>
      </w:r>
    </w:p>
    <w:p w:rsidR="009E26DB" w:rsidRDefault="009E26DB" w:rsidP="009E26DB">
      <w:pPr>
        <w:spacing w:line="240" w:lineRule="auto"/>
        <w:jc w:val="center"/>
      </w:pPr>
    </w:p>
    <w:p w:rsidR="00B323BC" w:rsidRDefault="00CB0A14" w:rsidP="009E26DB">
      <w:pPr>
        <w:spacing w:before="240"/>
        <w:ind w:firstLine="709"/>
        <w:jc w:val="both"/>
      </w:pPr>
      <w:r>
        <w:t xml:space="preserve">Кислород вступает в химическую реакцию с электролитом, заполняющим ячейку. В результате в растворе возникают заряженные ионы, между электродами начинает протекать электрический ток, пропорциональный концентрации анализируемого компонента в пробе. </w:t>
      </w:r>
    </w:p>
    <w:p w:rsidR="00B323BC" w:rsidRDefault="00CB0A14" w:rsidP="009E26DB">
      <w:pPr>
        <w:ind w:firstLine="709"/>
        <w:jc w:val="both"/>
      </w:pPr>
      <w:r>
        <w:t>Электрический датчик обрабатывает возникающий электрический сигнал.</w:t>
      </w:r>
    </w:p>
    <w:p w:rsidR="00B323BC" w:rsidRDefault="00CB0A14" w:rsidP="009E26DB">
      <w:pPr>
        <w:ind w:firstLine="709"/>
        <w:jc w:val="both"/>
      </w:pPr>
      <w:r>
        <w:t>Газ пропускают через камеру, пока не будут достигнуты стабильные показатели прибора. Прибор в автоматическом режиме определяет долю содержания кислорода. Межкалибровочный интервал соблюдают согласно документации производителя прибора. Фиксируют показатели прибора. Необходимо следить, чтобы в течение всего периода работы прибора температура была постоянной. Для калибровки нуля прибора используют азот повышенной чистоты (с объ</w:t>
      </w:r>
      <w:r w:rsidR="000A5468">
        <w:t>ё</w:t>
      </w:r>
      <w:r>
        <w:t>мной долей азота не менее 99,999 и объ</w:t>
      </w:r>
      <w:r w:rsidR="000A5468">
        <w:t>ё</w:t>
      </w:r>
      <w:r>
        <w:t xml:space="preserve">мной долей кислорода не более 0,0005). Для линеаризации и калибровки шкалы используют поверочные газовые смеси (эталонные газы) с </w:t>
      </w:r>
      <w:r w:rsidR="00C835CD">
        <w:t xml:space="preserve">известным </w:t>
      </w:r>
      <w:r>
        <w:t>содержанием кислорода.</w:t>
      </w:r>
      <w:r w:rsidR="00635416">
        <w:t xml:space="preserve"> Калибровка прибора проводится в соответствии с инструкцией производителя.</w:t>
      </w:r>
    </w:p>
    <w:p w:rsidR="00B323BC" w:rsidRDefault="00D360B8" w:rsidP="009E26DB">
      <w:pPr>
        <w:keepNext/>
        <w:spacing w:before="240"/>
        <w:jc w:val="center"/>
        <w:rPr>
          <w:b/>
        </w:rPr>
      </w:pPr>
      <w:r>
        <w:rPr>
          <w:b/>
        </w:rPr>
        <w:lastRenderedPageBreak/>
        <w:t xml:space="preserve">Метод </w:t>
      </w:r>
      <w:r w:rsidR="00CB0A14">
        <w:rPr>
          <w:b/>
        </w:rPr>
        <w:t>3</w:t>
      </w:r>
    </w:p>
    <w:p w:rsidR="00B323BC" w:rsidRDefault="00CB0A14" w:rsidP="000A5468">
      <w:pPr>
        <w:ind w:firstLine="709"/>
        <w:jc w:val="both"/>
      </w:pPr>
      <w:r>
        <w:t xml:space="preserve">Метод основан на изменении окраски массы-наполнителя индикаторных трубок при взаимодействии с определяемым компонентом в анализируемой пробе и измерении длины прореагировавшего слоя. </w:t>
      </w:r>
    </w:p>
    <w:p w:rsidR="00B323BC" w:rsidRDefault="00CB0A14">
      <w:pPr>
        <w:ind w:firstLine="709"/>
        <w:jc w:val="both"/>
      </w:pPr>
      <w:r>
        <w:t>Длина слоя, изменившего окраску, является функцией и мерой содержания определяемого компонента и объ</w:t>
      </w:r>
      <w:r w:rsidR="000A5468">
        <w:t>ё</w:t>
      </w:r>
      <w:r>
        <w:t xml:space="preserve">ма отобранной на анализ пробы. Значение содержания определяемого компонента в анализируемой пробе определяется по шкале, нанесенной на индикаторную трубку. </w:t>
      </w:r>
    </w:p>
    <w:p w:rsidR="00B323BC" w:rsidRDefault="00CB0A14">
      <w:pPr>
        <w:ind w:firstLine="709"/>
        <w:jc w:val="both"/>
      </w:pPr>
      <w:r>
        <w:t>Испытания проводят путем пропускания требуемого объ</w:t>
      </w:r>
      <w:r w:rsidR="000A5468">
        <w:t>ё</w:t>
      </w:r>
      <w:r>
        <w:t xml:space="preserve">ма газа через индикаторную трубку. Длина окрашенного слоя или интенсивность изменения цвета на градуировочной шкале являются функцией и мерой массовой концентрации определяемого компонента. Проверка индикаторных трубок проводится в соответствии с инструкциями изготовителя. </w:t>
      </w:r>
    </w:p>
    <w:p w:rsidR="00B323BC" w:rsidRDefault="00CB0A14">
      <w:pPr>
        <w:ind w:firstLine="709"/>
        <w:jc w:val="both"/>
      </w:pPr>
      <w:r w:rsidRPr="00C835CD">
        <w:rPr>
          <w:i/>
        </w:rPr>
        <w:t>Подготовка к измерению.</w:t>
      </w:r>
      <w:r>
        <w:t xml:space="preserve"> Проводится согласно инструкциям изготовителя или следующим образом. Устройство для подачи газа подсоединяют к регулятору давления с игольчатым клапаном. Соединяют гибкий шланг трубки с Т-образным участком клапана и продувают систему (рисунок 2). </w:t>
      </w:r>
    </w:p>
    <w:p w:rsidR="00B323BC" w:rsidRDefault="00CB0A14" w:rsidP="009E26DB">
      <w:pPr>
        <w:jc w:val="center"/>
      </w:pPr>
      <w:r>
        <w:rPr>
          <w:noProof/>
        </w:rPr>
        <w:drawing>
          <wp:inline distT="0" distB="0" distL="0" distR="0">
            <wp:extent cx="4276725" cy="219075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3BC" w:rsidRPr="00402B9F" w:rsidRDefault="00CB0A14">
      <w:pPr>
        <w:spacing w:line="240" w:lineRule="auto"/>
        <w:jc w:val="center"/>
        <w:rPr>
          <w:szCs w:val="28"/>
        </w:rPr>
      </w:pPr>
      <w:r w:rsidRPr="00402B9F">
        <w:rPr>
          <w:szCs w:val="28"/>
        </w:rPr>
        <w:t xml:space="preserve">Рисунок 2 – Схема действия индикаторных трубок </w:t>
      </w:r>
    </w:p>
    <w:p w:rsidR="00C411F2" w:rsidRDefault="00CB0A14" w:rsidP="009E26DB">
      <w:pPr>
        <w:spacing w:line="240" w:lineRule="auto"/>
        <w:jc w:val="center"/>
        <w:rPr>
          <w:sz w:val="24"/>
        </w:rPr>
      </w:pPr>
      <w:r>
        <w:rPr>
          <w:sz w:val="24"/>
        </w:rPr>
        <w:t>1</w:t>
      </w:r>
      <w:r w:rsidR="002D6A35">
        <w:rPr>
          <w:sz w:val="24"/>
        </w:rPr>
        <w:t>–</w:t>
      </w:r>
      <w:r>
        <w:rPr>
          <w:sz w:val="24"/>
        </w:rPr>
        <w:t xml:space="preserve"> подача газа; 2</w:t>
      </w:r>
      <w:r w:rsidR="002D6A35">
        <w:rPr>
          <w:sz w:val="24"/>
        </w:rPr>
        <w:t xml:space="preserve"> –</w:t>
      </w:r>
      <w:r>
        <w:rPr>
          <w:sz w:val="24"/>
        </w:rPr>
        <w:t xml:space="preserve"> регулятор давления; 3</w:t>
      </w:r>
      <w:r w:rsidR="002D6A35">
        <w:rPr>
          <w:sz w:val="24"/>
        </w:rPr>
        <w:t xml:space="preserve"> –</w:t>
      </w:r>
      <w:r>
        <w:rPr>
          <w:sz w:val="24"/>
        </w:rPr>
        <w:t xml:space="preserve"> игольчатый клапан; 4</w:t>
      </w:r>
      <w:r w:rsidR="002D6A35">
        <w:rPr>
          <w:sz w:val="24"/>
        </w:rPr>
        <w:t xml:space="preserve"> –</w:t>
      </w:r>
      <w:r>
        <w:rPr>
          <w:sz w:val="24"/>
        </w:rPr>
        <w:t xml:space="preserve"> T-образный участок;</w:t>
      </w:r>
      <w:r w:rsidR="00C411F2">
        <w:rPr>
          <w:sz w:val="24"/>
        </w:rPr>
        <w:br/>
      </w:r>
      <w:r>
        <w:rPr>
          <w:sz w:val="24"/>
        </w:rPr>
        <w:t xml:space="preserve"> 5</w:t>
      </w:r>
      <w:r w:rsidR="002D6A35">
        <w:rPr>
          <w:sz w:val="24"/>
        </w:rPr>
        <w:t xml:space="preserve"> ––</w:t>
      </w:r>
      <w:r>
        <w:rPr>
          <w:sz w:val="24"/>
        </w:rPr>
        <w:t xml:space="preserve"> индикаторная трубка; 6</w:t>
      </w:r>
      <w:r w:rsidR="002D6A35">
        <w:rPr>
          <w:sz w:val="24"/>
        </w:rPr>
        <w:t xml:space="preserve"> –</w:t>
      </w:r>
      <w:r>
        <w:rPr>
          <w:sz w:val="24"/>
        </w:rPr>
        <w:t xml:space="preserve"> насос для индикаторной трубки; </w:t>
      </w:r>
    </w:p>
    <w:p w:rsidR="00B323BC" w:rsidRDefault="00CB0A14" w:rsidP="009E26DB">
      <w:pPr>
        <w:spacing w:line="240" w:lineRule="auto"/>
        <w:jc w:val="center"/>
        <w:rPr>
          <w:sz w:val="24"/>
        </w:rPr>
      </w:pPr>
      <w:r>
        <w:rPr>
          <w:sz w:val="24"/>
        </w:rPr>
        <w:t>7</w:t>
      </w:r>
      <w:r w:rsidR="002D6A35">
        <w:rPr>
          <w:sz w:val="24"/>
        </w:rPr>
        <w:t xml:space="preserve"> –</w:t>
      </w:r>
      <w:r>
        <w:rPr>
          <w:sz w:val="24"/>
        </w:rPr>
        <w:t xml:space="preserve"> открытый конец для выхода газа в атмосферу</w:t>
      </w:r>
      <w:r w:rsidR="009E26DB">
        <w:rPr>
          <w:sz w:val="24"/>
        </w:rPr>
        <w:t>.</w:t>
      </w:r>
    </w:p>
    <w:p w:rsidR="009E26DB" w:rsidRDefault="009E26DB" w:rsidP="009E26DB">
      <w:pPr>
        <w:spacing w:line="240" w:lineRule="auto"/>
        <w:jc w:val="center"/>
        <w:rPr>
          <w:sz w:val="24"/>
        </w:rPr>
      </w:pPr>
    </w:p>
    <w:p w:rsidR="00B323BC" w:rsidRDefault="00CB0A14" w:rsidP="009E26DB">
      <w:pPr>
        <w:ind w:firstLine="709"/>
        <w:jc w:val="both"/>
      </w:pPr>
      <w:r>
        <w:t>Открытый конец индикаторный трубки присоединяют к короткому концу шланга и регулируют насосом объ</w:t>
      </w:r>
      <w:r w:rsidR="002D6A35">
        <w:t>ё</w:t>
      </w:r>
      <w:r>
        <w:t xml:space="preserve">м анализируемого газа, </w:t>
      </w:r>
      <w:r>
        <w:lastRenderedPageBreak/>
        <w:t xml:space="preserve">проходящего через трубку. Записывают значения, соответствующие длине окрашенного слоя или интенсивности цвета на градуировочной шкале. </w:t>
      </w:r>
    </w:p>
    <w:p w:rsidR="00B323BC" w:rsidRDefault="00CB0A14" w:rsidP="009E26DB">
      <w:pPr>
        <w:ind w:firstLine="709"/>
        <w:jc w:val="both"/>
      </w:pPr>
      <w:r>
        <w:t xml:space="preserve">При отрицательном результате анализа индикаторная трубка должна быть проверена с помощью калибровочного газа, содержащего соответствующую примесь. </w:t>
      </w:r>
    </w:p>
    <w:p w:rsidR="00B323BC" w:rsidRDefault="00CB0A14" w:rsidP="009E26DB">
      <w:pPr>
        <w:ind w:firstLine="709"/>
        <w:jc w:val="both"/>
      </w:pPr>
      <w:r>
        <w:t>Диапазон измерений от 1 до 21</w:t>
      </w:r>
      <w:r w:rsidR="002D6A35">
        <w:t> </w:t>
      </w:r>
      <w:r>
        <w:t>% с относительным стандартным отклонением ±25 %.</w:t>
      </w:r>
    </w:p>
    <w:p w:rsidR="00647C0C" w:rsidRDefault="00CB0A14" w:rsidP="009E26DB">
      <w:pPr>
        <w:ind w:firstLine="709"/>
        <w:jc w:val="both"/>
      </w:pPr>
      <w:r>
        <w:t>Метод применим для оценки качества газа в нестационарных, полевых условиях.</w:t>
      </w:r>
    </w:p>
    <w:p w:rsidR="00647C0C" w:rsidRPr="00647C0C" w:rsidRDefault="00D360B8" w:rsidP="00C411F2">
      <w:pPr>
        <w:keepNext/>
        <w:spacing w:before="240"/>
        <w:jc w:val="center"/>
        <w:rPr>
          <w:b/>
          <w:szCs w:val="28"/>
        </w:rPr>
      </w:pPr>
      <w:r>
        <w:rPr>
          <w:b/>
          <w:iCs/>
          <w:szCs w:val="28"/>
        </w:rPr>
        <w:t xml:space="preserve">Метод </w:t>
      </w:r>
      <w:r w:rsidR="00647C0C" w:rsidRPr="00647C0C">
        <w:rPr>
          <w:b/>
          <w:iCs/>
          <w:szCs w:val="28"/>
        </w:rPr>
        <w:t>4</w:t>
      </w:r>
    </w:p>
    <w:p w:rsidR="00647C0C" w:rsidRPr="00647C0C" w:rsidRDefault="00647C0C" w:rsidP="00647C0C">
      <w:pPr>
        <w:widowControl w:val="0"/>
        <w:ind w:firstLine="709"/>
        <w:jc w:val="both"/>
        <w:rPr>
          <w:iCs/>
          <w:szCs w:val="28"/>
        </w:rPr>
      </w:pPr>
      <w:r w:rsidRPr="00647C0C">
        <w:rPr>
          <w:iCs/>
          <w:szCs w:val="28"/>
        </w:rPr>
        <w:t>Газ-носитель из баллона под давлением проходит через устройство ввода пробы, колонку, а затем через детектор. Хроматографирование проводится при постоянной температуре или в соответствии с заданной температурной программой.</w:t>
      </w:r>
    </w:p>
    <w:p w:rsidR="00647C0C" w:rsidRPr="00647C0C" w:rsidRDefault="00647C0C" w:rsidP="00647C0C">
      <w:pPr>
        <w:widowControl w:val="0"/>
        <w:ind w:firstLine="709"/>
        <w:jc w:val="both"/>
        <w:rPr>
          <w:iCs/>
          <w:szCs w:val="28"/>
        </w:rPr>
      </w:pPr>
      <w:r w:rsidRPr="00647C0C">
        <w:rPr>
          <w:iCs/>
          <w:szCs w:val="28"/>
        </w:rPr>
        <w:t xml:space="preserve">Анализ проводится в соответствии с установленными параметрами хроматографической системы. В описании метода необходимо указать: тип детектора, тип колонки (насадочная или капиллярная), материал и геометрические параметры колонки, сорбент (тип твёрдого носителя и его характеристики, неподвижная жидкая фаза и её количество), метод введения пробы и его параметры, температура колонки и детектора, газ-носитель и его расход. </w:t>
      </w:r>
    </w:p>
    <w:p w:rsidR="00647C0C" w:rsidRPr="00647C0C" w:rsidRDefault="00647C0C" w:rsidP="004B5EB3">
      <w:pPr>
        <w:ind w:firstLine="709"/>
        <w:jc w:val="both"/>
        <w:rPr>
          <w:i/>
          <w:iCs/>
          <w:szCs w:val="28"/>
        </w:rPr>
      </w:pPr>
      <w:r w:rsidRPr="00647C0C">
        <w:rPr>
          <w:iCs/>
          <w:szCs w:val="28"/>
        </w:rPr>
        <w:t>Оценка хроматографического разделения проводится на основании теста пригодности хроматографической системы, приведённого в фармакопейной статье.</w:t>
      </w:r>
    </w:p>
    <w:sectPr w:rsidR="00647C0C" w:rsidRPr="00647C0C" w:rsidSect="000A5468">
      <w:footerReference w:type="default" r:id="rId12"/>
      <w:type w:val="continuous"/>
      <w:pgSz w:w="11907" w:h="16839"/>
      <w:pgMar w:top="1133" w:right="850" w:bottom="1133" w:left="1700" w:header="567" w:footer="567" w:gutter="0"/>
      <w:cols w:space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1E" w:rsidRDefault="00E8671E" w:rsidP="00457702">
      <w:pPr>
        <w:spacing w:line="240" w:lineRule="auto"/>
      </w:pPr>
      <w:r>
        <w:separator/>
      </w:r>
    </w:p>
  </w:endnote>
  <w:endnote w:type="continuationSeparator" w:id="0">
    <w:p w:rsidR="00E8671E" w:rsidRDefault="00E8671E" w:rsidP="00457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6352486"/>
      <w:docPartObj>
        <w:docPartGallery w:val="Page Numbers (Bottom of Page)"/>
        <w:docPartUnique/>
      </w:docPartObj>
    </w:sdtPr>
    <w:sdtEndPr/>
    <w:sdtContent>
      <w:p w:rsidR="00E8671E" w:rsidRDefault="00E8671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1E" w:rsidRDefault="00E8671E" w:rsidP="00457702">
      <w:pPr>
        <w:spacing w:line="240" w:lineRule="auto"/>
      </w:pPr>
      <w:r>
        <w:separator/>
      </w:r>
    </w:p>
  </w:footnote>
  <w:footnote w:type="continuationSeparator" w:id="0">
    <w:p w:rsidR="00E8671E" w:rsidRDefault="00E8671E" w:rsidP="004577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9FA"/>
    <w:multiLevelType w:val="multilevel"/>
    <w:tmpl w:val="F774B72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151C169D"/>
    <w:multiLevelType w:val="hybridMultilevel"/>
    <w:tmpl w:val="4912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44C7E"/>
    <w:multiLevelType w:val="multilevel"/>
    <w:tmpl w:val="A9E6866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1A5A1B8D"/>
    <w:multiLevelType w:val="multilevel"/>
    <w:tmpl w:val="718472F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29584DAA"/>
    <w:multiLevelType w:val="multilevel"/>
    <w:tmpl w:val="82FED3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2CFB595F"/>
    <w:multiLevelType w:val="multilevel"/>
    <w:tmpl w:val="90AEE2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42E464E1"/>
    <w:multiLevelType w:val="multilevel"/>
    <w:tmpl w:val="C5F6233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4617207F"/>
    <w:multiLevelType w:val="multilevel"/>
    <w:tmpl w:val="BC84B8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>
    <w:nsid w:val="4CE81599"/>
    <w:multiLevelType w:val="multilevel"/>
    <w:tmpl w:val="60925E6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>
    <w:nsid w:val="4FF35D69"/>
    <w:multiLevelType w:val="multilevel"/>
    <w:tmpl w:val="7F30C0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53D02844"/>
    <w:multiLevelType w:val="multilevel"/>
    <w:tmpl w:val="C794011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>
    <w:nsid w:val="57CA1E92"/>
    <w:multiLevelType w:val="multilevel"/>
    <w:tmpl w:val="087AA9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61E01A40"/>
    <w:multiLevelType w:val="multilevel"/>
    <w:tmpl w:val="9A3427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6C460854"/>
    <w:multiLevelType w:val="multilevel"/>
    <w:tmpl w:val="412C811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4">
    <w:nsid w:val="765A3642"/>
    <w:multiLevelType w:val="multilevel"/>
    <w:tmpl w:val="A5924F4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cumentProtection w:edit="trackedChanges" w:enforcement="0"/>
  <w:defaultTabStop w:val="720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3BC"/>
    <w:rsid w:val="00036657"/>
    <w:rsid w:val="000A5468"/>
    <w:rsid w:val="000A5579"/>
    <w:rsid w:val="00220082"/>
    <w:rsid w:val="00277218"/>
    <w:rsid w:val="002D6A35"/>
    <w:rsid w:val="0033238F"/>
    <w:rsid w:val="00402B9F"/>
    <w:rsid w:val="00457702"/>
    <w:rsid w:val="004B5EB3"/>
    <w:rsid w:val="004C2CA5"/>
    <w:rsid w:val="004C75F4"/>
    <w:rsid w:val="005E7A79"/>
    <w:rsid w:val="005F58B4"/>
    <w:rsid w:val="00616B45"/>
    <w:rsid w:val="00635416"/>
    <w:rsid w:val="00647C0C"/>
    <w:rsid w:val="006B7B5F"/>
    <w:rsid w:val="006B7FDA"/>
    <w:rsid w:val="0084615E"/>
    <w:rsid w:val="008B25DD"/>
    <w:rsid w:val="009E26DB"/>
    <w:rsid w:val="00A778B5"/>
    <w:rsid w:val="00B323BC"/>
    <w:rsid w:val="00C411F2"/>
    <w:rsid w:val="00C568ED"/>
    <w:rsid w:val="00C835CD"/>
    <w:rsid w:val="00C86B42"/>
    <w:rsid w:val="00CB0A14"/>
    <w:rsid w:val="00D360B8"/>
    <w:rsid w:val="00E36B76"/>
    <w:rsid w:val="00E8671E"/>
    <w:rsid w:val="00E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94D8-EBFF-4038-8A62-7C5F4AB8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semiHidden/>
    <w:unhideWhenUsed/>
    <w:rsid w:val="00B323BC"/>
  </w:style>
  <w:style w:type="table" w:styleId="a3">
    <w:name w:val="Table Grid"/>
    <w:basedOn w:val="a1"/>
    <w:uiPriority w:val="59"/>
    <w:rsid w:val="00B32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379bdd4-ad32-47e4-ac29-19bb5f0dbf11">
    <w:name w:val="Normal_4379bdd4-ad32-47e4-ac29-19bb5f0dbf11"/>
    <w:rsid w:val="00B323BC"/>
    <w:rPr>
      <w:sz w:val="24"/>
      <w:szCs w:val="24"/>
      <w:lang w:val="en-US" w:eastAsia="uk-UA"/>
    </w:rPr>
  </w:style>
  <w:style w:type="character" w:styleId="a4">
    <w:name w:val="Hyperlink"/>
    <w:rsid w:val="00B323BC"/>
    <w:rPr>
      <w:color w:val="0000FF"/>
      <w:u w:val="single"/>
    </w:rPr>
  </w:style>
  <w:style w:type="paragraph" w:customStyle="1" w:styleId="Normal0">
    <w:name w:val="Normal_0"/>
    <w:rsid w:val="00B323BC"/>
  </w:style>
  <w:style w:type="character" w:customStyle="1" w:styleId="1">
    <w:name w:val="Номер строки1"/>
    <w:basedOn w:val="a0"/>
    <w:semiHidden/>
    <w:rsid w:val="00B323BC"/>
  </w:style>
  <w:style w:type="character" w:customStyle="1" w:styleId="Hyperlink0">
    <w:name w:val="Hyperlink_0"/>
    <w:rsid w:val="00B323BC"/>
    <w:rPr>
      <w:color w:val="0000FF"/>
      <w:u w:val="single"/>
    </w:rPr>
  </w:style>
  <w:style w:type="table" w:customStyle="1" w:styleId="NormalTable0">
    <w:name w:val="Normal Table_0"/>
    <w:rsid w:val="00B323B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rsid w:val="00B32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8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57702"/>
    <w:pPr>
      <w:spacing w:line="240" w:lineRule="auto"/>
    </w:pPr>
    <w:rPr>
      <w:rFonts w:ascii="Times New Roman CYR" w:hAnsi="Times New Roman CYR"/>
      <w:b/>
      <w:color w:val="auto"/>
    </w:rPr>
  </w:style>
  <w:style w:type="character" w:customStyle="1" w:styleId="a8">
    <w:name w:val="Основной текст Знак"/>
    <w:basedOn w:val="a0"/>
    <w:link w:val="a7"/>
    <w:rsid w:val="00457702"/>
    <w:rPr>
      <w:rFonts w:ascii="Times New Roman CYR" w:hAnsi="Times New Roman CYR"/>
      <w:b/>
      <w:color w:val="auto"/>
    </w:rPr>
  </w:style>
  <w:style w:type="paragraph" w:styleId="a9">
    <w:name w:val="header"/>
    <w:basedOn w:val="a"/>
    <w:link w:val="aa"/>
    <w:uiPriority w:val="99"/>
    <w:unhideWhenUsed/>
    <w:rsid w:val="004577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7702"/>
  </w:style>
  <w:style w:type="paragraph" w:styleId="ab">
    <w:name w:val="footer"/>
    <w:basedOn w:val="a"/>
    <w:link w:val="ac"/>
    <w:uiPriority w:val="99"/>
    <w:unhideWhenUsed/>
    <w:rsid w:val="004577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7702"/>
  </w:style>
  <w:style w:type="paragraph" w:styleId="ad">
    <w:name w:val="List Paragraph"/>
    <w:basedOn w:val="a"/>
    <w:uiPriority w:val="34"/>
    <w:qFormat/>
    <w:rsid w:val="00647C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e">
    <w:name w:val="annotation text"/>
    <w:basedOn w:val="a"/>
    <w:link w:val="af"/>
    <w:uiPriority w:val="99"/>
    <w:unhideWhenUsed/>
    <w:rsid w:val="00647C0C"/>
    <w:pPr>
      <w:spacing w:after="200" w:line="240" w:lineRule="auto"/>
    </w:pPr>
    <w:rPr>
      <w:rFonts w:ascii="Calibri" w:eastAsia="Calibri" w:hAnsi="Calibri"/>
      <w:color w:val="auto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647C0C"/>
    <w:rPr>
      <w:rFonts w:ascii="Calibri" w:eastAsia="Calibri" w:hAnsi="Calibri"/>
      <w:color w:val="auto"/>
      <w:sz w:val="20"/>
      <w:lang w:eastAsia="en-US"/>
    </w:rPr>
  </w:style>
  <w:style w:type="character" w:styleId="af0">
    <w:name w:val="Placeholder Text"/>
    <w:basedOn w:val="a0"/>
    <w:uiPriority w:val="99"/>
    <w:semiHidden/>
    <w:rsid w:val="00E95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WWW4_x005f_x005F_x005f_x0024_</dc:creator>
  <cp:lastModifiedBy>Болобан Екатерина Александровна</cp:lastModifiedBy>
  <cp:revision>8</cp:revision>
  <cp:lastPrinted>2023-05-16T13:41:00Z</cp:lastPrinted>
  <dcterms:created xsi:type="dcterms:W3CDTF">2023-05-18T06:35:00Z</dcterms:created>
  <dcterms:modified xsi:type="dcterms:W3CDTF">2023-07-12T15:41:00Z</dcterms:modified>
</cp:coreProperties>
</file>