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61" w:rsidRPr="00DD1161" w:rsidRDefault="00DD1161" w:rsidP="00DD116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DD1161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DD1161" w:rsidRPr="00DD1161" w:rsidRDefault="00DD1161" w:rsidP="00DD1161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1161" w:rsidRPr="00DD1161" w:rsidRDefault="00DD1161" w:rsidP="00DD1161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1161" w:rsidRPr="00DD1161" w:rsidRDefault="00DD1161" w:rsidP="00DD1161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1161" w:rsidRPr="00DD1161" w:rsidRDefault="00DD1161" w:rsidP="00DD1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161">
        <w:rPr>
          <w:rFonts w:ascii="Times New Roman" w:hAnsi="Times New Roman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D1161" w:rsidRPr="00DD1161" w:rsidTr="00D03A79">
        <w:tc>
          <w:tcPr>
            <w:tcW w:w="9356" w:type="dxa"/>
          </w:tcPr>
          <w:p w:rsidR="00DD1161" w:rsidRPr="00DD1161" w:rsidRDefault="00DD1161" w:rsidP="00DD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161" w:rsidRPr="00DD1161" w:rsidRDefault="00DD1161" w:rsidP="00DD116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DD1161" w:rsidRPr="00DD1161" w:rsidTr="00D03A79">
        <w:tc>
          <w:tcPr>
            <w:tcW w:w="5495" w:type="dxa"/>
          </w:tcPr>
          <w:p w:rsidR="00DD1161" w:rsidRPr="00DD1161" w:rsidRDefault="00DD1161" w:rsidP="00DD116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Потеря в массе при высушивании</w:t>
            </w:r>
          </w:p>
        </w:tc>
        <w:tc>
          <w:tcPr>
            <w:tcW w:w="283" w:type="dxa"/>
          </w:tcPr>
          <w:p w:rsidR="00DD1161" w:rsidRPr="00DD1161" w:rsidRDefault="00DD1161" w:rsidP="00DD11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DD1161" w:rsidRPr="00DD1161" w:rsidRDefault="00DD1161" w:rsidP="00DD116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1161">
              <w:rPr>
                <w:rFonts w:ascii="Times New Roman" w:hAnsi="Times New Roman" w:cs="Times New Roman"/>
                <w:b/>
                <w:sz w:val="28"/>
                <w:szCs w:val="28"/>
              </w:rPr>
              <w:t>ОФС</w:t>
            </w:r>
            <w:r w:rsidR="003B3212">
              <w:rPr>
                <w:rFonts w:ascii="Times New Roman" w:hAnsi="Times New Roman" w:cs="Times New Roman"/>
                <w:b/>
                <w:sz w:val="28"/>
                <w:szCs w:val="28"/>
              </w:rPr>
              <w:t>.1.2.1.0010</w:t>
            </w:r>
          </w:p>
        </w:tc>
      </w:tr>
      <w:tr w:rsidR="00DD1161" w:rsidRPr="00DD1161" w:rsidTr="00D03A79">
        <w:tc>
          <w:tcPr>
            <w:tcW w:w="5495" w:type="dxa"/>
          </w:tcPr>
          <w:p w:rsidR="00DD1161" w:rsidRPr="00DD1161" w:rsidRDefault="00DD1161" w:rsidP="00DD116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DD1161" w:rsidRPr="00DD1161" w:rsidRDefault="00DD1161" w:rsidP="00DD11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DD1161" w:rsidRPr="00DD1161" w:rsidRDefault="00DD1161" w:rsidP="00DD116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161">
              <w:rPr>
                <w:rFonts w:ascii="Times New Roman" w:hAnsi="Times New Roman" w:cs="Times New Roman"/>
                <w:b/>
                <w:sz w:val="28"/>
                <w:szCs w:val="28"/>
              </w:rPr>
              <w:t>Взамен ОФС.1.2.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1.0010</w:t>
            </w:r>
            <w:r w:rsidRPr="00DD11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DD1161" w:rsidRPr="00DD1161" w:rsidRDefault="00DD1161" w:rsidP="00DD116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D1161" w:rsidRPr="00DD1161" w:rsidTr="00D03A79">
        <w:tc>
          <w:tcPr>
            <w:tcW w:w="9356" w:type="dxa"/>
          </w:tcPr>
          <w:p w:rsidR="00DD1161" w:rsidRPr="00DD1161" w:rsidRDefault="00DD1161" w:rsidP="00DD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FDD" w:rsidRDefault="00241FDD" w:rsidP="00A60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4B5" w:rsidRPr="00A604B5" w:rsidRDefault="00A604B5" w:rsidP="00A60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D0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отер</w:t>
      </w:r>
      <w:r w:rsidR="00D07B19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 массе при высушивании</w:t>
      </w:r>
      <w:r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 w:rsidR="00DE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разумевают </w:t>
      </w:r>
      <w:r w:rsidR="00D07B1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DE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массы испытуемого образца</w:t>
      </w:r>
      <w:r w:rsidR="00DE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</w:t>
      </w:r>
      <w:r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0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испарения</w:t>
      </w:r>
      <w:r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гигроскопической влаги и летучих веществ, при </w:t>
      </w:r>
      <w:r w:rsidR="00D07B1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высушивании до постоянной ма</w:t>
      </w:r>
      <w:bookmarkStart w:id="0" w:name="_GoBack"/>
      <w:bookmarkEnd w:id="0"/>
      <w:r w:rsidR="00D07B1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</w:t>
      </w:r>
      <w:r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времени, указанного в фармакопейной статье</w:t>
      </w:r>
      <w:r w:rsidR="00320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4B5" w:rsidRPr="00A604B5" w:rsidRDefault="00A604B5" w:rsidP="00862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потери в массе </w:t>
      </w:r>
      <w:r w:rsidR="003A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высушивании проводят </w:t>
      </w:r>
      <w:r w:rsidR="00E5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</w:t>
      </w:r>
      <w:r w:rsidR="003A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приведё</w:t>
      </w:r>
      <w:r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E53F3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спос</w:t>
      </w:r>
      <w:r w:rsidR="003A5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B4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A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иными </w:t>
      </w:r>
      <w:r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методами, указанными в фармакопейной ста</w:t>
      </w:r>
      <w:r w:rsidR="003A5330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</w:t>
      </w:r>
      <w:r w:rsidR="008E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с использованием анализатора влажности – инфракрасного, галогенового и т.д.)</w:t>
      </w:r>
      <w:r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 выражают в виде массовой доли в процентах. </w:t>
      </w:r>
    </w:p>
    <w:p w:rsidR="009443C6" w:rsidRDefault="00A604B5" w:rsidP="00696C06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</w:t>
      </w:r>
      <w:r w:rsidR="00862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потери в массе при высушивании в лекарственных средствах (за исключением иммунобиологических лекарственных препаратов)</w:t>
      </w:r>
    </w:p>
    <w:p w:rsidR="00A604B5" w:rsidRPr="00A604B5" w:rsidRDefault="00A604B5" w:rsidP="00241FDD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Точную навеску испытуемого </w:t>
      </w:r>
      <w:r w:rsidR="00B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указанную в фармакопейной ста</w:t>
      </w:r>
      <w:r w:rsidR="00155A9F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</w:t>
      </w:r>
      <w:r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помещают в предварительно высушенный до постоянной массы в условиях проведения испытания</w:t>
      </w:r>
      <w:r w:rsidR="00D8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взвешенный</w:t>
      </w:r>
      <w:r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бюкс. Пробу сушат </w:t>
      </w:r>
      <w:r w:rsidR="001C7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бюксе с открытой крышкой</w:t>
      </w:r>
      <w:r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постоянной массы или в течение времени, указанного в фармакопейной ста</w:t>
      </w:r>
      <w:r w:rsidR="00094B38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</w:t>
      </w:r>
      <w:r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одним из следующих способов.</w:t>
      </w:r>
    </w:p>
    <w:p w:rsidR="00A604B5" w:rsidRPr="00A604B5" w:rsidRDefault="00A604B5" w:rsidP="00A60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Способ 1. </w:t>
      </w:r>
      <w:r w:rsidR="0020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Испытуемый образец </w:t>
      </w:r>
      <w:r w:rsidR="005D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высушивают </w:t>
      </w:r>
      <w:r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сушильном шкафу</w:t>
      </w:r>
      <w:r w:rsidR="005D13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проверку пригодности которого проводят в соответствии с установленными процедурами системы качества, например, с использованием подходящих сертифицированных стандартных образцов.</w:t>
      </w:r>
      <w:r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Высушивание проводят в </w:t>
      </w:r>
      <w:r w:rsidR="0055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течение 2</w:t>
      </w:r>
      <w:r w:rsidR="007B6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при </w:t>
      </w:r>
      <w:r w:rsidR="0086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температуре </w:t>
      </w:r>
      <w:r w:rsidR="00551B37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7B6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1B37">
        <w:rPr>
          <w:rFonts w:ascii="Times New Roman" w:eastAsia="Times New Roman" w:hAnsi="Times New Roman" w:cs="Times New Roman"/>
          <w:sz w:val="28"/>
          <w:szCs w:val="28"/>
          <w:lang w:eastAsia="ru-RU"/>
        </w:rPr>
        <w:t>°С, если не указано иначе.</w:t>
      </w:r>
      <w:r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открытый бюкс вместе с крышкой помещают в эксикатор для охлаждения на 50</w:t>
      </w:r>
      <w:r w:rsidR="007B6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мин, после чего закрывают крышкой и взвешивают. Последующие взвешивания проводят после каждого часа дальнейшего высушивания до достижения постоянной массы. </w:t>
      </w:r>
    </w:p>
    <w:p w:rsidR="00A604B5" w:rsidRPr="00A604B5" w:rsidRDefault="00A604B5" w:rsidP="00A60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Способ 2. </w:t>
      </w:r>
      <w:r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2047">
        <w:rPr>
          <w:rFonts w:ascii="Times New Roman" w:eastAsia="Times New Roman" w:hAnsi="Times New Roman" w:cs="Times New Roman"/>
          <w:sz w:val="28"/>
          <w:szCs w:val="28"/>
          <w:lang w:eastAsia="ru-RU"/>
        </w:rPr>
        <w:t>ысушивание проводят</w:t>
      </w:r>
      <w:r w:rsidR="0085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фосфора</w:t>
      </w:r>
      <w:r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(V) оксидом одним из следующих методов: </w:t>
      </w:r>
    </w:p>
    <w:p w:rsidR="00A604B5" w:rsidRPr="00A604B5" w:rsidRDefault="0086247E" w:rsidP="00A60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0E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04B5"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атмосферном давлении и комнатной температуре</w:t>
      </w:r>
      <w:r w:rsidR="00DE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эксикаторе</w:t>
      </w:r>
      <w:r w:rsidR="00A604B5"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604B5" w:rsidRPr="00A604B5" w:rsidRDefault="0086247E" w:rsidP="00A60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0E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04B5"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вакууме при комнатной температуре или температуре, указанной в фармакопейной ста</w:t>
      </w:r>
      <w:r w:rsidR="00094B38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</w:t>
      </w:r>
      <w:r w:rsidR="0076721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давлении от 1,5 до</w:t>
      </w:r>
      <w:r w:rsidR="009F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2,5 кПа</w:t>
      </w:r>
      <w:r w:rsidR="00A604B5"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604B5" w:rsidRPr="00A604B5" w:rsidRDefault="00550E79" w:rsidP="00A60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604B5"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«глубоком вакууме»: при давлении не более 0,1</w:t>
      </w:r>
      <w:r w:rsidR="001721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04B5"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кПа при температуре, указанной в фармакопейной ста</w:t>
      </w:r>
      <w:r w:rsidR="00094B38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</w:t>
      </w:r>
      <w:r w:rsidR="00A604B5"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04B5" w:rsidRDefault="00A604B5" w:rsidP="00A60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использование иных условий, указанных в фармакопейной ста</w:t>
      </w:r>
      <w:r w:rsidR="006E2A50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</w:t>
      </w:r>
      <w:r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8C5" w:rsidRDefault="002418C5" w:rsidP="00A604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A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Испытуемый образец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высушивают в течение 2</w:t>
      </w:r>
      <w:r w:rsidR="007B6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 в вакуумном сушильном шкафу</w:t>
      </w:r>
      <w:r w:rsidR="009D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давлении от 1,5 до 2,5 кПа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температурного интервала, указанного в фармакоп</w:t>
      </w:r>
      <w:r w:rsidR="00E46B53">
        <w:rPr>
          <w:rFonts w:ascii="Times New Roman" w:eastAsia="Times New Roman" w:hAnsi="Times New Roman" w:cs="Times New Roman"/>
          <w:sz w:val="28"/>
          <w:szCs w:val="28"/>
          <w:lang w:eastAsia="ru-RU"/>
        </w:rPr>
        <w:t>ейной статье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давление в шкафу уравнивают с атмосферным, открытый бюкс вместе с крышкой помещают в эксикатор для охлаждения на 50 мин</w:t>
      </w:r>
      <w:r w:rsidR="00F443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чего закрывают крышкой и взвешивают. Последующие взвешивания проводят после каждого часа дальнейшего высушивания до достижения постоянной массы.</w:t>
      </w:r>
      <w:r w:rsidR="000B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других указаний </w:t>
      </w:r>
      <w:r w:rsidR="00202A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испытуемый образец</w:t>
      </w:r>
      <w:r w:rsidR="000B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сушат до постоянной </w:t>
      </w:r>
      <w:r w:rsidR="00220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массы при остаточном давлении 2,66 </w:t>
      </w:r>
      <w:r w:rsidR="00D66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кПа (20 мм </w:t>
      </w:r>
      <w:r w:rsidR="0022051D">
        <w:rPr>
          <w:rFonts w:ascii="Times New Roman" w:eastAsia="Times New Roman" w:hAnsi="Times New Roman" w:cs="Times New Roman"/>
          <w:sz w:val="28"/>
          <w:szCs w:val="28"/>
          <w:lang w:eastAsia="ru-RU"/>
        </w:rPr>
        <w:t>рт.</w:t>
      </w:r>
      <w:r w:rsidR="00D66F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0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ст.)</w:t>
      </w:r>
      <w:r w:rsidR="000B6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C2A" w:rsidRDefault="00F353DB" w:rsidP="00DA3C2A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определения потери в массе при высушивании</w:t>
      </w:r>
      <w:r w:rsidR="00DA3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82F0D" w:rsidRPr="00DA3C2A" w:rsidRDefault="00F353DB" w:rsidP="00DA3C2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иммунобиологических лекарственных препаратах</w:t>
      </w:r>
    </w:p>
    <w:p w:rsidR="00F353DB" w:rsidRPr="00F353DB" w:rsidRDefault="00F353DB" w:rsidP="00DA3C2A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анализа используют бюксы высотой 35</w:t>
      </w:r>
      <w:r w:rsidR="001721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 и </w:t>
      </w:r>
      <w:r w:rsidR="00AE14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диаметром 25</w:t>
      </w:r>
      <w:r w:rsidR="001721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1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мм. Около 0,15–</w:t>
      </w:r>
      <w:r w:rsidRPr="00F353DB">
        <w:rPr>
          <w:rFonts w:ascii="Times New Roman" w:eastAsia="Times New Roman" w:hAnsi="Times New Roman" w:cs="Times New Roman"/>
          <w:sz w:val="28"/>
          <w:szCs w:val="28"/>
          <w:lang w:eastAsia="ru-RU"/>
        </w:rPr>
        <w:t>0,20</w:t>
      </w:r>
      <w:r w:rsidR="007B6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AE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(точная навеска) </w:t>
      </w:r>
      <w:r w:rsidRPr="00F3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испытуемого образца помещают в </w:t>
      </w:r>
      <w:r w:rsidR="00B23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высушенный до постоянной массы</w:t>
      </w:r>
      <w:r w:rsidR="000152EF" w:rsidRPr="00A6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проведения испытания</w:t>
      </w:r>
      <w:r w:rsidR="0001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взвешенный</w:t>
      </w:r>
      <w:r w:rsidR="00B2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3D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бюкс</w:t>
      </w:r>
      <w:r w:rsidR="0001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2A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Испытуемый образец</w:t>
      </w:r>
      <w:r w:rsidR="0001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3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высушивают</w:t>
      </w:r>
      <w:r w:rsidR="001A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бюксе </w:t>
      </w:r>
      <w:r w:rsidR="001A51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открытой крышкой</w:t>
      </w:r>
      <w:r w:rsidR="00F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вакуумном сушильном шкафу</w:t>
      </w:r>
      <w:r w:rsidRPr="00F3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3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температуре 60±1</w:t>
      </w:r>
      <w:r w:rsidR="00D710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2141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 w:rsidRPr="00F3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остаточном давлении, не превышающем 0,667</w:t>
      </w:r>
      <w:r w:rsidR="001721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5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кПа (5</w:t>
      </w:r>
      <w:r w:rsidR="001721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18B2">
        <w:rPr>
          <w:rFonts w:ascii="Times New Roman" w:eastAsia="Times New Roman" w:hAnsi="Times New Roman" w:cs="Times New Roman"/>
          <w:sz w:val="28"/>
          <w:szCs w:val="28"/>
          <w:lang w:eastAsia="ru-RU"/>
        </w:rPr>
        <w:t>мм рт. </w:t>
      </w:r>
      <w:r w:rsidRPr="00F3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ст.), в течение 3</w:t>
      </w:r>
      <w:r w:rsidR="001721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53DB">
        <w:rPr>
          <w:rFonts w:ascii="Times New Roman" w:eastAsia="Times New Roman" w:hAnsi="Times New Roman" w:cs="Times New Roman"/>
          <w:sz w:val="28"/>
          <w:szCs w:val="28"/>
          <w:lang w:eastAsia="ru-RU"/>
        </w:rPr>
        <w:t>ч. Открытый бюкс вместе с крышкой помещают в эксикатор для охлаждения на 40</w:t>
      </w:r>
      <w:r w:rsidR="007B6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мин, после чего закрывают крышкой и взвешивают. </w:t>
      </w:r>
    </w:p>
    <w:p w:rsidR="00956465" w:rsidRDefault="00F353DB" w:rsidP="00F353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Потерю в массе при высушивании в процентах</w:t>
      </w:r>
      <w:r w:rsidR="00D7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710E3" w:rsidRPr="002B18B2">
        <w:rPr>
          <w:rFonts w:ascii="Cambria Math" w:eastAsia="Times New Roman" w:hAnsi="Cambria Math" w:cs="Times New Roman"/>
          <w:i/>
          <w:sz w:val="28"/>
          <w:szCs w:val="28"/>
          <w:lang w:eastAsia="ru-RU"/>
        </w:rPr>
        <w:t>Х</w:t>
      </w:r>
      <w:r w:rsidR="00D710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3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вычисляют по формуле:</w:t>
      </w:r>
    </w:p>
    <w:p w:rsidR="0086247E" w:rsidRPr="0013398B" w:rsidRDefault="0086247E" w:rsidP="00550E79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color w:val="000000" w:themeColor="text1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)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·</m:t>
          </m:r>
          <m:r>
            <w:rPr>
              <w:rFonts w:ascii="Cambria Math" w:hAnsi="Times New Roman"/>
              <w:color w:val="000000" w:themeColor="text1"/>
              <w:sz w:val="28"/>
              <w:szCs w:val="28"/>
            </w:rPr>
            <m:t>100%,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421"/>
        <w:gridCol w:w="7890"/>
      </w:tblGrid>
      <w:tr w:rsidR="00852550" w:rsidRPr="00E04620" w:rsidTr="00550E79">
        <w:trPr>
          <w:cantSplit/>
        </w:trPr>
        <w:tc>
          <w:tcPr>
            <w:tcW w:w="709" w:type="dxa"/>
            <w:shd w:val="clear" w:color="auto" w:fill="auto"/>
          </w:tcPr>
          <w:p w:rsidR="00852550" w:rsidRPr="00E04620" w:rsidRDefault="00852550" w:rsidP="00232E47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52550" w:rsidRPr="001A6E0C" w:rsidRDefault="003B3212" w:rsidP="00232E47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Cambria Math" w:hAnsi="Cambria Math" w:cs="Times New Roman"/>
                <w:sz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napToGrid w:val="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napToGrid w:val="0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9443C6" w:rsidRDefault="0085255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8043" w:type="dxa"/>
            <w:shd w:val="clear" w:color="auto" w:fill="auto"/>
          </w:tcPr>
          <w:p w:rsidR="00852550" w:rsidRPr="00E04620" w:rsidRDefault="00852550" w:rsidP="00232E4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бюкса, доведённого до постоянной массы, г</w:t>
            </w:r>
            <w:r w:rsidRPr="00E046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852550" w:rsidRPr="00E04620" w:rsidTr="00550E79">
        <w:trPr>
          <w:cantSplit/>
        </w:trPr>
        <w:tc>
          <w:tcPr>
            <w:tcW w:w="709" w:type="dxa"/>
          </w:tcPr>
          <w:p w:rsidR="00852550" w:rsidRPr="00E04620" w:rsidRDefault="00852550" w:rsidP="00232E4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52550" w:rsidRPr="001A6E0C" w:rsidRDefault="003B3212" w:rsidP="00232E4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Cambria Math" w:hAnsi="Cambria Math" w:cs="Times New Roman"/>
                <w:sz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napToGrid w:val="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napToGrid w:val="0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9443C6" w:rsidRDefault="0085255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8043" w:type="dxa"/>
          </w:tcPr>
          <w:p w:rsidR="00852550" w:rsidRPr="00E04620" w:rsidRDefault="00852550" w:rsidP="00232E47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бюкса с испытуемым образцом до высушивания, г</w:t>
            </w:r>
            <w:r w:rsidRPr="00E046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52550" w:rsidRPr="00E04620" w:rsidTr="00550E79">
        <w:trPr>
          <w:cantSplit/>
        </w:trPr>
        <w:tc>
          <w:tcPr>
            <w:tcW w:w="709" w:type="dxa"/>
          </w:tcPr>
          <w:p w:rsidR="00852550" w:rsidRPr="00E04620" w:rsidRDefault="00852550" w:rsidP="00232E4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52550" w:rsidRPr="000E751E" w:rsidRDefault="003B3212" w:rsidP="0085255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Cambria Math" w:hAnsi="Cambria Math" w:cs="Times New Roman"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napToGrid w:val="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napToGrid w:val="0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9443C6" w:rsidRDefault="0085255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8043" w:type="dxa"/>
          </w:tcPr>
          <w:p w:rsidR="00852550" w:rsidRPr="00E04620" w:rsidRDefault="00852550" w:rsidP="00232E4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бюкса с испытуемым образцом после высушивания, г.</w:t>
            </w:r>
          </w:p>
        </w:tc>
      </w:tr>
    </w:tbl>
    <w:p w:rsidR="00C62DD2" w:rsidRPr="000C1C3D" w:rsidRDefault="00C62DD2" w:rsidP="00862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2DD2" w:rsidRPr="000C1C3D" w:rsidSect="00232E47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2C2" w:rsidRDefault="00DB32C2" w:rsidP="000C1C3D">
      <w:pPr>
        <w:spacing w:after="0" w:line="240" w:lineRule="auto"/>
      </w:pPr>
      <w:r>
        <w:separator/>
      </w:r>
    </w:p>
  </w:endnote>
  <w:endnote w:type="continuationSeparator" w:id="0">
    <w:p w:rsidR="00DB32C2" w:rsidRDefault="00DB32C2" w:rsidP="000C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0376"/>
      <w:docPartObj>
        <w:docPartGallery w:val="Page Numbers (Bottom of Page)"/>
        <w:docPartUnique/>
      </w:docPartObj>
    </w:sdtPr>
    <w:sdtEndPr/>
    <w:sdtContent>
      <w:p w:rsidR="00232E47" w:rsidRDefault="00484E55">
        <w:pPr>
          <w:pStyle w:val="a5"/>
          <w:jc w:val="center"/>
        </w:pPr>
        <w:r w:rsidRPr="00F750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32E47" w:rsidRPr="00F7500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750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32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750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2C2" w:rsidRDefault="00DB32C2" w:rsidP="000C1C3D">
      <w:pPr>
        <w:spacing w:after="0" w:line="240" w:lineRule="auto"/>
      </w:pPr>
      <w:r>
        <w:separator/>
      </w:r>
    </w:p>
  </w:footnote>
  <w:footnote w:type="continuationSeparator" w:id="0">
    <w:p w:rsidR="00DB32C2" w:rsidRDefault="00DB32C2" w:rsidP="000C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3C6" w:rsidRPr="00BE0A36" w:rsidRDefault="009443C6" w:rsidP="00332FA1">
    <w:pPr>
      <w:pStyle w:val="a3"/>
      <w:tabs>
        <w:tab w:val="left" w:pos="7976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C3D"/>
    <w:rsid w:val="000152EF"/>
    <w:rsid w:val="00026115"/>
    <w:rsid w:val="00094B38"/>
    <w:rsid w:val="000B615C"/>
    <w:rsid w:val="000C1C3D"/>
    <w:rsid w:val="000E751E"/>
    <w:rsid w:val="001150A0"/>
    <w:rsid w:val="00155A9F"/>
    <w:rsid w:val="00165E8A"/>
    <w:rsid w:val="001709B8"/>
    <w:rsid w:val="00172141"/>
    <w:rsid w:val="001A51F2"/>
    <w:rsid w:val="001A6E0C"/>
    <w:rsid w:val="001B0D32"/>
    <w:rsid w:val="001C1869"/>
    <w:rsid w:val="001C704C"/>
    <w:rsid w:val="001F354C"/>
    <w:rsid w:val="00202A07"/>
    <w:rsid w:val="0022051D"/>
    <w:rsid w:val="00232E47"/>
    <w:rsid w:val="002418C5"/>
    <w:rsid w:val="00241FDD"/>
    <w:rsid w:val="002818DE"/>
    <w:rsid w:val="002B18B2"/>
    <w:rsid w:val="00320945"/>
    <w:rsid w:val="00332FA1"/>
    <w:rsid w:val="003A5330"/>
    <w:rsid w:val="003A6952"/>
    <w:rsid w:val="003B3212"/>
    <w:rsid w:val="003C78CB"/>
    <w:rsid w:val="003D24DC"/>
    <w:rsid w:val="003F68F0"/>
    <w:rsid w:val="004126ED"/>
    <w:rsid w:val="00476570"/>
    <w:rsid w:val="00484E55"/>
    <w:rsid w:val="004B2EDB"/>
    <w:rsid w:val="004D2047"/>
    <w:rsid w:val="004E4BD9"/>
    <w:rsid w:val="00522604"/>
    <w:rsid w:val="005337CD"/>
    <w:rsid w:val="00550E79"/>
    <w:rsid w:val="00551B37"/>
    <w:rsid w:val="005641EE"/>
    <w:rsid w:val="00565F2B"/>
    <w:rsid w:val="005C50F2"/>
    <w:rsid w:val="005D135C"/>
    <w:rsid w:val="00696C06"/>
    <w:rsid w:val="006E28A9"/>
    <w:rsid w:val="006E2A50"/>
    <w:rsid w:val="006E543A"/>
    <w:rsid w:val="00721D9F"/>
    <w:rsid w:val="007309A9"/>
    <w:rsid w:val="00767215"/>
    <w:rsid w:val="00793CC8"/>
    <w:rsid w:val="007A4F81"/>
    <w:rsid w:val="007B43C2"/>
    <w:rsid w:val="007B4B0C"/>
    <w:rsid w:val="007B6D3A"/>
    <w:rsid w:val="007F162F"/>
    <w:rsid w:val="00815FF5"/>
    <w:rsid w:val="00850B58"/>
    <w:rsid w:val="00852550"/>
    <w:rsid w:val="0086247E"/>
    <w:rsid w:val="008E37FF"/>
    <w:rsid w:val="008F16A7"/>
    <w:rsid w:val="00935D0D"/>
    <w:rsid w:val="009443C6"/>
    <w:rsid w:val="00956465"/>
    <w:rsid w:val="009603A4"/>
    <w:rsid w:val="009B7CA8"/>
    <w:rsid w:val="009D3C4B"/>
    <w:rsid w:val="009D6248"/>
    <w:rsid w:val="009F2312"/>
    <w:rsid w:val="00A604B5"/>
    <w:rsid w:val="00AE149B"/>
    <w:rsid w:val="00AF28ED"/>
    <w:rsid w:val="00B10F07"/>
    <w:rsid w:val="00B23345"/>
    <w:rsid w:val="00B3359F"/>
    <w:rsid w:val="00BA6671"/>
    <w:rsid w:val="00BC3D61"/>
    <w:rsid w:val="00BE0A36"/>
    <w:rsid w:val="00C62DD2"/>
    <w:rsid w:val="00C96467"/>
    <w:rsid w:val="00CF6C3D"/>
    <w:rsid w:val="00D07B19"/>
    <w:rsid w:val="00D23E97"/>
    <w:rsid w:val="00D41D03"/>
    <w:rsid w:val="00D63774"/>
    <w:rsid w:val="00D66FE6"/>
    <w:rsid w:val="00D710E3"/>
    <w:rsid w:val="00D83454"/>
    <w:rsid w:val="00DA3C2A"/>
    <w:rsid w:val="00DB32C2"/>
    <w:rsid w:val="00DD1161"/>
    <w:rsid w:val="00DE0DC4"/>
    <w:rsid w:val="00DE5947"/>
    <w:rsid w:val="00DE5A9B"/>
    <w:rsid w:val="00E46B53"/>
    <w:rsid w:val="00E53F32"/>
    <w:rsid w:val="00E82F0D"/>
    <w:rsid w:val="00EA2270"/>
    <w:rsid w:val="00F145BE"/>
    <w:rsid w:val="00F15B3E"/>
    <w:rsid w:val="00F353DB"/>
    <w:rsid w:val="00F443E9"/>
    <w:rsid w:val="00F474F8"/>
    <w:rsid w:val="00F75007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C53ABDA-F248-4595-A85E-30E17740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C3D"/>
  </w:style>
  <w:style w:type="paragraph" w:styleId="a5">
    <w:name w:val="footer"/>
    <w:basedOn w:val="a"/>
    <w:link w:val="a6"/>
    <w:uiPriority w:val="99"/>
    <w:unhideWhenUsed/>
    <w:rsid w:val="000C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C3D"/>
  </w:style>
  <w:style w:type="paragraph" w:styleId="a7">
    <w:name w:val="Balloon Text"/>
    <w:basedOn w:val="a"/>
    <w:link w:val="a8"/>
    <w:uiPriority w:val="99"/>
    <w:semiHidden/>
    <w:unhideWhenUsed/>
    <w:rsid w:val="008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55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32E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2E4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2E4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2E4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2E47"/>
    <w:rPr>
      <w:b/>
      <w:bCs/>
      <w:sz w:val="20"/>
      <w:szCs w:val="20"/>
    </w:rPr>
  </w:style>
  <w:style w:type="table" w:styleId="ae">
    <w:name w:val="Table Grid"/>
    <w:basedOn w:val="a1"/>
    <w:uiPriority w:val="59"/>
    <w:rsid w:val="00DD1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6247E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4B2C-9779-477D-AB47-0F6E162D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49</cp:revision>
  <cp:lastPrinted>2023-07-11T12:08:00Z</cp:lastPrinted>
  <dcterms:created xsi:type="dcterms:W3CDTF">2022-02-24T10:33:00Z</dcterms:created>
  <dcterms:modified xsi:type="dcterms:W3CDTF">2023-07-12T11:05:00Z</dcterms:modified>
</cp:coreProperties>
</file>