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BF" w:rsidRPr="00D912BE" w:rsidRDefault="00646EBF" w:rsidP="0032052D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46EBF" w:rsidRPr="00D912BE" w:rsidRDefault="00646EBF" w:rsidP="0032052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EBF" w:rsidRPr="00D912BE" w:rsidRDefault="00646EBF" w:rsidP="0032052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EBF" w:rsidRPr="00D912BE" w:rsidRDefault="00646EBF" w:rsidP="0032052D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6EBF" w:rsidRPr="00263F1B" w:rsidRDefault="00691FBD" w:rsidP="0032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1F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685BEB" w:rsidRPr="00685BEB" w:rsidTr="00685BE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235" w:rsidRPr="00685BEB" w:rsidRDefault="002F2235" w:rsidP="0032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6EBF" w:rsidRPr="00685BEB" w:rsidRDefault="00646EBF" w:rsidP="00646EB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37" w:type="dxa"/>
        <w:tblLook w:val="00A0" w:firstRow="1" w:lastRow="0" w:firstColumn="1" w:lastColumn="0" w:noHBand="0" w:noVBand="0"/>
      </w:tblPr>
      <w:tblGrid>
        <w:gridCol w:w="5494"/>
        <w:gridCol w:w="284"/>
        <w:gridCol w:w="3759"/>
      </w:tblGrid>
      <w:tr w:rsidR="00685BEB" w:rsidRPr="00685BEB" w:rsidTr="00263F1B">
        <w:tc>
          <w:tcPr>
            <w:tcW w:w="5494" w:type="dxa"/>
          </w:tcPr>
          <w:p w:rsidR="00BB3C95" w:rsidRPr="00685BEB" w:rsidRDefault="00C76F85" w:rsidP="00685B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B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Осмолярность</w:t>
            </w:r>
          </w:p>
        </w:tc>
        <w:tc>
          <w:tcPr>
            <w:tcW w:w="284" w:type="dxa"/>
          </w:tcPr>
          <w:p w:rsidR="00BB3C95" w:rsidRPr="00685BEB" w:rsidRDefault="00BB3C95" w:rsidP="00685B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</w:tcPr>
          <w:p w:rsidR="00BB3C95" w:rsidRPr="00685BEB" w:rsidRDefault="00646EBF" w:rsidP="00685B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B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ОФС</w:t>
            </w:r>
            <w:r w:rsidR="002655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.1.2.1.0003</w:t>
            </w:r>
            <w:bookmarkStart w:id="0" w:name="_GoBack"/>
            <w:bookmarkEnd w:id="0"/>
          </w:p>
        </w:tc>
      </w:tr>
      <w:tr w:rsidR="00646EBF" w:rsidRPr="00685BEB" w:rsidTr="00263F1B">
        <w:tc>
          <w:tcPr>
            <w:tcW w:w="5494" w:type="dxa"/>
          </w:tcPr>
          <w:p w:rsidR="00BB3C95" w:rsidRPr="00685BEB" w:rsidRDefault="00BB3C95" w:rsidP="00685B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B3C95" w:rsidRPr="00685BEB" w:rsidRDefault="00BB3C95" w:rsidP="00685B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759" w:type="dxa"/>
          </w:tcPr>
          <w:p w:rsidR="00BB3C95" w:rsidRPr="00685BEB" w:rsidRDefault="00646EBF" w:rsidP="00685BE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B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281862" w:rsidRPr="00685B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замен ОФС.1.2.1.0003</w:t>
            </w:r>
            <w:r w:rsidRPr="00685B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.15</w:t>
            </w:r>
          </w:p>
        </w:tc>
      </w:tr>
    </w:tbl>
    <w:p w:rsidR="00646EBF" w:rsidRPr="00685BEB" w:rsidRDefault="00646EBF" w:rsidP="00646EBF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685BEB" w:rsidRPr="00685BEB" w:rsidTr="00685BE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235" w:rsidRPr="00685BEB" w:rsidRDefault="002F2235" w:rsidP="0068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2235" w:rsidRDefault="002F2235" w:rsidP="001A5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57" w:rsidRDefault="001C1157" w:rsidP="001C1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 –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характеристика растворов, выражающая их осмотическое давление через суммарную концентрацию кинетическ</w:t>
      </w:r>
      <w:r w:rsidR="00890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активных частиц в единице объё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раствора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(мОсм/л)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934" w:rsidRPr="00447934" w:rsidRDefault="00447934" w:rsidP="00447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инструментальные методы позволяют определить не</w:t>
      </w:r>
      <w:r w:rsidR="0089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осмолярность, а осмоляльность –</w:t>
      </w:r>
      <w:r w:rsidRPr="0044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концентрацию кинетически активных частиц на килограмм растворителя (мОсм/кг).</w:t>
      </w:r>
      <w:r w:rsidR="000A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Осмолярность не может быть измер</w:t>
      </w:r>
      <w:r w:rsidR="00280C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ена, но её рассчитывают</w:t>
      </w:r>
      <w:r w:rsidR="000A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 исход</w:t>
      </w:r>
      <w:r w:rsidR="007A06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экспериментально найденных</w:t>
      </w:r>
      <w:r w:rsidR="000A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осмоляльности.</w:t>
      </w:r>
    </w:p>
    <w:p w:rsidR="00447934" w:rsidRDefault="00890F78" w:rsidP="007652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Кинетически активные частицы – 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молекулы, ионы или ионные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одного или нескольких растворё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="00B61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 распределённые во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объё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растворителя и обладающие способностью к хаотическому перемещению внутри раствора.</w:t>
      </w:r>
    </w:p>
    <w:p w:rsidR="00765254" w:rsidRDefault="00C76F85" w:rsidP="001C1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</w:t>
      </w:r>
      <w:r w:rsidR="0076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осмоляльность характеризую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создаваемое растворами осмотическое давление</w:t>
      </w:r>
      <w:r w:rsidR="00765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BA5" w:rsidRDefault="0027535B" w:rsidP="001C1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Осмолярность </w:t>
      </w:r>
      <w:r w:rsidR="00C76F85"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одной из важнейших характеристик инфузионных растворов. </w:t>
      </w:r>
      <w:r w:rsidR="00434B81"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этикетках растворов для инфузий должно быть указано теоретическое значение их осмолярности. В случае, когда теоретическая осмолярность не может быть рассчитана, указывают среднее зн</w:t>
      </w:r>
      <w:r w:rsidR="00256F9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ачение экспериментально определё</w:t>
      </w:r>
      <w:r w:rsidR="00DB6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осмоляль</w:t>
      </w:r>
      <w:r w:rsidR="00434B81"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для данного лекарственного средства.</w:t>
      </w:r>
    </w:p>
    <w:p w:rsidR="008A25E5" w:rsidRDefault="00DB6BA5" w:rsidP="001C1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Показатель «Осмолярность» является обязательным для глазных лекарственных форм и </w:t>
      </w:r>
      <w:r w:rsidR="00B40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инфузионных препаратов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0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капель глазных и инфузионных препаратов, являющихся водными</w:t>
      </w:r>
      <w:r w:rsid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растворами, контроль проводят</w:t>
      </w:r>
      <w:r w:rsidR="00B4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«Осмолярность», а для капель глазных суспензионно</w:t>
      </w:r>
      <w:r w:rsid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эмульсионного типа вводят</w:t>
      </w:r>
      <w:r w:rsidR="00B4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«Осмоляльность», поскольку их плотность отличается от плотности воды.</w:t>
      </w:r>
      <w:r w:rsidR="00BF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</w:t>
      </w:r>
      <w:r w:rsid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показатель также используют</w:t>
      </w:r>
      <w:r w:rsidR="00BF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контроле качества эмульсий для инфузий.</w:t>
      </w:r>
      <w:r w:rsidR="00B40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F85" w:rsidRDefault="00C76F85" w:rsidP="001C11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осмолярность может быть рассчитана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4E40" w:rsidTr="00124E40">
        <w:tc>
          <w:tcPr>
            <w:tcW w:w="3190" w:type="dxa"/>
          </w:tcPr>
          <w:p w:rsidR="00124E40" w:rsidRDefault="00124E40" w:rsidP="001C11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124E40" w:rsidRDefault="0026551C" w:rsidP="001C11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осм.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·n·1000,</m:t>
                </m:r>
              </m:oMath>
            </m:oMathPara>
          </w:p>
        </w:tc>
        <w:tc>
          <w:tcPr>
            <w:tcW w:w="3191" w:type="dxa"/>
          </w:tcPr>
          <w:p w:rsidR="00124E40" w:rsidRDefault="00124E40" w:rsidP="00124E4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(1)</w:t>
            </w: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283"/>
        <w:gridCol w:w="7797"/>
      </w:tblGrid>
      <w:tr w:rsidR="00E04620" w:rsidRPr="00E04620" w:rsidTr="005B557E">
        <w:trPr>
          <w:cantSplit/>
        </w:trPr>
        <w:tc>
          <w:tcPr>
            <w:tcW w:w="851" w:type="dxa"/>
            <w:shd w:val="clear" w:color="auto" w:fill="auto"/>
          </w:tcPr>
          <w:p w:rsidR="00E04620" w:rsidRPr="00E04620" w:rsidRDefault="00E04620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E04620" w:rsidRPr="005B557E" w:rsidRDefault="00691FBD" w:rsidP="005B557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C</w:t>
            </w:r>
            <w:r w:rsidRPr="005B557E">
              <w:rPr>
                <w:rFonts w:asciiTheme="majorHAnsi" w:hAnsiTheme="majorHAnsi" w:cs="Times New Roman"/>
                <w:sz w:val="28"/>
                <w:vertAlign w:val="subscript"/>
              </w:rPr>
              <w:t>осм</w:t>
            </w:r>
          </w:p>
        </w:tc>
        <w:tc>
          <w:tcPr>
            <w:tcW w:w="283" w:type="dxa"/>
            <w:shd w:val="clear" w:color="auto" w:fill="auto"/>
          </w:tcPr>
          <w:p w:rsidR="00E04620" w:rsidRPr="00E04620" w:rsidRDefault="00E04620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97" w:type="dxa"/>
            <w:shd w:val="clear" w:color="auto" w:fill="auto"/>
          </w:tcPr>
          <w:p w:rsidR="00E04620" w:rsidRPr="00E04620" w:rsidRDefault="008B1F35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осмолярность раствора, миллиосмоль на </w:t>
            </w:r>
            <w:r w:rsidR="00551E62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(мОсм/л)</w:t>
            </w:r>
            <w:r w:rsidR="005B55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04620" w:rsidRPr="00E04620" w:rsidTr="005B557E">
        <w:trPr>
          <w:cantSplit/>
        </w:trPr>
        <w:tc>
          <w:tcPr>
            <w:tcW w:w="851" w:type="dxa"/>
          </w:tcPr>
          <w:p w:rsidR="00E04620" w:rsidRPr="00E04620" w:rsidRDefault="00E0462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04620" w:rsidRPr="005B557E" w:rsidRDefault="00691FBD" w:rsidP="005B55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</w:p>
        </w:tc>
        <w:tc>
          <w:tcPr>
            <w:tcW w:w="283" w:type="dxa"/>
          </w:tcPr>
          <w:p w:rsidR="002F2235" w:rsidRDefault="00E0462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E04620" w:rsidRPr="00E04620" w:rsidRDefault="00352178" w:rsidP="005B557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вещества в растворе, г/</w:t>
            </w:r>
            <w:r w:rsidR="00E04620" w:rsidRPr="00E04620">
              <w:rPr>
                <w:rFonts w:ascii="Times New Roman" w:hAnsi="Times New Roman" w:cs="Times New Roman"/>
                <w:sz w:val="28"/>
                <w:szCs w:val="28"/>
              </w:rPr>
              <w:t>л;</w:t>
            </w:r>
          </w:p>
        </w:tc>
      </w:tr>
      <w:tr w:rsidR="00E04620" w:rsidRPr="00E04620" w:rsidTr="005B557E">
        <w:trPr>
          <w:cantSplit/>
        </w:trPr>
        <w:tc>
          <w:tcPr>
            <w:tcW w:w="851" w:type="dxa"/>
          </w:tcPr>
          <w:p w:rsidR="00E04620" w:rsidRPr="00E04620" w:rsidRDefault="00E0462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04620" w:rsidRPr="005B557E" w:rsidRDefault="00691FBD" w:rsidP="005B55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M</w:t>
            </w:r>
          </w:p>
        </w:tc>
        <w:tc>
          <w:tcPr>
            <w:tcW w:w="283" w:type="dxa"/>
          </w:tcPr>
          <w:p w:rsidR="002F2235" w:rsidRDefault="00E0462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E04620" w:rsidRPr="00E04620" w:rsidRDefault="00352178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молярная масса</w:t>
            </w:r>
            <w:r w:rsidR="00E04620" w:rsidRPr="00E04620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/моль</w:t>
            </w:r>
            <w:r w:rsidR="00E04620"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04620" w:rsidRPr="00E04620" w:rsidTr="005B557E">
        <w:trPr>
          <w:cantSplit/>
        </w:trPr>
        <w:tc>
          <w:tcPr>
            <w:tcW w:w="851" w:type="dxa"/>
          </w:tcPr>
          <w:p w:rsidR="00E04620" w:rsidRPr="00E04620" w:rsidRDefault="00E0462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E04620" w:rsidRPr="005B557E" w:rsidRDefault="00691FBD" w:rsidP="005B55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283" w:type="dxa"/>
          </w:tcPr>
          <w:p w:rsidR="002F2235" w:rsidRDefault="00E0462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E04620" w:rsidRPr="00E04620" w:rsidRDefault="00F41522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суммарное число ионов, образующихся из одной молекулы растворённого вещества в результате диссоциации</w:t>
            </w:r>
            <w:r w:rsidR="00551E6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51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551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E62" w:rsidRPr="00551E6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51E62">
              <w:rPr>
                <w:rFonts w:ascii="Times New Roman" w:hAnsi="Times New Roman" w:cs="Times New Roman"/>
                <w:sz w:val="28"/>
                <w:szCs w:val="28"/>
              </w:rPr>
              <w:t xml:space="preserve"> 1 для недиссоциирующих веществ, </w:t>
            </w:r>
            <w:r w:rsidR="00551E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551E62">
              <w:rPr>
                <w:rFonts w:ascii="Times New Roman" w:hAnsi="Times New Roman" w:cs="Times New Roman"/>
                <w:sz w:val="28"/>
                <w:szCs w:val="28"/>
              </w:rPr>
              <w:t xml:space="preserve"> = 2, 3</w:t>
            </w:r>
            <w:r w:rsidR="0074282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51E62">
              <w:rPr>
                <w:rFonts w:ascii="Times New Roman" w:hAnsi="Times New Roman" w:cs="Times New Roman"/>
                <w:sz w:val="28"/>
                <w:szCs w:val="28"/>
              </w:rPr>
              <w:t xml:space="preserve"> для веществ, образующих при растворении соответствующее количество ионов)</w:t>
            </w:r>
            <w:r w:rsidR="00E04620" w:rsidRPr="00E04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F2235" w:rsidRDefault="00790DE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количество частиц (n) несколько меньше теоре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рассчитанного и приближё</w:t>
      </w:r>
      <w:r w:rsidRPr="00790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может быть описано формулой: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1248" w:rsidTr="00DD1248">
        <w:tc>
          <w:tcPr>
            <w:tcW w:w="3190" w:type="dxa"/>
          </w:tcPr>
          <w:p w:rsidR="00DD1248" w:rsidRDefault="00DD1248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D1248" w:rsidRDefault="00DD1248" w:rsidP="005B55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·φ,</m:t>
                </m:r>
              </m:oMath>
            </m:oMathPara>
          </w:p>
        </w:tc>
        <w:tc>
          <w:tcPr>
            <w:tcW w:w="3191" w:type="dxa"/>
          </w:tcPr>
          <w:p w:rsidR="00DD1248" w:rsidRDefault="00DD1248" w:rsidP="00DD1248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425"/>
        <w:gridCol w:w="7797"/>
      </w:tblGrid>
      <w:tr w:rsidR="00790DEF" w:rsidRPr="00E04620" w:rsidTr="005B557E">
        <w:trPr>
          <w:cantSplit/>
        </w:trPr>
        <w:tc>
          <w:tcPr>
            <w:tcW w:w="851" w:type="dxa"/>
            <w:shd w:val="clear" w:color="auto" w:fill="auto"/>
          </w:tcPr>
          <w:p w:rsidR="00790DEF" w:rsidRPr="00E04620" w:rsidRDefault="00790DEF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790DEF" w:rsidRPr="005B557E" w:rsidRDefault="00EA7BFD" w:rsidP="005B557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425" w:type="dxa"/>
            <w:shd w:val="clear" w:color="auto" w:fill="auto"/>
          </w:tcPr>
          <w:p w:rsidR="00790DEF" w:rsidRPr="00E04620" w:rsidRDefault="00790DEF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97" w:type="dxa"/>
            <w:shd w:val="clear" w:color="auto" w:fill="auto"/>
          </w:tcPr>
          <w:p w:rsidR="00790DEF" w:rsidRPr="00E04620" w:rsidRDefault="00EA7BFD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реальное количество частиц, образующихся при растворении данного вещества</w:t>
            </w:r>
            <w:r w:rsidR="00790DEF" w:rsidRPr="00E046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790DEF" w:rsidRPr="00E04620" w:rsidTr="005B557E">
        <w:trPr>
          <w:cantSplit/>
        </w:trPr>
        <w:tc>
          <w:tcPr>
            <w:tcW w:w="851" w:type="dxa"/>
          </w:tcPr>
          <w:p w:rsidR="00790DEF" w:rsidRPr="00E04620" w:rsidRDefault="00790DEF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90DEF" w:rsidRPr="005B557E" w:rsidRDefault="0026551C" w:rsidP="005B55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25" w:type="dxa"/>
          </w:tcPr>
          <w:p w:rsidR="002F2235" w:rsidRDefault="00790DEF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790DEF" w:rsidRPr="00E04620" w:rsidRDefault="00EA7BFD" w:rsidP="005B557E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 рассчитанное количество частиц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=1,2,3…)</w:t>
            </w:r>
            <w:r w:rsidR="00790DEF"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90DEF" w:rsidRPr="00E04620" w:rsidTr="005B557E">
        <w:trPr>
          <w:cantSplit/>
        </w:trPr>
        <w:tc>
          <w:tcPr>
            <w:tcW w:w="851" w:type="dxa"/>
          </w:tcPr>
          <w:p w:rsidR="00790DEF" w:rsidRPr="00E04620" w:rsidRDefault="00790DEF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790DEF" w:rsidRPr="005B557E" w:rsidRDefault="00202E4C" w:rsidP="005B557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φ</w:t>
            </w:r>
          </w:p>
        </w:tc>
        <w:tc>
          <w:tcPr>
            <w:tcW w:w="425" w:type="dxa"/>
          </w:tcPr>
          <w:p w:rsidR="002F2235" w:rsidRDefault="00790DEF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790DEF" w:rsidRPr="00E04620" w:rsidRDefault="00043A00" w:rsidP="005B557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молярный осмотический коэффициент, </w:t>
            </w:r>
            <w:r w:rsidR="00F653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читывающий взаимодействие между частицами в растворе и зависящий только от количества растворённого вещества.</w:t>
            </w:r>
          </w:p>
        </w:tc>
      </w:tr>
    </w:tbl>
    <w:p w:rsidR="002F2235" w:rsidRDefault="0057284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φ определяется экспериментально.</w:t>
      </w:r>
    </w:p>
    <w:p w:rsidR="008A25E5" w:rsidRDefault="008A25E5" w:rsidP="008A25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Растворы, равны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осмолярности 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 хлорида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раствору 0,9</w:t>
      </w:r>
      <w:r w:rsidR="00EB4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 изотоническими. Для изотонических растворов теоретически рассчитанные значения осмоля</w:t>
      </w:r>
      <w:r w:rsidR="00235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рности находятся в пределах 239–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9A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F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мОсм/л.</w:t>
      </w:r>
    </w:p>
    <w:p w:rsidR="00C1727D" w:rsidRDefault="00C1727D" w:rsidP="00C172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 растворов, состоящих из нескольких компонентов, может быть определена как сумма осмолярностей всех компонентов.</w:t>
      </w:r>
    </w:p>
    <w:p w:rsidR="00433CA9" w:rsidRPr="00433CA9" w:rsidRDefault="00433CA9" w:rsidP="00433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онцентрацию инфузионных растворов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выражать как массо-объё</w:t>
      </w:r>
      <w:r w:rsidR="00BB3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мную (</w:t>
      </w:r>
      <w:r w:rsidR="00691FBD" w:rsidRPr="0069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г/л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поэтому удобным представляется контролировать содержание кинетически активных частиц в </w:t>
      </w:r>
      <w:r w:rsidRPr="00B65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миллиосмолях на литр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(осмолярность), а не на </w:t>
      </w:r>
      <w:r w:rsidRPr="00B65E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килограмм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(осмоляльность) раствора.</w:t>
      </w:r>
    </w:p>
    <w:p w:rsidR="00433CA9" w:rsidRDefault="00433CA9" w:rsidP="00433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Различиями между значениями осмолярности и осмоляльности растворов с осмолярнос</w:t>
      </w:r>
      <w:r w:rsidR="002C19D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тью, близкой к осмолярности 0,7–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EB4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% раствора натрия хлорида или ниже, можно пренебречь (теоретическое значение осмот</w:t>
      </w:r>
      <w:r w:rsidR="003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давления 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 хлорида</w:t>
      </w:r>
      <w:r w:rsidR="003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0,9 % – 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9A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мОсм/л; экспериментальное значе</w:t>
      </w:r>
      <w:r w:rsidR="003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– 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EB4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мОсм/л); для более концентрированных ра</w:t>
      </w:r>
      <w:r w:rsidR="003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створов (например, 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натрия хлорида</w:t>
      </w:r>
      <w:r w:rsidR="0031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10</w:t>
      </w:r>
      <w:r w:rsidR="009A4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70F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33CA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осмолярность может быть определена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843E07" w:rsidTr="00843E07">
        <w:tc>
          <w:tcPr>
            <w:tcW w:w="3190" w:type="dxa"/>
          </w:tcPr>
          <w:p w:rsidR="00843E07" w:rsidRDefault="00843E07" w:rsidP="00433C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</w:tcPr>
          <w:p w:rsidR="00843E07" w:rsidRDefault="00843E07" w:rsidP="00433C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(мОсм/л)</w:t>
            </w:r>
            <w:r w:rsidRPr="00F2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(мОсм/кг)</w:t>
            </w:r>
            <w:r w:rsidRPr="00F2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ρ</w:t>
            </w:r>
            <w:r w:rsidR="005B5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942" w:type="dxa"/>
          </w:tcPr>
          <w:p w:rsidR="00843E07" w:rsidRDefault="00843E07" w:rsidP="00843E0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567"/>
        <w:gridCol w:w="7797"/>
      </w:tblGrid>
      <w:tr w:rsidR="004A18FF" w:rsidRPr="00E04620" w:rsidTr="005B557E">
        <w:trPr>
          <w:cantSplit/>
        </w:trPr>
        <w:tc>
          <w:tcPr>
            <w:tcW w:w="851" w:type="dxa"/>
            <w:shd w:val="clear" w:color="auto" w:fill="auto"/>
          </w:tcPr>
          <w:p w:rsidR="004A18FF" w:rsidRPr="00E04620" w:rsidRDefault="004A18FF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425" w:type="dxa"/>
            <w:shd w:val="clear" w:color="auto" w:fill="auto"/>
          </w:tcPr>
          <w:p w:rsidR="004A18FF" w:rsidRPr="005B557E" w:rsidRDefault="00F20526" w:rsidP="005B557E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B557E">
              <w:rPr>
                <w:rFonts w:asciiTheme="majorHAnsi" w:hAnsiTheme="majorHAnsi" w:cs="Times New Roman"/>
                <w:i/>
                <w:sz w:val="28"/>
                <w:lang w:val="en-US"/>
              </w:rPr>
              <w:t>ρ</w:t>
            </w:r>
          </w:p>
        </w:tc>
        <w:tc>
          <w:tcPr>
            <w:tcW w:w="567" w:type="dxa"/>
            <w:shd w:val="clear" w:color="auto" w:fill="auto"/>
          </w:tcPr>
          <w:p w:rsidR="004A18FF" w:rsidRPr="00E04620" w:rsidRDefault="004A18FF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97" w:type="dxa"/>
            <w:shd w:val="clear" w:color="auto" w:fill="auto"/>
          </w:tcPr>
          <w:p w:rsidR="004A18FF" w:rsidRPr="00E04620" w:rsidRDefault="00F20526" w:rsidP="005B557E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раствора, кг/л.</w:t>
            </w:r>
          </w:p>
        </w:tc>
      </w:tr>
    </w:tbl>
    <w:p w:rsidR="001A1776" w:rsidRPr="00263F1B" w:rsidRDefault="00691FBD" w:rsidP="00653D2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</w:t>
      </w:r>
    </w:p>
    <w:p w:rsidR="001A1776" w:rsidRPr="001A1776" w:rsidRDefault="00653D2A" w:rsidP="00C25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E4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теоретически</w:t>
      </w:r>
      <w:r w:rsidR="00946FD6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границ осмолярности проводят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 </w:t>
      </w:r>
      <w:r w:rsidR="001A1776" w:rsidRPr="005E4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минимальное значение</w:t>
      </w:r>
      <w:r w:rsidR="005E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осмолярность раствора, содержа</w:t>
      </w:r>
      <w:r w:rsidR="005E4EC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минимально допустимые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ингредиентов; </w:t>
      </w:r>
      <w:r w:rsidR="001A1776" w:rsidRPr="005E4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максимальное значение</w:t>
      </w:r>
      <w:r w:rsidR="005E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осмолярность раствора, содержащего максимально допустимые количества ингредиентов.</w:t>
      </w:r>
    </w:p>
    <w:p w:rsidR="001A1776" w:rsidRPr="001A1776" w:rsidRDefault="00653D2A" w:rsidP="00C25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растворе высокомолекулярного вещ</w:t>
      </w:r>
      <w:r w:rsidR="00946F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за его молярную массу берут среднюю молекулярную массу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фракции.</w:t>
      </w:r>
    </w:p>
    <w:p w:rsidR="001A1776" w:rsidRPr="001A1776" w:rsidRDefault="00653D2A" w:rsidP="00C25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946F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Гидрокарбонаты при расчё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осмолярности учитываются как соли одноосновной кислоты.</w:t>
      </w:r>
    </w:p>
    <w:p w:rsidR="002F2235" w:rsidRPr="00F757D7" w:rsidRDefault="00EB41B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осмоляльности </w:t>
      </w:r>
      <w:r w:rsidR="00E5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жидких лекарственных средств</w:t>
      </w:r>
    </w:p>
    <w:p w:rsidR="001A1776" w:rsidRDefault="005A5FE5" w:rsidP="001A1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осмоляль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могут быть использованы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методы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криоскопический</w:t>
      </w:r>
      <w:r w:rsidR="009A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1A1776"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мембранная и паровая осмометрия.</w:t>
      </w:r>
    </w:p>
    <w:p w:rsidR="002F2235" w:rsidRDefault="00691FBD" w:rsidP="00F757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1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Криоскопический метод</w:t>
      </w:r>
    </w:p>
    <w:p w:rsidR="00566A45" w:rsidRPr="00566A45" w:rsidRDefault="00566A45" w:rsidP="00F757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 основан на понижении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температуры</w:t>
      </w:r>
      <w:r w:rsidRPr="0056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замерзания растворов по сравнению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температурой</w:t>
      </w:r>
      <w:r w:rsidRPr="00566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замерзания чистого растворителя.</w:t>
      </w:r>
    </w:p>
    <w:p w:rsidR="001A1776" w:rsidRDefault="001A1776" w:rsidP="00F757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1 осмоль на килограмм воды понижает т</w:t>
      </w:r>
      <w:r w:rsidR="00A25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емпературу</w:t>
      </w:r>
      <w:r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замерзан</w:t>
      </w:r>
      <w:r w:rsidR="00A25F9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1,86 °</w:t>
      </w:r>
      <w:r w:rsidR="00471E7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Измерение этих изменений лежит в основе криоскопического ме</w:t>
      </w:r>
      <w:r w:rsidR="000B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</w:t>
      </w:r>
      <w:r w:rsidRPr="001A1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778" w:rsidRDefault="00C46778" w:rsidP="001A1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зависимость может быть выражена следующей формулой: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715"/>
        <w:gridCol w:w="1666"/>
      </w:tblGrid>
      <w:tr w:rsidR="00E96D92" w:rsidTr="00E96D92">
        <w:tc>
          <w:tcPr>
            <w:tcW w:w="3190" w:type="dxa"/>
          </w:tcPr>
          <w:p w:rsidR="00E96D92" w:rsidRDefault="00E96D92" w:rsidP="001A1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:rsidR="00E96D92" w:rsidRDefault="0026551C" w:rsidP="001A17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осм.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·1000,</m:t>
              </m:r>
            </m:oMath>
            <w:r w:rsidR="00E96D92" w:rsidRPr="00E768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96D9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(мОсм/кг </w:t>
            </w:r>
            <w:r w:rsidR="00E96D92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H</w:t>
            </w:r>
            <w:r w:rsidR="00E96D92" w:rsidRPr="00E768BD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</w:rPr>
              <w:t>2</w:t>
            </w:r>
            <w:r w:rsidR="00E96D92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O</w:t>
            </w:r>
            <w:r w:rsidR="00E96D92" w:rsidRPr="00E768BD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="004F5349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</w:p>
        </w:tc>
        <w:tc>
          <w:tcPr>
            <w:tcW w:w="1666" w:type="dxa"/>
          </w:tcPr>
          <w:p w:rsidR="00E96D92" w:rsidRDefault="00E96D92" w:rsidP="00E96D9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283"/>
        <w:gridCol w:w="7797"/>
      </w:tblGrid>
      <w:tr w:rsidR="00C46778" w:rsidRPr="00E04620" w:rsidTr="002565DF">
        <w:trPr>
          <w:cantSplit/>
        </w:trPr>
        <w:tc>
          <w:tcPr>
            <w:tcW w:w="851" w:type="dxa"/>
            <w:shd w:val="clear" w:color="auto" w:fill="auto"/>
          </w:tcPr>
          <w:p w:rsidR="00C46778" w:rsidRPr="00E04620" w:rsidRDefault="00C46778" w:rsidP="002565D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2F2235" w:rsidRPr="002565DF" w:rsidRDefault="00202E4C" w:rsidP="002565DF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2565DF">
              <w:rPr>
                <w:rFonts w:asciiTheme="majorHAnsi" w:hAnsiTheme="majorHAnsi" w:cs="Times New Roman"/>
                <w:i/>
                <w:sz w:val="28"/>
                <w:lang w:val="en-US"/>
              </w:rPr>
              <w:t>C</w:t>
            </w:r>
            <w:r w:rsidRPr="002565DF">
              <w:rPr>
                <w:rFonts w:asciiTheme="majorHAnsi" w:hAnsiTheme="majorHAnsi" w:cs="Times New Roman"/>
                <w:sz w:val="28"/>
                <w:vertAlign w:val="subscript"/>
              </w:rPr>
              <w:t>осм</w:t>
            </w:r>
          </w:p>
        </w:tc>
        <w:tc>
          <w:tcPr>
            <w:tcW w:w="283" w:type="dxa"/>
            <w:shd w:val="clear" w:color="auto" w:fill="auto"/>
          </w:tcPr>
          <w:p w:rsidR="002F2235" w:rsidRDefault="00C46778" w:rsidP="002565D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97" w:type="dxa"/>
            <w:shd w:val="clear" w:color="auto" w:fill="auto"/>
          </w:tcPr>
          <w:p w:rsidR="00C46778" w:rsidRPr="00E04620" w:rsidRDefault="00C46778" w:rsidP="002565DF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осмоляль</w:t>
            </w:r>
            <w:r w:rsidR="00D72C68">
              <w:rPr>
                <w:rFonts w:ascii="Times New Roman" w:hAnsi="Times New Roman" w:cs="Times New Roman"/>
                <w:sz w:val="28"/>
                <w:szCs w:val="28"/>
              </w:rPr>
              <w:t>ность раствора, мОсм/кг</w:t>
            </w:r>
            <w:r w:rsidR="002565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6778" w:rsidRPr="00E04620" w:rsidTr="002565DF">
        <w:trPr>
          <w:cantSplit/>
        </w:trPr>
        <w:tc>
          <w:tcPr>
            <w:tcW w:w="851" w:type="dxa"/>
          </w:tcPr>
          <w:p w:rsidR="00C46778" w:rsidRPr="00E04620" w:rsidRDefault="00C4677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2235" w:rsidRPr="002565DF" w:rsidRDefault="00202E4C" w:rsidP="002565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2565DF">
              <w:rPr>
                <w:rFonts w:asciiTheme="majorHAnsi" w:hAnsiTheme="majorHAnsi" w:cs="Times New Roman"/>
                <w:i/>
                <w:sz w:val="28"/>
              </w:rPr>
              <w:t>Т</w:t>
            </w:r>
            <w:r w:rsidRPr="002565DF">
              <w:rPr>
                <w:rFonts w:asciiTheme="majorHAnsi" w:hAnsiTheme="majorHAnsi" w:cs="Times New Roman"/>
                <w:i/>
                <w:sz w:val="28"/>
                <w:vertAlign w:val="subscript"/>
              </w:rPr>
              <w:t>2</w:t>
            </w:r>
          </w:p>
        </w:tc>
        <w:tc>
          <w:tcPr>
            <w:tcW w:w="283" w:type="dxa"/>
          </w:tcPr>
          <w:p w:rsidR="002F2235" w:rsidRDefault="00C4677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C46778" w:rsidRPr="00E04620" w:rsidRDefault="00D72C68" w:rsidP="002565DF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замерзания чистого растворителя, °С</w:t>
            </w:r>
            <w:r w:rsidR="00C46778"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6778" w:rsidRPr="00E04620" w:rsidTr="002565DF">
        <w:trPr>
          <w:cantSplit/>
        </w:trPr>
        <w:tc>
          <w:tcPr>
            <w:tcW w:w="851" w:type="dxa"/>
          </w:tcPr>
          <w:p w:rsidR="00C46778" w:rsidRPr="00E04620" w:rsidRDefault="00C4677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2235" w:rsidRPr="002565DF" w:rsidRDefault="00202E4C" w:rsidP="002565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2565DF">
              <w:rPr>
                <w:rFonts w:asciiTheme="majorHAnsi" w:hAnsiTheme="majorHAnsi" w:cs="Times New Roman"/>
                <w:i/>
                <w:sz w:val="28"/>
                <w:lang w:val="en-US"/>
              </w:rPr>
              <w:t>T</w:t>
            </w:r>
            <w:r w:rsidRPr="002565DF">
              <w:rPr>
                <w:rFonts w:asciiTheme="majorHAnsi" w:hAnsiTheme="majorHAnsi" w:cs="Times New Roman"/>
                <w:i/>
                <w:sz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2F2235" w:rsidRDefault="00C4677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C46778" w:rsidRPr="00E04620" w:rsidRDefault="00D72C6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замерзания испытуемого раствора, °С</w:t>
            </w:r>
            <w:r w:rsidR="00C46778"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72C68" w:rsidRPr="00E04620" w:rsidTr="002565DF">
        <w:trPr>
          <w:cantSplit/>
        </w:trPr>
        <w:tc>
          <w:tcPr>
            <w:tcW w:w="851" w:type="dxa"/>
          </w:tcPr>
          <w:p w:rsidR="00D72C68" w:rsidRPr="00E04620" w:rsidRDefault="00D72C6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2F2235" w:rsidRPr="002565DF" w:rsidRDefault="00202E4C" w:rsidP="002565D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2565DF">
              <w:rPr>
                <w:rFonts w:asciiTheme="majorHAnsi" w:hAnsiTheme="majorHAnsi" w:cs="Times New Roman"/>
                <w:i/>
                <w:sz w:val="28"/>
              </w:rPr>
              <w:t>К</w:t>
            </w:r>
          </w:p>
        </w:tc>
        <w:tc>
          <w:tcPr>
            <w:tcW w:w="283" w:type="dxa"/>
          </w:tcPr>
          <w:p w:rsidR="002F2235" w:rsidRDefault="00D72C6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97" w:type="dxa"/>
          </w:tcPr>
          <w:p w:rsidR="00D72C68" w:rsidRDefault="00D72C68" w:rsidP="002565DF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криометрическая постоянная растворителя (для воды 1,86).</w:t>
            </w:r>
          </w:p>
        </w:tc>
      </w:tr>
    </w:tbl>
    <w:p w:rsidR="002F2235" w:rsidRDefault="00D72C68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AB6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определение ос</w:t>
      </w:r>
      <w:r w:rsidR="00C03D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моляльности растворов проводят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автоматических криоскопических осмометров.</w:t>
      </w:r>
    </w:p>
    <w:p w:rsidR="00194FA1" w:rsidRDefault="00691FBD" w:rsidP="001A1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Прибор</w:t>
      </w:r>
      <w:r w:rsidR="00202E4C" w:rsidRPr="00202E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9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Составными частями осмометра являются:</w:t>
      </w:r>
    </w:p>
    <w:p w:rsidR="00784960" w:rsidRDefault="00FD5FAC" w:rsidP="001A1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8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охлаждения сосуда с измерительной ячейкой;</w:t>
      </w:r>
    </w:p>
    <w:p w:rsidR="00784960" w:rsidRDefault="00FD5FAC" w:rsidP="001A1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8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для измерения температуры, состоящая из чувствительного к температуре сопротивления (термистора) с соответствующим устройством для измерения тока или разности потенциалов. Измерительное устройство может быть откалибровано в градусах понижения температуры или непосредственно в единицах осмоляльности;</w:t>
      </w:r>
    </w:p>
    <w:p w:rsidR="00784960" w:rsidRPr="00194FA1" w:rsidRDefault="00FD5FAC" w:rsidP="001A17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8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приспособление для перемешивания образца.</w:t>
      </w:r>
    </w:p>
    <w:p w:rsidR="004A18FF" w:rsidRDefault="00691FBD" w:rsidP="00433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Методика.</w:t>
      </w:r>
      <w:r w:rsidR="009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калибровочные</w:t>
      </w:r>
      <w:r w:rsidR="00DE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растворы в соответствии с таблицей</w:t>
      </w:r>
      <w:r w:rsidR="009F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используют готовые стандартные растворы от производителя для автоматического криоскопического осмометра. </w:t>
      </w:r>
      <w:r w:rsidR="00F92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нулевое значение на шкале прибора, используя воду.</w:t>
      </w:r>
      <w:r w:rsidR="0063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калибровку прибора с помощью </w:t>
      </w:r>
      <w:r w:rsidR="006E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калибровочных</w:t>
      </w:r>
      <w:r w:rsidR="00E6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растворов натрия</w:t>
      </w:r>
      <w:r w:rsidR="0063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хлорида, которые </w:t>
      </w:r>
      <w:r w:rsidR="00742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включают</w:t>
      </w:r>
      <w:r w:rsidR="0098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определяемый</w:t>
      </w:r>
      <w:r w:rsidR="0070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 осмолярности (табл.</w:t>
      </w:r>
      <w:r w:rsidR="00FD5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4F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16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D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1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 проводят в соответствии с инструкцией к прибору.</w:t>
      </w:r>
    </w:p>
    <w:p w:rsidR="0019252F" w:rsidRDefault="00226710" w:rsidP="00433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определяют непосредственно по шкале прибора либо рассчитывают по измеренному понижению температуры замерзания.</w:t>
      </w:r>
    </w:p>
    <w:p w:rsidR="002F2235" w:rsidRDefault="00691FBD" w:rsidP="00FD5FAC">
      <w:pPr>
        <w:keepNext/>
        <w:keepLines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="0070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4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Калибровочные растворы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998"/>
        <w:gridCol w:w="2004"/>
        <w:gridCol w:w="1986"/>
        <w:gridCol w:w="2126"/>
      </w:tblGrid>
      <w:tr w:rsidR="002A15EC" w:rsidTr="00844472">
        <w:tc>
          <w:tcPr>
            <w:tcW w:w="1242" w:type="dxa"/>
          </w:tcPr>
          <w:p w:rsidR="002A15EC" w:rsidRPr="00EB4D58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натрия хлорида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г/кг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EB4D5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1998" w:type="dxa"/>
          </w:tcPr>
          <w:p w:rsidR="002A15EC" w:rsidRPr="00EB4D58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осмоляльность (мОсм/кг)</w:t>
            </w:r>
          </w:p>
        </w:tc>
        <w:tc>
          <w:tcPr>
            <w:tcW w:w="2004" w:type="dxa"/>
          </w:tcPr>
          <w:p w:rsidR="002A15EC" w:rsidRPr="00EB4D58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осмоляльность идеального раствора (мОсм/кг)</w:t>
            </w:r>
          </w:p>
        </w:tc>
        <w:tc>
          <w:tcPr>
            <w:tcW w:w="1986" w:type="dxa"/>
          </w:tcPr>
          <w:p w:rsidR="002A15EC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Моляльный осмотический коэффициент</w:t>
            </w:r>
          </w:p>
        </w:tc>
        <w:tc>
          <w:tcPr>
            <w:tcW w:w="2126" w:type="dxa"/>
          </w:tcPr>
          <w:p w:rsidR="002A15EC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Криоскопичес</w:t>
            </w:r>
            <w:r w:rsidR="00653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понижение температуры (°С)</w:t>
            </w:r>
          </w:p>
        </w:tc>
      </w:tr>
      <w:tr w:rsidR="002A15EC" w:rsidTr="00844472">
        <w:tc>
          <w:tcPr>
            <w:tcW w:w="1242" w:type="dxa"/>
          </w:tcPr>
          <w:p w:rsidR="002A15EC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3,087</w:t>
            </w:r>
          </w:p>
        </w:tc>
        <w:tc>
          <w:tcPr>
            <w:tcW w:w="1998" w:type="dxa"/>
          </w:tcPr>
          <w:p w:rsidR="002A15EC" w:rsidRDefault="005A16D7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04" w:type="dxa"/>
          </w:tcPr>
          <w:p w:rsidR="002A15EC" w:rsidRDefault="002A15EC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05,67</w:t>
            </w:r>
          </w:p>
        </w:tc>
        <w:tc>
          <w:tcPr>
            <w:tcW w:w="1986" w:type="dxa"/>
          </w:tcPr>
          <w:p w:rsidR="002A15EC" w:rsidRDefault="006B27E1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0,9463</w:t>
            </w:r>
          </w:p>
        </w:tc>
        <w:tc>
          <w:tcPr>
            <w:tcW w:w="2126" w:type="dxa"/>
          </w:tcPr>
          <w:p w:rsidR="002A15EC" w:rsidRDefault="00182D0E" w:rsidP="00FD5FAC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0,186</w:t>
            </w:r>
          </w:p>
        </w:tc>
      </w:tr>
      <w:tr w:rsidR="002A15EC" w:rsidTr="00844472">
        <w:tc>
          <w:tcPr>
            <w:tcW w:w="1242" w:type="dxa"/>
          </w:tcPr>
          <w:p w:rsidR="002A15EC" w:rsidRDefault="002A15EC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6,260</w:t>
            </w:r>
          </w:p>
        </w:tc>
        <w:tc>
          <w:tcPr>
            <w:tcW w:w="1998" w:type="dxa"/>
          </w:tcPr>
          <w:p w:rsidR="002A15EC" w:rsidRDefault="005A16D7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04" w:type="dxa"/>
          </w:tcPr>
          <w:p w:rsidR="002A15EC" w:rsidRDefault="002A15EC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2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14,20</w:t>
            </w:r>
          </w:p>
        </w:tc>
        <w:tc>
          <w:tcPr>
            <w:tcW w:w="1986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0,9337</w:t>
            </w:r>
          </w:p>
        </w:tc>
        <w:tc>
          <w:tcPr>
            <w:tcW w:w="212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0,372</w:t>
            </w:r>
          </w:p>
        </w:tc>
      </w:tr>
      <w:tr w:rsidR="002A15EC" w:rsidTr="00844472">
        <w:tc>
          <w:tcPr>
            <w:tcW w:w="1242" w:type="dxa"/>
          </w:tcPr>
          <w:p w:rsidR="002A15EC" w:rsidRDefault="002A15EC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9,463</w:t>
            </w:r>
          </w:p>
        </w:tc>
        <w:tc>
          <w:tcPr>
            <w:tcW w:w="1998" w:type="dxa"/>
          </w:tcPr>
          <w:p w:rsidR="002A15EC" w:rsidRDefault="005A16D7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004" w:type="dxa"/>
          </w:tcPr>
          <w:p w:rsidR="002A15EC" w:rsidRDefault="00B3276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323,83</w:t>
            </w:r>
          </w:p>
        </w:tc>
        <w:tc>
          <w:tcPr>
            <w:tcW w:w="1986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0,9264</w:t>
            </w:r>
          </w:p>
        </w:tc>
        <w:tc>
          <w:tcPr>
            <w:tcW w:w="212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0,558</w:t>
            </w:r>
          </w:p>
        </w:tc>
      </w:tr>
      <w:tr w:rsidR="002A15EC" w:rsidTr="00844472">
        <w:tc>
          <w:tcPr>
            <w:tcW w:w="1242" w:type="dxa"/>
          </w:tcPr>
          <w:p w:rsidR="002A15EC" w:rsidRDefault="002A15EC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12,684</w:t>
            </w:r>
          </w:p>
        </w:tc>
        <w:tc>
          <w:tcPr>
            <w:tcW w:w="1998" w:type="dxa"/>
          </w:tcPr>
          <w:p w:rsidR="002A15EC" w:rsidRDefault="005A16D7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2A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04" w:type="dxa"/>
          </w:tcPr>
          <w:p w:rsidR="002A15EC" w:rsidRDefault="00B3276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434,07</w:t>
            </w:r>
          </w:p>
        </w:tc>
        <w:tc>
          <w:tcPr>
            <w:tcW w:w="1986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0,9215</w:t>
            </w:r>
          </w:p>
        </w:tc>
        <w:tc>
          <w:tcPr>
            <w:tcW w:w="212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0,744</w:t>
            </w:r>
          </w:p>
        </w:tc>
      </w:tr>
      <w:tr w:rsidR="002A15EC" w:rsidTr="00844472">
        <w:tc>
          <w:tcPr>
            <w:tcW w:w="1242" w:type="dxa"/>
          </w:tcPr>
          <w:p w:rsidR="002A15EC" w:rsidRDefault="002A15EC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15,916</w:t>
            </w:r>
          </w:p>
        </w:tc>
        <w:tc>
          <w:tcPr>
            <w:tcW w:w="1998" w:type="dxa"/>
          </w:tcPr>
          <w:p w:rsidR="002A15EC" w:rsidRDefault="005A16D7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004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544,66</w:t>
            </w:r>
          </w:p>
        </w:tc>
        <w:tc>
          <w:tcPr>
            <w:tcW w:w="1986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0,9180</w:t>
            </w:r>
          </w:p>
        </w:tc>
        <w:tc>
          <w:tcPr>
            <w:tcW w:w="212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0,930</w:t>
            </w:r>
          </w:p>
        </w:tc>
      </w:tr>
      <w:tr w:rsidR="002A15EC" w:rsidTr="00844472">
        <w:tc>
          <w:tcPr>
            <w:tcW w:w="1242" w:type="dxa"/>
          </w:tcPr>
          <w:p w:rsidR="002A15EC" w:rsidRDefault="002A15EC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4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9,147</w:t>
            </w:r>
          </w:p>
        </w:tc>
        <w:tc>
          <w:tcPr>
            <w:tcW w:w="1998" w:type="dxa"/>
          </w:tcPr>
          <w:p w:rsidR="002A15EC" w:rsidRDefault="00570414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004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655,24</w:t>
            </w:r>
          </w:p>
        </w:tc>
        <w:tc>
          <w:tcPr>
            <w:tcW w:w="198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0,9157</w:t>
            </w:r>
          </w:p>
        </w:tc>
        <w:tc>
          <w:tcPr>
            <w:tcW w:w="212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1,116</w:t>
            </w:r>
          </w:p>
        </w:tc>
      </w:tr>
      <w:tr w:rsidR="002A15EC" w:rsidTr="00844472">
        <w:tc>
          <w:tcPr>
            <w:tcW w:w="1242" w:type="dxa"/>
          </w:tcPr>
          <w:p w:rsidR="002A15EC" w:rsidRDefault="00A94ED0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22,380</w:t>
            </w:r>
          </w:p>
        </w:tc>
        <w:tc>
          <w:tcPr>
            <w:tcW w:w="1998" w:type="dxa"/>
          </w:tcPr>
          <w:p w:rsidR="002A15EC" w:rsidRDefault="00570414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004" w:type="dxa"/>
          </w:tcPr>
          <w:p w:rsidR="002A15EC" w:rsidRDefault="006B27E1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756,86</w:t>
            </w:r>
          </w:p>
        </w:tc>
        <w:tc>
          <w:tcPr>
            <w:tcW w:w="198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0,9140</w:t>
            </w:r>
          </w:p>
        </w:tc>
        <w:tc>
          <w:tcPr>
            <w:tcW w:w="2126" w:type="dxa"/>
          </w:tcPr>
          <w:p w:rsidR="002A15EC" w:rsidRDefault="00182D0E" w:rsidP="00FD5F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1,302</w:t>
            </w:r>
          </w:p>
        </w:tc>
      </w:tr>
    </w:tbl>
    <w:p w:rsidR="002F2235" w:rsidRPr="00FD5FAC" w:rsidRDefault="00691FBD" w:rsidP="00FD5FAC">
      <w:pPr>
        <w:autoSpaceDE w:val="0"/>
        <w:autoSpaceDN w:val="0"/>
        <w:adjustRightInd w:val="0"/>
        <w:spacing w:before="120"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F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мембранной осмометрии</w:t>
      </w:r>
    </w:p>
    <w:p w:rsidR="00704BD7" w:rsidRPr="00704BD7" w:rsidRDefault="00704BD7" w:rsidP="00704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основан на использовании свойств</w:t>
      </w:r>
      <w:r w:rsidR="00B278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полупроницаемых мембран избирательно пропускать молекулы веществ.</w:t>
      </w:r>
    </w:p>
    <w:p w:rsidR="00704BD7" w:rsidRDefault="00704BD7" w:rsidP="00704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Движущей силой процесса является процесс осмоса. Растворитель проникает в испытуемый раствор до установления равновесия; возникающее при этом дополнительное ги</w:t>
      </w:r>
      <w:r w:rsidR="001D6A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дростатическое давление приближё</w:t>
      </w:r>
      <w:r w:rsidRPr="00704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равно осмотическому давлению и может быть рассчитано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6D92" w:rsidTr="00E96D92">
        <w:tc>
          <w:tcPr>
            <w:tcW w:w="3190" w:type="dxa"/>
          </w:tcPr>
          <w:p w:rsidR="00E96D92" w:rsidRDefault="00E96D92" w:rsidP="00704B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96D92" w:rsidRDefault="00E96D92" w:rsidP="00572A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осм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≈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гидр. </w:t>
            </w:r>
            <w:r w:rsidRPr="00F20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ρ</w:t>
            </w:r>
            <w:r w:rsidRPr="005F6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</w:t>
            </w:r>
            <w:r w:rsidRPr="005F6E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Δh</w:t>
            </w:r>
            <w:r w:rsidR="003F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191" w:type="dxa"/>
          </w:tcPr>
          <w:p w:rsidR="00E96D92" w:rsidRDefault="00E96D92" w:rsidP="00E96D9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425"/>
        <w:gridCol w:w="7513"/>
      </w:tblGrid>
      <w:tr w:rsidR="00B27839" w:rsidRPr="00E04620" w:rsidTr="00572A7C">
        <w:trPr>
          <w:cantSplit/>
        </w:trPr>
        <w:tc>
          <w:tcPr>
            <w:tcW w:w="851" w:type="dxa"/>
            <w:shd w:val="clear" w:color="auto" w:fill="auto"/>
          </w:tcPr>
          <w:p w:rsidR="00B27839" w:rsidRPr="00E04620" w:rsidRDefault="00B27839" w:rsidP="00572A7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851" w:type="dxa"/>
            <w:shd w:val="clear" w:color="auto" w:fill="auto"/>
          </w:tcPr>
          <w:p w:rsidR="00B27839" w:rsidRPr="00572A7C" w:rsidRDefault="00B27839" w:rsidP="00572A7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72A7C">
              <w:rPr>
                <w:rFonts w:asciiTheme="majorHAnsi" w:hAnsiTheme="majorHAnsi" w:cs="Times New Roman"/>
                <w:i/>
                <w:sz w:val="28"/>
                <w:lang w:val="en-US"/>
              </w:rPr>
              <w:t>π</w:t>
            </w:r>
            <w:r w:rsidRPr="00572A7C">
              <w:rPr>
                <w:rFonts w:asciiTheme="majorHAnsi" w:hAnsiTheme="majorHAnsi" w:cs="Times New Roman"/>
                <w:i/>
                <w:sz w:val="28"/>
                <w:vertAlign w:val="subscript"/>
              </w:rPr>
              <w:t>осм</w:t>
            </w:r>
          </w:p>
        </w:tc>
        <w:tc>
          <w:tcPr>
            <w:tcW w:w="425" w:type="dxa"/>
            <w:shd w:val="clear" w:color="auto" w:fill="auto"/>
          </w:tcPr>
          <w:p w:rsidR="00B27839" w:rsidRPr="00E04620" w:rsidRDefault="00B27839" w:rsidP="00572A7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513" w:type="dxa"/>
            <w:shd w:val="clear" w:color="auto" w:fill="auto"/>
          </w:tcPr>
          <w:p w:rsidR="00B27839" w:rsidRPr="00E04620" w:rsidRDefault="00B27839" w:rsidP="00572A7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осмотическое давление, Па</w:t>
            </w:r>
            <w:r w:rsidR="00572A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839" w:rsidRPr="00E04620" w:rsidTr="00572A7C">
        <w:trPr>
          <w:cantSplit/>
        </w:trPr>
        <w:tc>
          <w:tcPr>
            <w:tcW w:w="851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B27839" w:rsidRPr="00572A7C" w:rsidRDefault="00B27839" w:rsidP="00572A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72A7C">
              <w:rPr>
                <w:rFonts w:asciiTheme="majorHAnsi" w:hAnsiTheme="majorHAnsi" w:cs="Times New Roman"/>
                <w:i/>
                <w:sz w:val="28"/>
                <w:lang w:val="en-US"/>
              </w:rPr>
              <w:t>P</w:t>
            </w:r>
            <w:r w:rsidRPr="00572A7C">
              <w:rPr>
                <w:rFonts w:asciiTheme="majorHAnsi" w:hAnsiTheme="majorHAnsi" w:cs="Times New Roman"/>
                <w:i/>
                <w:sz w:val="28"/>
                <w:vertAlign w:val="subscript"/>
              </w:rPr>
              <w:t>гидр.</w:t>
            </w:r>
          </w:p>
        </w:tc>
        <w:tc>
          <w:tcPr>
            <w:tcW w:w="425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513" w:type="dxa"/>
          </w:tcPr>
          <w:p w:rsidR="00B27839" w:rsidRPr="00E04620" w:rsidRDefault="00B27839" w:rsidP="00572A7C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гидростатическое давление, Па</w:t>
            </w:r>
            <w:r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839" w:rsidRPr="00E04620" w:rsidTr="00572A7C">
        <w:trPr>
          <w:cantSplit/>
        </w:trPr>
        <w:tc>
          <w:tcPr>
            <w:tcW w:w="851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B27839" w:rsidRPr="00572A7C" w:rsidRDefault="00B27839" w:rsidP="00572A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sz w:val="28"/>
                <w:vertAlign w:val="subscript"/>
              </w:rPr>
            </w:pPr>
            <w:r w:rsidRPr="00572A7C">
              <w:rPr>
                <w:rFonts w:asciiTheme="majorHAnsi" w:hAnsiTheme="majorHAnsi" w:cs="Times New Roman"/>
                <w:i/>
                <w:sz w:val="28"/>
                <w:lang w:val="en-US"/>
              </w:rPr>
              <w:t>ρ</w:t>
            </w:r>
          </w:p>
        </w:tc>
        <w:tc>
          <w:tcPr>
            <w:tcW w:w="425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513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жидкости, кг/м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046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839" w:rsidTr="00572A7C">
        <w:trPr>
          <w:cantSplit/>
        </w:trPr>
        <w:tc>
          <w:tcPr>
            <w:tcW w:w="851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B27839" w:rsidRPr="00572A7C" w:rsidRDefault="00AB6415" w:rsidP="00572A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572A7C">
              <w:rPr>
                <w:rFonts w:asciiTheme="majorHAnsi" w:hAnsiTheme="majorHAnsi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B27839" w:rsidRPr="00E04620" w:rsidRDefault="00B27839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513" w:type="dxa"/>
          </w:tcPr>
          <w:p w:rsidR="00B27839" w:rsidRDefault="0074282A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свободного падения, м/с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AB64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6415" w:rsidTr="00572A7C">
        <w:trPr>
          <w:cantSplit/>
        </w:trPr>
        <w:tc>
          <w:tcPr>
            <w:tcW w:w="851" w:type="dxa"/>
          </w:tcPr>
          <w:p w:rsidR="00AB6415" w:rsidRPr="00E04620" w:rsidRDefault="00AB6415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AB6415" w:rsidRPr="00572A7C" w:rsidRDefault="00AB6415" w:rsidP="00572A7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hAnsiTheme="majorHAnsi" w:cs="Times New Roman"/>
                <w:i/>
                <w:sz w:val="28"/>
              </w:rPr>
            </w:pPr>
            <w:r w:rsidRPr="00572A7C">
              <w:rPr>
                <w:rFonts w:asciiTheme="majorHAnsi" w:hAnsiTheme="majorHAnsi" w:cs="Times New Roman"/>
                <w:i/>
                <w:sz w:val="28"/>
                <w:lang w:val="en-US"/>
              </w:rPr>
              <w:t>Δh</w:t>
            </w:r>
          </w:p>
        </w:tc>
        <w:tc>
          <w:tcPr>
            <w:tcW w:w="425" w:type="dxa"/>
          </w:tcPr>
          <w:p w:rsidR="00AB6415" w:rsidRPr="00E04620" w:rsidRDefault="00AB6415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513" w:type="dxa"/>
          </w:tcPr>
          <w:p w:rsidR="00AB6415" w:rsidRDefault="00AB6415" w:rsidP="00572A7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столба жидкости, м.</w:t>
            </w:r>
          </w:p>
        </w:tc>
      </w:tr>
    </w:tbl>
    <w:p w:rsidR="00B27839" w:rsidRDefault="00520D14" w:rsidP="00F0178C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Осмоляльность может быть рассчитана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6D92" w:rsidTr="00E96D92">
        <w:tc>
          <w:tcPr>
            <w:tcW w:w="3190" w:type="dxa"/>
          </w:tcPr>
          <w:p w:rsidR="00E96D92" w:rsidRDefault="00E96D92" w:rsidP="00B278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96D92" w:rsidRDefault="00E96D92" w:rsidP="00F017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 xml:space="preserve">осм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осм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 xml:space="preserve"> </w:t>
            </w:r>
            <w:r w:rsidR="00F017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/ R·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</w:t>
            </w:r>
            <w:r w:rsidR="00F0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191" w:type="dxa"/>
          </w:tcPr>
          <w:p w:rsidR="00E96D92" w:rsidRDefault="00E96D92" w:rsidP="00E96D9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(6</w:t>
            </w:r>
            <w:r w:rsidRPr="00083C2E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425"/>
        <w:gridCol w:w="7513"/>
      </w:tblGrid>
      <w:tr w:rsidR="00651830" w:rsidRPr="00E04620" w:rsidTr="00F0178C">
        <w:trPr>
          <w:cantSplit/>
        </w:trPr>
        <w:tc>
          <w:tcPr>
            <w:tcW w:w="851" w:type="dxa"/>
            <w:shd w:val="clear" w:color="auto" w:fill="auto"/>
          </w:tcPr>
          <w:p w:rsidR="00651830" w:rsidRPr="00E04620" w:rsidRDefault="00651830" w:rsidP="00F017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851" w:type="dxa"/>
            <w:shd w:val="clear" w:color="auto" w:fill="auto"/>
          </w:tcPr>
          <w:p w:rsidR="00651830" w:rsidRPr="00651830" w:rsidRDefault="00651830" w:rsidP="00F0178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:rsidR="00651830" w:rsidRPr="00E04620" w:rsidRDefault="00651830" w:rsidP="00F017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513" w:type="dxa"/>
            <w:shd w:val="clear" w:color="auto" w:fill="auto"/>
          </w:tcPr>
          <w:p w:rsidR="00651830" w:rsidRPr="00E04620" w:rsidRDefault="00651830" w:rsidP="00F0178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универсальная газовая постоянная (8,314 Дж/моль·К)</w:t>
            </w:r>
            <w:r w:rsidRPr="00E0462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651830" w:rsidRPr="00E04620" w:rsidTr="00F0178C">
        <w:trPr>
          <w:cantSplit/>
        </w:trPr>
        <w:tc>
          <w:tcPr>
            <w:tcW w:w="851" w:type="dxa"/>
          </w:tcPr>
          <w:p w:rsidR="00651830" w:rsidRPr="00E04620" w:rsidRDefault="00651830" w:rsidP="00F017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651830" w:rsidRPr="00651830" w:rsidRDefault="00651830" w:rsidP="00F0178C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Т</w:t>
            </w:r>
          </w:p>
        </w:tc>
        <w:tc>
          <w:tcPr>
            <w:tcW w:w="425" w:type="dxa"/>
          </w:tcPr>
          <w:p w:rsidR="00651830" w:rsidRPr="00E04620" w:rsidRDefault="00651830" w:rsidP="00F0178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E0462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513" w:type="dxa"/>
          </w:tcPr>
          <w:p w:rsidR="00651830" w:rsidRPr="00E04620" w:rsidRDefault="00651830" w:rsidP="00F0178C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абсолютная температура, К.</w:t>
            </w:r>
          </w:p>
        </w:tc>
      </w:tr>
    </w:tbl>
    <w:p w:rsidR="00BE7BBA" w:rsidRDefault="00D809CF" w:rsidP="00E9248A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осмоляльности испытуемого раствора проводят с помощью мембранного осмометра. Предварительную калибровку прибора и измерения проводят в соответствии с инструкцией к прибору.</w:t>
      </w:r>
    </w:p>
    <w:p w:rsidR="00CD0B9C" w:rsidRPr="009A4BF8" w:rsidRDefault="00CD0B9C" w:rsidP="00CD0B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9C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CC8">
        <w:rPr>
          <w:rFonts w:ascii="Times New Roman" w:hAnsi="Times New Roman" w:cs="Times New Roman"/>
          <w:sz w:val="28"/>
          <w:szCs w:val="28"/>
        </w:rPr>
        <w:t>Данный метод применим только для растворов</w:t>
      </w:r>
      <w:r>
        <w:rPr>
          <w:rFonts w:ascii="Times New Roman" w:hAnsi="Times New Roman" w:cs="Times New Roman"/>
          <w:sz w:val="28"/>
          <w:szCs w:val="28"/>
        </w:rPr>
        <w:t xml:space="preserve"> высокомолекулярных веществ (10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–10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 г/моль). При анализе растворов, содержащих электролиты и другие низкомолекулярные вещества, будет определяться только осмотическое давление, создаваемое высокомолекулярными компонентами раствора.</w:t>
      </w:r>
    </w:p>
    <w:p w:rsidR="002F2235" w:rsidRPr="009B3065" w:rsidRDefault="00691FBD" w:rsidP="00F0178C">
      <w:pPr>
        <w:pStyle w:val="ConsPlusNonformat"/>
        <w:widowControl/>
        <w:spacing w:before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FBD">
        <w:rPr>
          <w:rFonts w:ascii="Times New Roman" w:hAnsi="Times New Roman" w:cs="Times New Roman"/>
          <w:b/>
          <w:i/>
          <w:sz w:val="28"/>
          <w:szCs w:val="28"/>
        </w:rPr>
        <w:t>Метод паровой осмометрии</w:t>
      </w:r>
    </w:p>
    <w:p w:rsidR="00BF16F1" w:rsidRDefault="009B3065" w:rsidP="00F0178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BF16F1">
        <w:rPr>
          <w:rFonts w:ascii="Times New Roman" w:hAnsi="Times New Roman" w:cs="Times New Roman"/>
          <w:sz w:val="28"/>
          <w:szCs w:val="28"/>
        </w:rPr>
        <w:t xml:space="preserve"> осмоль на килограмм воды понижает давление пара на 0,</w:t>
      </w:r>
      <w:r w:rsidR="00F0178C">
        <w:rPr>
          <w:rFonts w:ascii="Times New Roman" w:hAnsi="Times New Roman" w:cs="Times New Roman"/>
          <w:sz w:val="28"/>
          <w:szCs w:val="28"/>
        </w:rPr>
        <w:t>3 мм рт. ст. при температуре 25 </w:t>
      </w:r>
      <w:r w:rsidR="00BF16F1">
        <w:rPr>
          <w:rFonts w:ascii="Times New Roman" w:hAnsi="Times New Roman" w:cs="Times New Roman"/>
          <w:sz w:val="28"/>
          <w:szCs w:val="28"/>
        </w:rPr>
        <w:t>°С. Измерение этих изменений лежит в основе метода паровой осмометрии.</w:t>
      </w:r>
    </w:p>
    <w:p w:rsidR="00600FCA" w:rsidRDefault="00600FCA" w:rsidP="00F017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CA">
        <w:rPr>
          <w:rFonts w:ascii="Times New Roman" w:hAnsi="Times New Roman" w:cs="Times New Roman"/>
          <w:sz w:val="28"/>
          <w:szCs w:val="28"/>
        </w:rPr>
        <w:t>Метод основан на измерении разности температур</w:t>
      </w:r>
      <w:r>
        <w:rPr>
          <w:rFonts w:ascii="Times New Roman" w:hAnsi="Times New Roman" w:cs="Times New Roman"/>
          <w:sz w:val="28"/>
          <w:szCs w:val="28"/>
        </w:rPr>
        <w:t>, которая возникает на термисторах,</w:t>
      </w:r>
      <w:r w:rsidRPr="00600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помещённых в измерительную ячейку, насыщенную парами растворителя в случае, если на один из них нанесена капля чистого растворителя, а на другой – испытуемого раствора. Разница температур возникает</w:t>
      </w:r>
      <w:r w:rsidRPr="00600FCA">
        <w:rPr>
          <w:rFonts w:ascii="Times New Roman" w:hAnsi="Times New Roman" w:cs="Times New Roman"/>
          <w:sz w:val="28"/>
          <w:szCs w:val="28"/>
        </w:rPr>
        <w:t xml:space="preserve"> вследствие </w:t>
      </w:r>
      <w:r>
        <w:rPr>
          <w:rFonts w:ascii="Times New Roman" w:hAnsi="Times New Roman" w:cs="Times New Roman"/>
          <w:sz w:val="28"/>
          <w:szCs w:val="28"/>
        </w:rPr>
        <w:t>конденсации паров растворителя на капле раствора, так как давление пара растворителя над этой поверхностью меньше</w:t>
      </w:r>
      <w:r w:rsidRPr="00600FCA">
        <w:rPr>
          <w:rFonts w:ascii="Times New Roman" w:hAnsi="Times New Roman" w:cs="Times New Roman"/>
          <w:sz w:val="28"/>
          <w:szCs w:val="28"/>
        </w:rPr>
        <w:t xml:space="preserve">. </w:t>
      </w:r>
      <w:r w:rsidR="00996050" w:rsidRPr="00600FCA">
        <w:rPr>
          <w:rFonts w:ascii="Times New Roman" w:hAnsi="Times New Roman" w:cs="Times New Roman"/>
          <w:sz w:val="28"/>
          <w:szCs w:val="28"/>
        </w:rPr>
        <w:t>При этом температура капли раствора повышается за</w:t>
      </w:r>
      <w:r w:rsidR="009A4BF8">
        <w:rPr>
          <w:rFonts w:ascii="Times New Roman" w:hAnsi="Times New Roman" w:cs="Times New Roman"/>
          <w:sz w:val="28"/>
          <w:szCs w:val="28"/>
        </w:rPr>
        <w:t xml:space="preserve"> </w:t>
      </w:r>
      <w:r w:rsidR="00996050" w:rsidRPr="00600FCA">
        <w:rPr>
          <w:rFonts w:ascii="Times New Roman" w:hAnsi="Times New Roman" w:cs="Times New Roman"/>
          <w:sz w:val="28"/>
          <w:szCs w:val="28"/>
        </w:rPr>
        <w:t>сч</w:t>
      </w:r>
      <w:r w:rsidR="009A4BF8">
        <w:rPr>
          <w:rFonts w:ascii="Times New Roman" w:hAnsi="Times New Roman" w:cs="Times New Roman"/>
          <w:sz w:val="28"/>
          <w:szCs w:val="28"/>
        </w:rPr>
        <w:t>ё</w:t>
      </w:r>
      <w:r w:rsidR="00996050" w:rsidRPr="00600FCA">
        <w:rPr>
          <w:rFonts w:ascii="Times New Roman" w:hAnsi="Times New Roman" w:cs="Times New Roman"/>
          <w:sz w:val="28"/>
          <w:szCs w:val="28"/>
        </w:rPr>
        <w:t>т экзотермического процесса конденсации до тех пор, пока давление пара над каплей раствора и давление чистого растворителя в ячейке не сравняются.</w:t>
      </w:r>
      <w:r w:rsidR="00996050">
        <w:rPr>
          <w:rFonts w:ascii="Times New Roman" w:hAnsi="Times New Roman" w:cs="Times New Roman"/>
          <w:sz w:val="28"/>
          <w:szCs w:val="28"/>
        </w:rPr>
        <w:t xml:space="preserve"> </w:t>
      </w:r>
      <w:r w:rsidRPr="00600FCA">
        <w:rPr>
          <w:rFonts w:ascii="Times New Roman" w:hAnsi="Times New Roman" w:cs="Times New Roman"/>
          <w:sz w:val="28"/>
          <w:szCs w:val="28"/>
        </w:rPr>
        <w:t>При нанесении на оба термистора капли растворителя разность температур равна нулю. Разность температур практически пропорциональна моляльной концентрации раствора.</w:t>
      </w:r>
    </w:p>
    <w:p w:rsidR="00202E4C" w:rsidRDefault="00A5618B" w:rsidP="00F01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осмоляльности испытуемого раствора проводят с помощью парового осмометра. Предварительную калибровку прибора и измерения проводят в соотв</w:t>
      </w:r>
      <w:r w:rsidR="00C21462">
        <w:rPr>
          <w:rFonts w:ascii="Times New Roman" w:hAnsi="Times New Roman" w:cs="Times New Roman"/>
          <w:sz w:val="28"/>
          <w:szCs w:val="28"/>
        </w:rPr>
        <w:t>етствии с инструкцией к прибору.</w:t>
      </w:r>
    </w:p>
    <w:sectPr w:rsidR="00202E4C" w:rsidSect="00653D2A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7C" w:rsidRDefault="00572A7C" w:rsidP="00BF1454">
      <w:pPr>
        <w:spacing w:after="0" w:line="240" w:lineRule="auto"/>
      </w:pPr>
      <w:r>
        <w:separator/>
      </w:r>
    </w:p>
  </w:endnote>
  <w:endnote w:type="continuationSeparator" w:id="0">
    <w:p w:rsidR="00572A7C" w:rsidRDefault="00572A7C" w:rsidP="00BF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94343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2A7C" w:rsidRPr="002565DF" w:rsidRDefault="00F97D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565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2A7C" w:rsidRPr="002565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565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55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565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7C" w:rsidRPr="005B557E" w:rsidRDefault="00572A7C" w:rsidP="005B557E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7C" w:rsidRDefault="00572A7C" w:rsidP="00BF1454">
      <w:pPr>
        <w:spacing w:after="0" w:line="240" w:lineRule="auto"/>
      </w:pPr>
      <w:r>
        <w:separator/>
      </w:r>
    </w:p>
  </w:footnote>
  <w:footnote w:type="continuationSeparator" w:id="0">
    <w:p w:rsidR="00572A7C" w:rsidRDefault="00572A7C" w:rsidP="00BF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7C" w:rsidRPr="005B557E" w:rsidRDefault="00572A7C" w:rsidP="005B557E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D6D18"/>
    <w:multiLevelType w:val="hybridMultilevel"/>
    <w:tmpl w:val="76CC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54"/>
    <w:rsid w:val="000173B2"/>
    <w:rsid w:val="00043A00"/>
    <w:rsid w:val="00045095"/>
    <w:rsid w:val="00076309"/>
    <w:rsid w:val="00091C4F"/>
    <w:rsid w:val="000A7436"/>
    <w:rsid w:val="000B0488"/>
    <w:rsid w:val="000B777E"/>
    <w:rsid w:val="000F0A87"/>
    <w:rsid w:val="000F6243"/>
    <w:rsid w:val="00124E40"/>
    <w:rsid w:val="00146B2C"/>
    <w:rsid w:val="00161398"/>
    <w:rsid w:val="00166AAE"/>
    <w:rsid w:val="00182D0E"/>
    <w:rsid w:val="0019252F"/>
    <w:rsid w:val="00194FA1"/>
    <w:rsid w:val="001A1776"/>
    <w:rsid w:val="001A501C"/>
    <w:rsid w:val="001C1157"/>
    <w:rsid w:val="001D6ACB"/>
    <w:rsid w:val="00202E4C"/>
    <w:rsid w:val="00215403"/>
    <w:rsid w:val="00223369"/>
    <w:rsid w:val="00226710"/>
    <w:rsid w:val="00233B59"/>
    <w:rsid w:val="00234889"/>
    <w:rsid w:val="00235ADB"/>
    <w:rsid w:val="00246A24"/>
    <w:rsid w:val="002565DF"/>
    <w:rsid w:val="00256F91"/>
    <w:rsid w:val="00263F1B"/>
    <w:rsid w:val="0026551C"/>
    <w:rsid w:val="0027535B"/>
    <w:rsid w:val="00280C1C"/>
    <w:rsid w:val="00281862"/>
    <w:rsid w:val="00291E39"/>
    <w:rsid w:val="002A15EC"/>
    <w:rsid w:val="002C19D8"/>
    <w:rsid w:val="002E33D1"/>
    <w:rsid w:val="002F2235"/>
    <w:rsid w:val="003170F7"/>
    <w:rsid w:val="0032052D"/>
    <w:rsid w:val="00343DFA"/>
    <w:rsid w:val="00352178"/>
    <w:rsid w:val="003A7BDF"/>
    <w:rsid w:val="003D4A50"/>
    <w:rsid w:val="003F18B5"/>
    <w:rsid w:val="00405BD6"/>
    <w:rsid w:val="00406BC5"/>
    <w:rsid w:val="004072A7"/>
    <w:rsid w:val="00433CA9"/>
    <w:rsid w:val="00434B81"/>
    <w:rsid w:val="0044207F"/>
    <w:rsid w:val="00447934"/>
    <w:rsid w:val="0045287D"/>
    <w:rsid w:val="0046023A"/>
    <w:rsid w:val="00471484"/>
    <w:rsid w:val="00471E7D"/>
    <w:rsid w:val="00481689"/>
    <w:rsid w:val="004A18FF"/>
    <w:rsid w:val="004F5349"/>
    <w:rsid w:val="004F74EA"/>
    <w:rsid w:val="00520D14"/>
    <w:rsid w:val="00534B1B"/>
    <w:rsid w:val="00551E62"/>
    <w:rsid w:val="00554DA3"/>
    <w:rsid w:val="00566A45"/>
    <w:rsid w:val="00570414"/>
    <w:rsid w:val="0057284F"/>
    <w:rsid w:val="00572A7C"/>
    <w:rsid w:val="00583031"/>
    <w:rsid w:val="005946C2"/>
    <w:rsid w:val="005A16D7"/>
    <w:rsid w:val="005A5FE5"/>
    <w:rsid w:val="005B557E"/>
    <w:rsid w:val="005E4ECC"/>
    <w:rsid w:val="005F6ED4"/>
    <w:rsid w:val="00600FCA"/>
    <w:rsid w:val="00615F9B"/>
    <w:rsid w:val="00630803"/>
    <w:rsid w:val="006316BD"/>
    <w:rsid w:val="00632403"/>
    <w:rsid w:val="00646EBF"/>
    <w:rsid w:val="00651830"/>
    <w:rsid w:val="00653D2A"/>
    <w:rsid w:val="00655027"/>
    <w:rsid w:val="0065606B"/>
    <w:rsid w:val="00662D5E"/>
    <w:rsid w:val="0067099B"/>
    <w:rsid w:val="00682B7A"/>
    <w:rsid w:val="00685BEB"/>
    <w:rsid w:val="00691FBD"/>
    <w:rsid w:val="006B27E1"/>
    <w:rsid w:val="006E086F"/>
    <w:rsid w:val="00704BD7"/>
    <w:rsid w:val="00704F98"/>
    <w:rsid w:val="007248FC"/>
    <w:rsid w:val="00736763"/>
    <w:rsid w:val="00737696"/>
    <w:rsid w:val="0074282A"/>
    <w:rsid w:val="00752134"/>
    <w:rsid w:val="00765254"/>
    <w:rsid w:val="007742EC"/>
    <w:rsid w:val="00776706"/>
    <w:rsid w:val="007833DB"/>
    <w:rsid w:val="00784960"/>
    <w:rsid w:val="00790DEF"/>
    <w:rsid w:val="007A06C3"/>
    <w:rsid w:val="007F4D42"/>
    <w:rsid w:val="00803D33"/>
    <w:rsid w:val="008052EE"/>
    <w:rsid w:val="008250C5"/>
    <w:rsid w:val="00827FB9"/>
    <w:rsid w:val="00834109"/>
    <w:rsid w:val="00840C46"/>
    <w:rsid w:val="00843E07"/>
    <w:rsid w:val="00844472"/>
    <w:rsid w:val="008670FD"/>
    <w:rsid w:val="00890F78"/>
    <w:rsid w:val="008A25E5"/>
    <w:rsid w:val="008A4BCC"/>
    <w:rsid w:val="008B1F35"/>
    <w:rsid w:val="008C2291"/>
    <w:rsid w:val="008D3FA0"/>
    <w:rsid w:val="009255BA"/>
    <w:rsid w:val="009410FF"/>
    <w:rsid w:val="00946FD6"/>
    <w:rsid w:val="00957030"/>
    <w:rsid w:val="00980781"/>
    <w:rsid w:val="00996050"/>
    <w:rsid w:val="009A4BF8"/>
    <w:rsid w:val="009B009C"/>
    <w:rsid w:val="009B3065"/>
    <w:rsid w:val="009C36BD"/>
    <w:rsid w:val="009C60A1"/>
    <w:rsid w:val="009E03AD"/>
    <w:rsid w:val="009F6D40"/>
    <w:rsid w:val="00A10CC8"/>
    <w:rsid w:val="00A25F95"/>
    <w:rsid w:val="00A50971"/>
    <w:rsid w:val="00A5618B"/>
    <w:rsid w:val="00A734FE"/>
    <w:rsid w:val="00A76333"/>
    <w:rsid w:val="00A82B51"/>
    <w:rsid w:val="00A94ED0"/>
    <w:rsid w:val="00AA28F2"/>
    <w:rsid w:val="00AA39BC"/>
    <w:rsid w:val="00AB6415"/>
    <w:rsid w:val="00AB6AF6"/>
    <w:rsid w:val="00B14FC0"/>
    <w:rsid w:val="00B27839"/>
    <w:rsid w:val="00B3276E"/>
    <w:rsid w:val="00B407B2"/>
    <w:rsid w:val="00B42B70"/>
    <w:rsid w:val="00B4697C"/>
    <w:rsid w:val="00B611EE"/>
    <w:rsid w:val="00B65E31"/>
    <w:rsid w:val="00B74838"/>
    <w:rsid w:val="00BB3C95"/>
    <w:rsid w:val="00BB3CC3"/>
    <w:rsid w:val="00BD3A98"/>
    <w:rsid w:val="00BE119C"/>
    <w:rsid w:val="00BE7BBA"/>
    <w:rsid w:val="00BF1454"/>
    <w:rsid w:val="00BF16F1"/>
    <w:rsid w:val="00BF58C4"/>
    <w:rsid w:val="00C03D7C"/>
    <w:rsid w:val="00C1727D"/>
    <w:rsid w:val="00C21462"/>
    <w:rsid w:val="00C25BA6"/>
    <w:rsid w:val="00C31EFA"/>
    <w:rsid w:val="00C46778"/>
    <w:rsid w:val="00C473FA"/>
    <w:rsid w:val="00C51669"/>
    <w:rsid w:val="00C51ED3"/>
    <w:rsid w:val="00C53B3B"/>
    <w:rsid w:val="00C60D8D"/>
    <w:rsid w:val="00C76F85"/>
    <w:rsid w:val="00C85317"/>
    <w:rsid w:val="00CB2A43"/>
    <w:rsid w:val="00CC621D"/>
    <w:rsid w:val="00CD0B9C"/>
    <w:rsid w:val="00CD7858"/>
    <w:rsid w:val="00D02BFE"/>
    <w:rsid w:val="00D07B16"/>
    <w:rsid w:val="00D14F04"/>
    <w:rsid w:val="00D72C68"/>
    <w:rsid w:val="00D809CF"/>
    <w:rsid w:val="00DB6BA5"/>
    <w:rsid w:val="00DD1248"/>
    <w:rsid w:val="00DE3F0D"/>
    <w:rsid w:val="00DE4ADC"/>
    <w:rsid w:val="00DE54F6"/>
    <w:rsid w:val="00E04620"/>
    <w:rsid w:val="00E11D7F"/>
    <w:rsid w:val="00E12998"/>
    <w:rsid w:val="00E259AA"/>
    <w:rsid w:val="00E452AE"/>
    <w:rsid w:val="00E50C08"/>
    <w:rsid w:val="00E5539F"/>
    <w:rsid w:val="00E653ED"/>
    <w:rsid w:val="00E768BD"/>
    <w:rsid w:val="00E9248A"/>
    <w:rsid w:val="00E96D92"/>
    <w:rsid w:val="00EA7BFD"/>
    <w:rsid w:val="00EB41B6"/>
    <w:rsid w:val="00EB4D58"/>
    <w:rsid w:val="00F0178C"/>
    <w:rsid w:val="00F20526"/>
    <w:rsid w:val="00F36B4F"/>
    <w:rsid w:val="00F41522"/>
    <w:rsid w:val="00F65385"/>
    <w:rsid w:val="00F757D7"/>
    <w:rsid w:val="00F92D0E"/>
    <w:rsid w:val="00F97D8E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E5E5F-3EC6-4716-A0DB-2215910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454"/>
  </w:style>
  <w:style w:type="paragraph" w:styleId="a5">
    <w:name w:val="footer"/>
    <w:basedOn w:val="a"/>
    <w:link w:val="a6"/>
    <w:uiPriority w:val="99"/>
    <w:unhideWhenUsed/>
    <w:rsid w:val="00BF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454"/>
  </w:style>
  <w:style w:type="paragraph" w:styleId="a7">
    <w:name w:val="Balloon Text"/>
    <w:basedOn w:val="a"/>
    <w:link w:val="a8"/>
    <w:uiPriority w:val="99"/>
    <w:semiHidden/>
    <w:unhideWhenUsed/>
    <w:rsid w:val="00E0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6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10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63F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3F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3F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3F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3F1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0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84</cp:revision>
  <cp:lastPrinted>2023-07-11T11:51:00Z</cp:lastPrinted>
  <dcterms:created xsi:type="dcterms:W3CDTF">2022-02-03T07:04:00Z</dcterms:created>
  <dcterms:modified xsi:type="dcterms:W3CDTF">2023-07-11T11:57:00Z</dcterms:modified>
</cp:coreProperties>
</file>