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C5" w:rsidRDefault="00A22F7F" w:rsidP="006404C5">
      <w:pPr>
        <w:spacing w:after="0" w:line="360" w:lineRule="auto"/>
        <w:jc w:val="both"/>
        <w:rPr>
          <w:rFonts w:ascii="Times New Roman" w:eastAsia="Times New Roman" w:hAnsi="Times New Roman"/>
          <w:color w:val="000000"/>
          <w:spacing w:val="-10"/>
          <w:sz w:val="28"/>
          <w:szCs w:val="28"/>
        </w:rPr>
      </w:pPr>
      <w:r w:rsidRPr="00D24865">
        <w:rPr>
          <w:rFonts w:ascii="Times New Roman" w:eastAsia="Times New Roman" w:hAnsi="Times New Roman"/>
          <w:b/>
          <w:color w:val="000000"/>
          <w:spacing w:val="-10"/>
          <w:sz w:val="28"/>
          <w:szCs w:val="28"/>
        </w:rPr>
        <w:t>МИНИСТЕРСТВО ЗДРАВООХРАНЕНИЯ РОССИЙСКОЙ ФЕДЕРАЦИИ</w:t>
      </w:r>
    </w:p>
    <w:p w:rsidR="006404C5" w:rsidRPr="0013649B" w:rsidRDefault="006404C5">
      <w:pPr>
        <w:spacing w:after="0" w:line="360" w:lineRule="auto"/>
        <w:jc w:val="center"/>
        <w:rPr>
          <w:rFonts w:ascii="Times New Roman" w:eastAsiaTheme="minorHAnsi" w:hAnsi="Times New Roman"/>
          <w:color w:val="000000" w:themeColor="text1"/>
          <w:sz w:val="28"/>
          <w:szCs w:val="28"/>
        </w:rPr>
      </w:pPr>
    </w:p>
    <w:p w:rsidR="006404C5" w:rsidRPr="0013649B" w:rsidRDefault="006404C5">
      <w:pPr>
        <w:spacing w:after="0" w:line="360" w:lineRule="auto"/>
        <w:jc w:val="center"/>
        <w:rPr>
          <w:rFonts w:ascii="Times New Roman" w:eastAsiaTheme="minorHAnsi" w:hAnsi="Times New Roman"/>
          <w:color w:val="000000" w:themeColor="text1"/>
          <w:sz w:val="28"/>
          <w:szCs w:val="28"/>
        </w:rPr>
      </w:pPr>
    </w:p>
    <w:p w:rsidR="006404C5" w:rsidRPr="0013649B" w:rsidRDefault="006404C5">
      <w:pPr>
        <w:spacing w:after="0" w:line="360" w:lineRule="auto"/>
        <w:jc w:val="center"/>
        <w:rPr>
          <w:rFonts w:ascii="Times New Roman" w:eastAsiaTheme="minorHAnsi" w:hAnsi="Times New Roman"/>
          <w:color w:val="000000" w:themeColor="text1"/>
          <w:sz w:val="28"/>
          <w:szCs w:val="28"/>
        </w:rPr>
      </w:pPr>
    </w:p>
    <w:p w:rsidR="006404C5" w:rsidRDefault="00057B3A">
      <w:pPr>
        <w:spacing w:after="0" w:line="240" w:lineRule="auto"/>
        <w:jc w:val="center"/>
        <w:rPr>
          <w:rFonts w:ascii="Times New Roman" w:eastAsiaTheme="minorHAnsi" w:hAnsi="Times New Roman"/>
          <w:b/>
          <w:color w:val="000000" w:themeColor="text1"/>
          <w:sz w:val="32"/>
          <w:szCs w:val="32"/>
        </w:rPr>
      </w:pPr>
      <w:r w:rsidRPr="00057B3A">
        <w:rPr>
          <w:rFonts w:ascii="Times New Roman" w:eastAsiaTheme="minorHAnsi" w:hAnsi="Times New Roman"/>
          <w:b/>
          <w:color w:val="000000" w:themeColor="text1"/>
          <w:sz w:val="32"/>
          <w:szCs w:val="32"/>
        </w:rPr>
        <w:t>ОБЩАЯ ФАРМАКОПЕЙНАЯ СТАТЬЯ</w:t>
      </w:r>
    </w:p>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22F7F" w:rsidRPr="00D24865" w:rsidTr="003B17BE">
        <w:tc>
          <w:tcPr>
            <w:tcW w:w="9354" w:type="dxa"/>
          </w:tcPr>
          <w:p w:rsidR="006404C5" w:rsidRDefault="006404C5">
            <w:pPr>
              <w:jc w:val="center"/>
              <w:rPr>
                <w:rFonts w:ascii="Times New Roman" w:eastAsiaTheme="minorHAnsi" w:hAnsi="Times New Roman"/>
                <w:sz w:val="28"/>
                <w:szCs w:val="28"/>
              </w:rPr>
            </w:pPr>
          </w:p>
        </w:tc>
      </w:tr>
    </w:tbl>
    <w:p w:rsidR="006404C5" w:rsidRDefault="006404C5">
      <w:pPr>
        <w:spacing w:after="0" w:line="40" w:lineRule="exact"/>
        <w:jc w:val="center"/>
      </w:pPr>
    </w:p>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283"/>
        <w:gridCol w:w="3792"/>
      </w:tblGrid>
      <w:tr w:rsidR="00A22F7F" w:rsidRPr="00D24865" w:rsidTr="003B17BE">
        <w:trPr>
          <w:trHeight w:val="397"/>
        </w:trPr>
        <w:tc>
          <w:tcPr>
            <w:tcW w:w="5495" w:type="dxa"/>
          </w:tcPr>
          <w:p w:rsidR="006404C5" w:rsidRPr="00284698" w:rsidRDefault="0079407F" w:rsidP="0013649B">
            <w:pPr>
              <w:spacing w:after="120"/>
              <w:rPr>
                <w:rFonts w:ascii="Times New Roman" w:hAnsi="Times New Roman"/>
                <w:b/>
                <w:sz w:val="28"/>
                <w:szCs w:val="28"/>
              </w:rPr>
            </w:pPr>
            <w:r w:rsidRPr="00284698">
              <w:rPr>
                <w:rFonts w:ascii="Times New Roman" w:hAnsi="Times New Roman"/>
                <w:b/>
                <w:sz w:val="28"/>
                <w:szCs w:val="28"/>
              </w:rPr>
              <w:t>Определение удельной площади поверхности порошков методом газовой адсорбции</w:t>
            </w:r>
          </w:p>
        </w:tc>
        <w:tc>
          <w:tcPr>
            <w:tcW w:w="283" w:type="dxa"/>
          </w:tcPr>
          <w:p w:rsidR="00A22F7F" w:rsidRPr="00284698" w:rsidRDefault="00A22F7F" w:rsidP="0013649B">
            <w:pPr>
              <w:spacing w:after="120"/>
              <w:rPr>
                <w:rFonts w:ascii="Times New Roman" w:hAnsi="Times New Roman"/>
                <w:b/>
                <w:sz w:val="28"/>
                <w:szCs w:val="28"/>
              </w:rPr>
            </w:pPr>
          </w:p>
        </w:tc>
        <w:tc>
          <w:tcPr>
            <w:tcW w:w="3792" w:type="dxa"/>
          </w:tcPr>
          <w:p w:rsidR="006404C5" w:rsidRPr="00284698" w:rsidRDefault="0079407F" w:rsidP="0013649B">
            <w:pPr>
              <w:spacing w:after="120"/>
              <w:rPr>
                <w:rFonts w:ascii="Times New Roman" w:hAnsi="Times New Roman"/>
                <w:b/>
                <w:sz w:val="28"/>
                <w:szCs w:val="28"/>
              </w:rPr>
            </w:pPr>
            <w:r w:rsidRPr="00284698">
              <w:rPr>
                <w:rFonts w:ascii="Times New Roman" w:hAnsi="Times New Roman"/>
                <w:b/>
                <w:sz w:val="28"/>
                <w:szCs w:val="28"/>
              </w:rPr>
              <w:t>ОФС</w:t>
            </w:r>
            <w:r w:rsidR="001E25DA">
              <w:rPr>
                <w:rFonts w:ascii="Times New Roman" w:hAnsi="Times New Roman"/>
                <w:b/>
                <w:sz w:val="28"/>
                <w:szCs w:val="28"/>
              </w:rPr>
              <w:t>.1.1.1</w:t>
            </w:r>
            <w:bookmarkStart w:id="0" w:name="_GoBack"/>
            <w:bookmarkEnd w:id="0"/>
            <w:r w:rsidR="00B5225A">
              <w:rPr>
                <w:rFonts w:ascii="Times New Roman" w:hAnsi="Times New Roman"/>
                <w:b/>
                <w:sz w:val="28"/>
                <w:szCs w:val="28"/>
              </w:rPr>
              <w:t>.0009</w:t>
            </w:r>
          </w:p>
        </w:tc>
      </w:tr>
      <w:tr w:rsidR="00A22F7F" w:rsidRPr="00D24865" w:rsidTr="003B17BE">
        <w:trPr>
          <w:trHeight w:val="397"/>
        </w:trPr>
        <w:tc>
          <w:tcPr>
            <w:tcW w:w="5495" w:type="dxa"/>
          </w:tcPr>
          <w:p w:rsidR="006404C5" w:rsidRPr="00284698" w:rsidRDefault="006404C5" w:rsidP="0013649B">
            <w:pPr>
              <w:spacing w:after="120"/>
              <w:rPr>
                <w:rFonts w:ascii="Times New Roman" w:hAnsi="Times New Roman"/>
                <w:b/>
                <w:sz w:val="28"/>
                <w:szCs w:val="28"/>
              </w:rPr>
            </w:pPr>
          </w:p>
        </w:tc>
        <w:tc>
          <w:tcPr>
            <w:tcW w:w="283" w:type="dxa"/>
          </w:tcPr>
          <w:p w:rsidR="00A22F7F" w:rsidRPr="00284698" w:rsidRDefault="00A22F7F" w:rsidP="0013649B">
            <w:pPr>
              <w:spacing w:after="120"/>
              <w:rPr>
                <w:rFonts w:ascii="Times New Roman" w:hAnsi="Times New Roman"/>
                <w:b/>
                <w:sz w:val="28"/>
                <w:szCs w:val="28"/>
              </w:rPr>
            </w:pPr>
          </w:p>
        </w:tc>
        <w:tc>
          <w:tcPr>
            <w:tcW w:w="3792" w:type="dxa"/>
          </w:tcPr>
          <w:p w:rsidR="006404C5" w:rsidRPr="00284698" w:rsidRDefault="00817CE1" w:rsidP="0013649B">
            <w:pPr>
              <w:spacing w:after="120"/>
              <w:rPr>
                <w:rFonts w:ascii="Times New Roman" w:hAnsi="Times New Roman"/>
                <w:b/>
                <w:sz w:val="28"/>
                <w:szCs w:val="28"/>
              </w:rPr>
            </w:pPr>
            <w:r w:rsidRPr="00284698">
              <w:rPr>
                <w:rFonts w:ascii="Times New Roman" w:hAnsi="Times New Roman"/>
                <w:b/>
                <w:sz w:val="28"/>
                <w:szCs w:val="28"/>
              </w:rPr>
              <w:t>Вводится впервые</w:t>
            </w:r>
          </w:p>
        </w:tc>
      </w:tr>
    </w:tbl>
    <w:p w:rsidR="006404C5" w:rsidRDefault="006404C5" w:rsidP="00284698">
      <w:pPr>
        <w:spacing w:after="0" w:line="40" w:lineRule="exact"/>
        <w:jc w:val="center"/>
      </w:pPr>
    </w:p>
    <w:tbl>
      <w:tblPr>
        <w:tblStyle w:val="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B17BE" w:rsidRPr="00D24865" w:rsidTr="003B17BE">
        <w:tc>
          <w:tcPr>
            <w:tcW w:w="9354" w:type="dxa"/>
          </w:tcPr>
          <w:p w:rsidR="006404C5" w:rsidRDefault="006404C5">
            <w:pPr>
              <w:jc w:val="center"/>
              <w:rPr>
                <w:rFonts w:ascii="Times New Roman" w:eastAsiaTheme="minorHAnsi" w:hAnsi="Times New Roman"/>
                <w:sz w:val="28"/>
                <w:szCs w:val="28"/>
              </w:rPr>
            </w:pPr>
          </w:p>
        </w:tc>
      </w:tr>
    </w:tbl>
    <w:p w:rsidR="006404C5" w:rsidRDefault="006404C5" w:rsidP="0013649B">
      <w:pPr>
        <w:spacing w:after="0" w:line="360" w:lineRule="auto"/>
        <w:ind w:firstLine="709"/>
        <w:jc w:val="both"/>
        <w:rPr>
          <w:rFonts w:ascii="Times New Roman" w:eastAsiaTheme="minorHAnsi" w:hAnsi="Times New Roman"/>
          <w:sz w:val="28"/>
          <w:szCs w:val="28"/>
        </w:rPr>
      </w:pPr>
    </w:p>
    <w:p w:rsidR="00817CE1" w:rsidRDefault="00A518A2" w:rsidP="0013649B">
      <w:pPr>
        <w:spacing w:after="0" w:line="360" w:lineRule="auto"/>
        <w:ind w:firstLine="709"/>
        <w:jc w:val="both"/>
        <w:rPr>
          <w:rFonts w:ascii="Times New Roman" w:hAnsi="Times New Roman"/>
          <w:sz w:val="28"/>
          <w:szCs w:val="28"/>
        </w:rPr>
      </w:pPr>
      <w:r w:rsidRPr="00A47CCE">
        <w:rPr>
          <w:rFonts w:ascii="Times New Roman" w:hAnsi="Times New Roman"/>
          <w:sz w:val="28"/>
          <w:szCs w:val="28"/>
        </w:rPr>
        <w:t xml:space="preserve">Удельная поверхность порошка определяется физической адсорбцией газа на поверхности </w:t>
      </w:r>
      <w:r w:rsidR="00502D0F" w:rsidRPr="00A47CCE">
        <w:rPr>
          <w:rFonts w:ascii="Times New Roman" w:hAnsi="Times New Roman"/>
          <w:sz w:val="28"/>
          <w:szCs w:val="28"/>
        </w:rPr>
        <w:t>тв</w:t>
      </w:r>
      <w:r w:rsidR="00502D0F">
        <w:rPr>
          <w:rFonts w:ascii="Times New Roman" w:hAnsi="Times New Roman"/>
          <w:sz w:val="28"/>
          <w:szCs w:val="28"/>
        </w:rPr>
        <w:t>ё</w:t>
      </w:r>
      <w:r w:rsidR="00502D0F" w:rsidRPr="00A47CCE">
        <w:rPr>
          <w:rFonts w:ascii="Times New Roman" w:hAnsi="Times New Roman"/>
          <w:sz w:val="28"/>
          <w:szCs w:val="28"/>
        </w:rPr>
        <w:t xml:space="preserve">рдого </w:t>
      </w:r>
      <w:r w:rsidRPr="00A47CCE">
        <w:rPr>
          <w:rFonts w:ascii="Times New Roman" w:hAnsi="Times New Roman"/>
          <w:sz w:val="28"/>
          <w:szCs w:val="28"/>
        </w:rPr>
        <w:t>тела и расч</w:t>
      </w:r>
      <w:r w:rsidR="00502D0F">
        <w:rPr>
          <w:rFonts w:ascii="Times New Roman" w:hAnsi="Times New Roman"/>
          <w:sz w:val="28"/>
          <w:szCs w:val="28"/>
        </w:rPr>
        <w:t>ё</w:t>
      </w:r>
      <w:r w:rsidRPr="00A47CCE">
        <w:rPr>
          <w:rFonts w:ascii="Times New Roman" w:hAnsi="Times New Roman"/>
          <w:sz w:val="28"/>
          <w:szCs w:val="28"/>
        </w:rPr>
        <w:t xml:space="preserve">том количества газа адсорбента, соответствующе мономолекулярному слою на поверхности. Физическая адсорбция является результатом </w:t>
      </w:r>
      <w:r w:rsidR="00817CE1" w:rsidRPr="00A47CCE">
        <w:rPr>
          <w:rFonts w:ascii="Times New Roman" w:hAnsi="Times New Roman"/>
          <w:sz w:val="28"/>
          <w:szCs w:val="28"/>
        </w:rPr>
        <w:t>относительно слабых сил (сил Ван-дер-Ваальса), действующих между молекулами адсорбированного газа и адсорбирующей поверхностью испытуемого порошка.</w:t>
      </w:r>
    </w:p>
    <w:p w:rsidR="00817CE1" w:rsidRDefault="00817CE1" w:rsidP="0013649B">
      <w:pPr>
        <w:spacing w:after="0" w:line="360" w:lineRule="auto"/>
        <w:ind w:firstLine="709"/>
        <w:jc w:val="both"/>
        <w:rPr>
          <w:rFonts w:ascii="Times New Roman" w:hAnsi="Times New Roman"/>
          <w:sz w:val="28"/>
          <w:szCs w:val="28"/>
        </w:rPr>
      </w:pPr>
      <w:r>
        <w:rPr>
          <w:rFonts w:ascii="Times New Roman" w:hAnsi="Times New Roman"/>
          <w:sz w:val="28"/>
          <w:szCs w:val="28"/>
        </w:rPr>
        <w:t>По количеству газа, адсорбированного мономолекулярным слоем поверхности порошка, определяют</w:t>
      </w:r>
      <w:r w:rsidRPr="00F57F69">
        <w:rPr>
          <w:rFonts w:ascii="Times New Roman" w:hAnsi="Times New Roman"/>
          <w:sz w:val="28"/>
          <w:szCs w:val="28"/>
        </w:rPr>
        <w:t xml:space="preserve"> </w:t>
      </w:r>
      <w:r>
        <w:rPr>
          <w:rFonts w:ascii="Times New Roman" w:hAnsi="Times New Roman"/>
          <w:sz w:val="28"/>
          <w:szCs w:val="28"/>
        </w:rPr>
        <w:t>у</w:t>
      </w:r>
      <w:r w:rsidRPr="004E55C6">
        <w:rPr>
          <w:rFonts w:ascii="Times New Roman" w:hAnsi="Times New Roman"/>
          <w:sz w:val="28"/>
          <w:szCs w:val="28"/>
        </w:rPr>
        <w:t>дельн</w:t>
      </w:r>
      <w:r>
        <w:rPr>
          <w:rFonts w:ascii="Times New Roman" w:hAnsi="Times New Roman"/>
          <w:sz w:val="28"/>
          <w:szCs w:val="28"/>
        </w:rPr>
        <w:t>ую</w:t>
      </w:r>
      <w:r w:rsidRPr="004E55C6">
        <w:rPr>
          <w:rFonts w:ascii="Times New Roman" w:hAnsi="Times New Roman"/>
          <w:sz w:val="28"/>
          <w:szCs w:val="28"/>
        </w:rPr>
        <w:t xml:space="preserve"> </w:t>
      </w:r>
      <w:r>
        <w:rPr>
          <w:rFonts w:ascii="Times New Roman" w:hAnsi="Times New Roman"/>
          <w:sz w:val="28"/>
          <w:szCs w:val="28"/>
        </w:rPr>
        <w:t xml:space="preserve">площадь </w:t>
      </w:r>
      <w:r w:rsidRPr="004E55C6">
        <w:rPr>
          <w:rFonts w:ascii="Times New Roman" w:hAnsi="Times New Roman"/>
          <w:sz w:val="28"/>
          <w:szCs w:val="28"/>
        </w:rPr>
        <w:t>поверхност</w:t>
      </w:r>
      <w:r>
        <w:rPr>
          <w:rFonts w:ascii="Times New Roman" w:hAnsi="Times New Roman"/>
          <w:sz w:val="28"/>
          <w:szCs w:val="28"/>
        </w:rPr>
        <w:t>и</w:t>
      </w:r>
      <w:r w:rsidRPr="004E55C6">
        <w:rPr>
          <w:rFonts w:ascii="Times New Roman" w:hAnsi="Times New Roman"/>
          <w:sz w:val="28"/>
          <w:szCs w:val="28"/>
        </w:rPr>
        <w:t xml:space="preserve"> порошка</w:t>
      </w:r>
      <w:r>
        <w:rPr>
          <w:rFonts w:ascii="Times New Roman" w:hAnsi="Times New Roman"/>
          <w:sz w:val="28"/>
          <w:szCs w:val="28"/>
        </w:rPr>
        <w:t>.</w:t>
      </w:r>
      <w:r w:rsidRPr="004E55C6">
        <w:rPr>
          <w:rFonts w:ascii="Times New Roman" w:hAnsi="Times New Roman"/>
          <w:sz w:val="28"/>
          <w:szCs w:val="28"/>
        </w:rPr>
        <w:t xml:space="preserve"> </w:t>
      </w:r>
      <w:r>
        <w:rPr>
          <w:rFonts w:ascii="Times New Roman" w:hAnsi="Times New Roman"/>
          <w:sz w:val="28"/>
          <w:szCs w:val="28"/>
        </w:rPr>
        <w:t>Количество адсорбированного газа может быть измерено статистическими и динамическими методами.</w:t>
      </w:r>
    </w:p>
    <w:p w:rsidR="001F7D5F" w:rsidRDefault="00817CE1">
      <w:pPr>
        <w:keepNext/>
        <w:widowControl w:val="0"/>
        <w:autoSpaceDE w:val="0"/>
        <w:autoSpaceDN w:val="0"/>
        <w:adjustRightInd w:val="0"/>
        <w:spacing w:before="240" w:after="0" w:line="360" w:lineRule="auto"/>
        <w:jc w:val="center"/>
        <w:rPr>
          <w:rFonts w:ascii="Times New Roman" w:hAnsi="Times New Roman"/>
          <w:color w:val="000000"/>
          <w:sz w:val="28"/>
          <w:szCs w:val="28"/>
        </w:rPr>
      </w:pPr>
      <w:r>
        <w:rPr>
          <w:rFonts w:ascii="Times New Roman" w:hAnsi="Times New Roman"/>
          <w:b/>
          <w:sz w:val="28"/>
          <w:szCs w:val="28"/>
        </w:rPr>
        <w:t xml:space="preserve">Область </w:t>
      </w:r>
      <w:r w:rsidRPr="00912370">
        <w:rPr>
          <w:rFonts w:ascii="Times New Roman" w:hAnsi="Times New Roman"/>
          <w:b/>
          <w:sz w:val="28"/>
          <w:szCs w:val="28"/>
        </w:rPr>
        <w:t>применения</w:t>
      </w:r>
    </w:p>
    <w:p w:rsidR="00817CE1" w:rsidRPr="00FD22F3" w:rsidRDefault="00817CE1" w:rsidP="00817CE1">
      <w:pPr>
        <w:spacing w:after="0" w:line="360" w:lineRule="auto"/>
        <w:ind w:firstLine="709"/>
        <w:jc w:val="both"/>
        <w:rPr>
          <w:rFonts w:ascii="Times New Roman" w:hAnsi="Times New Roman"/>
          <w:color w:val="000000" w:themeColor="text1"/>
          <w:sz w:val="28"/>
          <w:szCs w:val="28"/>
        </w:rPr>
      </w:pPr>
      <w:r w:rsidRPr="00FD22F3">
        <w:rPr>
          <w:rFonts w:ascii="Times New Roman" w:hAnsi="Times New Roman"/>
          <w:color w:val="000000" w:themeColor="text1"/>
          <w:sz w:val="28"/>
          <w:szCs w:val="28"/>
        </w:rPr>
        <w:t>Определение удельной площади поверхности проводят для оценки технологических характеристик</w:t>
      </w:r>
      <w:r w:rsidR="00FD22F3" w:rsidRPr="00FD22F3">
        <w:rPr>
          <w:rFonts w:ascii="Times New Roman" w:hAnsi="Times New Roman"/>
          <w:color w:val="000000" w:themeColor="text1"/>
          <w:sz w:val="28"/>
          <w:szCs w:val="28"/>
        </w:rPr>
        <w:t xml:space="preserve"> фармацевтических субстанций и</w:t>
      </w:r>
      <w:r w:rsidRPr="00FD22F3">
        <w:rPr>
          <w:rFonts w:ascii="Times New Roman" w:hAnsi="Times New Roman"/>
          <w:color w:val="000000" w:themeColor="text1"/>
          <w:sz w:val="28"/>
          <w:szCs w:val="28"/>
        </w:rPr>
        <w:t xml:space="preserve"> порошков, используемых в качестве сорбентов, катализаторов, фильтрующих материалов и др.</w:t>
      </w:r>
    </w:p>
    <w:p w:rsidR="006404C5" w:rsidRDefault="00817CE1" w:rsidP="006404C5">
      <w:pPr>
        <w:keepNext/>
        <w:spacing w:before="240" w:after="0" w:line="360" w:lineRule="auto"/>
        <w:jc w:val="center"/>
        <w:rPr>
          <w:rFonts w:ascii="Times New Roman" w:hAnsi="Times New Roman"/>
          <w:b/>
          <w:sz w:val="28"/>
          <w:szCs w:val="28"/>
        </w:rPr>
      </w:pPr>
      <w:r w:rsidRPr="004E3597">
        <w:rPr>
          <w:rFonts w:ascii="Times New Roman" w:hAnsi="Times New Roman"/>
          <w:b/>
          <w:sz w:val="28"/>
          <w:szCs w:val="28"/>
        </w:rPr>
        <w:t>О</w:t>
      </w:r>
      <w:r>
        <w:rPr>
          <w:rFonts w:ascii="Times New Roman" w:hAnsi="Times New Roman"/>
          <w:b/>
          <w:sz w:val="28"/>
          <w:szCs w:val="28"/>
        </w:rPr>
        <w:t>сновные положения</w:t>
      </w:r>
    </w:p>
    <w:p w:rsidR="00817CE1" w:rsidRPr="003F780C"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Для математического описания физической адсорбции, основанной на теории мономолекулярной адсорбции, используют метод БЭТ, названный по начальным буквам фамилий авторов этого метода (</w:t>
      </w:r>
      <w:r w:rsidRPr="00BD14D4">
        <w:rPr>
          <w:rFonts w:ascii="Times New Roman" w:hAnsi="Times New Roman"/>
          <w:sz w:val="28"/>
          <w:szCs w:val="28"/>
        </w:rPr>
        <w:t xml:space="preserve">Брунауэр, Эмметт и </w:t>
      </w:r>
      <w:r w:rsidRPr="00BD14D4">
        <w:rPr>
          <w:rFonts w:ascii="Times New Roman" w:hAnsi="Times New Roman"/>
          <w:sz w:val="28"/>
          <w:szCs w:val="28"/>
        </w:rPr>
        <w:lastRenderedPageBreak/>
        <w:t>Теллер</w:t>
      </w:r>
      <w:r>
        <w:rPr>
          <w:rFonts w:ascii="Times New Roman" w:hAnsi="Times New Roman"/>
          <w:sz w:val="28"/>
          <w:szCs w:val="28"/>
        </w:rPr>
        <w:t>). Авторы предложили в качестве адсорбируемого газа использовать азот и проводить его адсорбцию на частицах порошка при температуре кипения жидкого азота, то есть при –</w:t>
      </w:r>
      <w:r w:rsidRPr="00F57F69">
        <w:rPr>
          <w:rFonts w:ascii="Times New Roman" w:hAnsi="Times New Roman"/>
          <w:sz w:val="28"/>
          <w:szCs w:val="28"/>
        </w:rPr>
        <w:t>195,8 °С</w:t>
      </w:r>
      <w:r>
        <w:rPr>
          <w:rFonts w:ascii="Times New Roman" w:hAnsi="Times New Roman"/>
          <w:sz w:val="28"/>
          <w:szCs w:val="28"/>
        </w:rPr>
        <w:t>.</w:t>
      </w:r>
    </w:p>
    <w:p w:rsidR="00817CE1" w:rsidRPr="003B6412"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Полученные данные обрабатывают в соответствии с уравнением изотермы адсорбции (БЭТ):</w:t>
      </w:r>
    </w:p>
    <w:tbl>
      <w:tblPr>
        <w:tblStyle w:val="a3"/>
        <w:tblW w:w="95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
        <w:gridCol w:w="897"/>
        <w:gridCol w:w="609"/>
        <w:gridCol w:w="416"/>
        <w:gridCol w:w="5773"/>
        <w:gridCol w:w="1713"/>
        <w:gridCol w:w="54"/>
      </w:tblGrid>
      <w:tr w:rsidR="0034325C" w:rsidTr="0013649B">
        <w:trPr>
          <w:gridAfter w:val="1"/>
          <w:wAfter w:w="54" w:type="dxa"/>
        </w:trPr>
        <w:tc>
          <w:tcPr>
            <w:tcW w:w="951" w:type="dxa"/>
            <w:gridSpan w:val="2"/>
          </w:tcPr>
          <w:p w:rsidR="006404C5" w:rsidRDefault="006404C5" w:rsidP="006404C5">
            <w:pPr>
              <w:pStyle w:val="Default"/>
              <w:jc w:val="center"/>
              <w:rPr>
                <w:rFonts w:eastAsia="Calibri"/>
                <w:sz w:val="28"/>
                <w:szCs w:val="28"/>
              </w:rPr>
            </w:pPr>
          </w:p>
        </w:tc>
        <w:tc>
          <w:tcPr>
            <w:tcW w:w="6798" w:type="dxa"/>
            <w:gridSpan w:val="3"/>
          </w:tcPr>
          <w:p w:rsidR="006404C5" w:rsidRDefault="001E25DA" w:rsidP="006404C5">
            <w:pPr>
              <w:autoSpaceDE w:val="0"/>
              <w:autoSpaceDN w:val="0"/>
              <w:adjustRightInd w:val="0"/>
              <w:spacing w:line="360" w:lineRule="auto"/>
              <w:jc w:val="center"/>
              <w:rPr>
                <w:i/>
                <w:sz w:val="28"/>
                <w:szCs w:val="28"/>
              </w:rPr>
            </w:pPr>
            <m:oMathPara>
              <m:oMathParaPr>
                <m:jc m:val="center"/>
              </m:oMathParaPr>
              <m:oMath>
                <m:f>
                  <m:fPr>
                    <m:ctrlPr>
                      <w:rPr>
                        <w:rFonts w:ascii="Cambria Math" w:hAnsi="Cambria Math"/>
                        <w:i/>
                        <w:sz w:val="28"/>
                        <w:szCs w:val="28"/>
                      </w:rPr>
                    </m:ctrlPr>
                  </m:fPr>
                  <m:num>
                    <m:r>
                      <w:rPr>
                        <w:rFonts w:ascii="Cambria Math" w:hAnsi="Cambria Math"/>
                        <w:sz w:val="28"/>
                        <w:szCs w:val="28"/>
                      </w:rPr>
                      <m:t>1</m:t>
                    </m:r>
                  </m:num>
                  <m:den>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a </m:t>
                            </m:r>
                          </m:sub>
                        </m:sSub>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0</m:t>
                                    </m:r>
                                  </m:sub>
                                </m:sSub>
                              </m:num>
                              <m:den>
                                <m:r>
                                  <w:rPr>
                                    <w:rFonts w:ascii="Cambria Math" w:hAnsi="Cambria Math"/>
                                    <w:sz w:val="28"/>
                                    <w:szCs w:val="28"/>
                                    <w:lang w:val="en-US"/>
                                  </w:rPr>
                                  <m:t>P</m:t>
                                </m:r>
                              </m:den>
                            </m:f>
                            <m:r>
                              <w:rPr>
                                <w:rFonts w:ascii="Cambria Math" w:hAnsi="Cambria Math"/>
                                <w:sz w:val="28"/>
                                <w:szCs w:val="28"/>
                                <w:lang w:val="en-US"/>
                              </w:rPr>
                              <m:t>-1</m:t>
                            </m:r>
                          </m:e>
                        </m:d>
                      </m:e>
                    </m: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C-1</m:t>
                    </m:r>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 xml:space="preserve">m </m:t>
                        </m:r>
                      </m:sub>
                    </m:sSub>
                    <m:r>
                      <w:rPr>
                        <w:rFonts w:ascii="Cambria Math" w:hAnsi="Cambria Math"/>
                        <w:sz w:val="28"/>
                        <w:szCs w:val="28"/>
                      </w:rPr>
                      <m:t>∙C</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P</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0</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m</m:t>
                        </m:r>
                      </m:sub>
                    </m:sSub>
                    <m:r>
                      <w:rPr>
                        <w:rFonts w:ascii="Cambria Math" w:hAnsi="Cambria Math"/>
                        <w:sz w:val="28"/>
                        <w:szCs w:val="28"/>
                      </w:rPr>
                      <m:t>∙C</m:t>
                    </m:r>
                  </m:den>
                </m:f>
                <m:r>
                  <w:rPr>
                    <w:rFonts w:ascii="Cambria Math" w:hAnsi="Cambria Math"/>
                    <w:sz w:val="28"/>
                    <w:szCs w:val="28"/>
                  </w:rPr>
                  <m:t>,</m:t>
                </m:r>
              </m:oMath>
            </m:oMathPara>
          </w:p>
        </w:tc>
        <w:tc>
          <w:tcPr>
            <w:tcW w:w="1713" w:type="dxa"/>
            <w:vAlign w:val="center"/>
          </w:tcPr>
          <w:p w:rsidR="006404C5" w:rsidRDefault="0034325C">
            <w:pPr>
              <w:pStyle w:val="Default"/>
              <w:jc w:val="right"/>
              <w:rPr>
                <w:rFonts w:eastAsia="Calibri"/>
                <w:sz w:val="28"/>
                <w:szCs w:val="28"/>
              </w:rPr>
            </w:pPr>
            <w:r w:rsidRPr="00051247">
              <w:rPr>
                <w:rFonts w:eastAsia="TimesNewRomanPSMT"/>
                <w:sz w:val="28"/>
                <w:szCs w:val="28"/>
              </w:rPr>
              <w:t>(1)</w:t>
            </w:r>
          </w:p>
        </w:tc>
      </w:tr>
      <w:tr w:rsidR="000E333B" w:rsidRPr="00160144" w:rsidTr="0013649B">
        <w:tblPrEx>
          <w:jc w:val="center"/>
          <w:tblInd w:w="0" w:type="dxa"/>
        </w:tblPrEx>
        <w:trPr>
          <w:gridBefore w:val="1"/>
          <w:wBefore w:w="54" w:type="dxa"/>
          <w:jc w:val="center"/>
        </w:trPr>
        <w:tc>
          <w:tcPr>
            <w:tcW w:w="897" w:type="dxa"/>
          </w:tcPr>
          <w:p w:rsidR="006404C5" w:rsidRPr="006404C5" w:rsidRDefault="006404C5" w:rsidP="0013649B">
            <w:pPr>
              <w:tabs>
                <w:tab w:val="left" w:pos="-180"/>
              </w:tabs>
              <w:spacing w:after="120"/>
              <w:rPr>
                <w:rFonts w:ascii="Times New Roman" w:hAnsi="Times New Roman"/>
                <w:bCs/>
                <w:spacing w:val="-5"/>
                <w:sz w:val="28"/>
                <w:szCs w:val="28"/>
              </w:rPr>
            </w:pPr>
            <w:r w:rsidRPr="006404C5">
              <w:rPr>
                <w:rFonts w:ascii="Times New Roman" w:hAnsi="Times New Roman"/>
                <w:bCs/>
                <w:spacing w:val="-5"/>
                <w:sz w:val="28"/>
                <w:szCs w:val="28"/>
              </w:rPr>
              <w:t>где</w:t>
            </w:r>
          </w:p>
        </w:tc>
        <w:tc>
          <w:tcPr>
            <w:tcW w:w="609" w:type="dxa"/>
          </w:tcPr>
          <w:p w:rsidR="006404C5" w:rsidRPr="0013649B" w:rsidRDefault="006404C5" w:rsidP="0013649B">
            <w:pPr>
              <w:tabs>
                <w:tab w:val="left" w:pos="-180"/>
              </w:tabs>
              <w:spacing w:after="120"/>
              <w:jc w:val="center"/>
              <w:rPr>
                <w:rFonts w:asciiTheme="majorHAnsi" w:hAnsiTheme="majorHAnsi"/>
                <w:bCs/>
                <w:i/>
                <w:spacing w:val="-5"/>
                <w:szCs w:val="28"/>
                <w:lang w:val="en-US"/>
              </w:rPr>
            </w:pPr>
            <w:r w:rsidRPr="0013649B">
              <w:rPr>
                <w:rFonts w:asciiTheme="majorHAnsi" w:hAnsiTheme="majorHAnsi"/>
                <w:i/>
                <w:sz w:val="28"/>
                <w:szCs w:val="28"/>
              </w:rPr>
              <w:t>Р</w:t>
            </w:r>
          </w:p>
        </w:tc>
        <w:tc>
          <w:tcPr>
            <w:tcW w:w="416" w:type="dxa"/>
          </w:tcPr>
          <w:p w:rsidR="006404C5" w:rsidRDefault="0034325C" w:rsidP="0013649B">
            <w:pPr>
              <w:tabs>
                <w:tab w:val="left" w:pos="-180"/>
              </w:tabs>
              <w:spacing w:after="120"/>
              <w:rPr>
                <w:rFonts w:ascii="Times New Roman" w:hAnsi="Times New Roman"/>
                <w:bCs/>
                <w:spacing w:val="-5"/>
                <w:szCs w:val="28"/>
              </w:rPr>
            </w:pPr>
            <w:r w:rsidRPr="006B129A">
              <w:rPr>
                <w:rFonts w:ascii="Times New Roman" w:hAnsi="Times New Roman"/>
                <w:bCs/>
                <w:spacing w:val="-5"/>
                <w:szCs w:val="28"/>
              </w:rPr>
              <w:t>−</w:t>
            </w:r>
          </w:p>
        </w:tc>
        <w:tc>
          <w:tcPr>
            <w:tcW w:w="7540" w:type="dxa"/>
            <w:gridSpan w:val="3"/>
          </w:tcPr>
          <w:p w:rsidR="006404C5" w:rsidRDefault="001C5A02" w:rsidP="0013649B">
            <w:pPr>
              <w:spacing w:after="120"/>
              <w:rPr>
                <w:rFonts w:ascii="Times New Roman" w:hAnsi="Times New Roman"/>
                <w:sz w:val="28"/>
                <w:szCs w:val="28"/>
              </w:rPr>
            </w:pPr>
            <w:r>
              <w:rPr>
                <w:rFonts w:ascii="Times New Roman" w:hAnsi="Times New Roman"/>
                <w:sz w:val="28"/>
                <w:szCs w:val="28"/>
              </w:rPr>
              <w:t>парциальное давление паров адсорбируемого газа в состоянии равновесия при соприкосновении с поверхностью при температуре –195,8 ºС, Па;</w:t>
            </w:r>
          </w:p>
        </w:tc>
      </w:tr>
      <w:tr w:rsidR="000E333B" w:rsidRPr="00160144" w:rsidTr="0013649B">
        <w:tblPrEx>
          <w:jc w:val="center"/>
          <w:tblInd w:w="0" w:type="dxa"/>
        </w:tblPrEx>
        <w:trPr>
          <w:gridBefore w:val="1"/>
          <w:wBefore w:w="54" w:type="dxa"/>
          <w:jc w:val="center"/>
        </w:trPr>
        <w:tc>
          <w:tcPr>
            <w:tcW w:w="897" w:type="dxa"/>
          </w:tcPr>
          <w:p w:rsidR="006404C5" w:rsidRDefault="006404C5" w:rsidP="0013649B">
            <w:pPr>
              <w:tabs>
                <w:tab w:val="left" w:pos="-180"/>
              </w:tabs>
              <w:spacing w:after="120"/>
              <w:rPr>
                <w:rFonts w:ascii="Times New Roman" w:hAnsi="Times New Roman"/>
                <w:bCs/>
                <w:spacing w:val="-5"/>
                <w:szCs w:val="28"/>
              </w:rPr>
            </w:pPr>
          </w:p>
        </w:tc>
        <w:tc>
          <w:tcPr>
            <w:tcW w:w="609" w:type="dxa"/>
          </w:tcPr>
          <w:p w:rsidR="006404C5" w:rsidRPr="0013649B" w:rsidRDefault="006404C5" w:rsidP="0013649B">
            <w:pPr>
              <w:tabs>
                <w:tab w:val="left" w:pos="-180"/>
              </w:tabs>
              <w:spacing w:after="120"/>
              <w:jc w:val="center"/>
              <w:rPr>
                <w:rFonts w:asciiTheme="majorHAnsi" w:hAnsiTheme="majorHAnsi"/>
                <w:bCs/>
                <w:i/>
                <w:spacing w:val="-5"/>
                <w:szCs w:val="28"/>
                <w:lang w:val="en-US"/>
              </w:rPr>
            </w:pPr>
            <w:r w:rsidRPr="0013649B">
              <w:rPr>
                <w:rFonts w:asciiTheme="majorHAnsi" w:hAnsiTheme="majorHAnsi"/>
                <w:i/>
                <w:sz w:val="28"/>
                <w:szCs w:val="28"/>
              </w:rPr>
              <w:t>Р</w:t>
            </w:r>
            <w:r w:rsidRPr="0013649B">
              <w:rPr>
                <w:rFonts w:asciiTheme="majorHAnsi" w:hAnsiTheme="majorHAnsi"/>
                <w:i/>
                <w:sz w:val="28"/>
                <w:szCs w:val="28"/>
                <w:vertAlign w:val="subscript"/>
              </w:rPr>
              <w:t>о</w:t>
            </w:r>
          </w:p>
        </w:tc>
        <w:tc>
          <w:tcPr>
            <w:tcW w:w="416" w:type="dxa"/>
          </w:tcPr>
          <w:p w:rsidR="006404C5" w:rsidRDefault="0034325C" w:rsidP="0013649B">
            <w:pPr>
              <w:spacing w:after="120"/>
              <w:rPr>
                <w:rFonts w:ascii="Times New Roman" w:hAnsi="Times New Roman"/>
                <w:bCs/>
                <w:spacing w:val="-5"/>
                <w:szCs w:val="28"/>
              </w:rPr>
            </w:pPr>
            <w:r w:rsidRPr="006B129A">
              <w:rPr>
                <w:rFonts w:ascii="Times New Roman" w:hAnsi="Times New Roman"/>
                <w:bCs/>
                <w:spacing w:val="-5"/>
                <w:szCs w:val="28"/>
              </w:rPr>
              <w:t>−</w:t>
            </w:r>
          </w:p>
        </w:tc>
        <w:tc>
          <w:tcPr>
            <w:tcW w:w="7540" w:type="dxa"/>
            <w:gridSpan w:val="3"/>
          </w:tcPr>
          <w:p w:rsidR="006404C5" w:rsidRDefault="001C5A02" w:rsidP="0013649B">
            <w:pPr>
              <w:pStyle w:val="Default"/>
              <w:spacing w:after="120"/>
              <w:rPr>
                <w:rFonts w:eastAsia="Calibri"/>
                <w:color w:val="auto"/>
                <w:szCs w:val="28"/>
              </w:rPr>
            </w:pPr>
            <w:r>
              <w:rPr>
                <w:sz w:val="28"/>
                <w:szCs w:val="28"/>
              </w:rPr>
              <w:t>давление насыщения адсорбируемого газа;</w:t>
            </w:r>
          </w:p>
        </w:tc>
      </w:tr>
      <w:tr w:rsidR="000E333B" w:rsidRPr="00160144" w:rsidTr="0013649B">
        <w:tblPrEx>
          <w:jc w:val="center"/>
          <w:tblInd w:w="0" w:type="dxa"/>
        </w:tblPrEx>
        <w:trPr>
          <w:gridBefore w:val="1"/>
          <w:wBefore w:w="54" w:type="dxa"/>
          <w:jc w:val="center"/>
        </w:trPr>
        <w:tc>
          <w:tcPr>
            <w:tcW w:w="897" w:type="dxa"/>
          </w:tcPr>
          <w:p w:rsidR="006404C5" w:rsidRDefault="006404C5" w:rsidP="0013649B">
            <w:pPr>
              <w:tabs>
                <w:tab w:val="left" w:pos="-180"/>
              </w:tabs>
              <w:spacing w:after="120"/>
              <w:rPr>
                <w:rFonts w:ascii="Times New Roman" w:hAnsi="Times New Roman"/>
                <w:bCs/>
                <w:spacing w:val="-5"/>
                <w:szCs w:val="28"/>
              </w:rPr>
            </w:pPr>
          </w:p>
        </w:tc>
        <w:tc>
          <w:tcPr>
            <w:tcW w:w="609" w:type="dxa"/>
          </w:tcPr>
          <w:p w:rsidR="006404C5" w:rsidRPr="0013649B" w:rsidRDefault="006404C5" w:rsidP="0013649B">
            <w:pPr>
              <w:tabs>
                <w:tab w:val="left" w:pos="-180"/>
              </w:tabs>
              <w:spacing w:after="120"/>
              <w:jc w:val="center"/>
              <w:rPr>
                <w:rFonts w:asciiTheme="majorHAnsi" w:hAnsiTheme="majorHAnsi"/>
                <w:i/>
                <w:szCs w:val="28"/>
                <w:lang w:val="en-US"/>
              </w:rPr>
            </w:pPr>
            <w:r w:rsidRPr="0013649B">
              <w:rPr>
                <w:rFonts w:asciiTheme="majorHAnsi" w:hAnsiTheme="majorHAnsi"/>
                <w:i/>
                <w:sz w:val="28"/>
                <w:szCs w:val="28"/>
                <w:lang w:val="en-US"/>
              </w:rPr>
              <w:t>V</w:t>
            </w:r>
            <w:r w:rsidRPr="0013649B">
              <w:rPr>
                <w:rFonts w:asciiTheme="majorHAnsi" w:hAnsiTheme="majorHAnsi"/>
                <w:i/>
                <w:sz w:val="28"/>
                <w:szCs w:val="28"/>
                <w:vertAlign w:val="subscript"/>
                <w:lang w:val="en-US"/>
              </w:rPr>
              <w:t>a</w:t>
            </w:r>
          </w:p>
        </w:tc>
        <w:tc>
          <w:tcPr>
            <w:tcW w:w="416" w:type="dxa"/>
          </w:tcPr>
          <w:p w:rsidR="006404C5" w:rsidRDefault="00E15B01" w:rsidP="0013649B">
            <w:pPr>
              <w:spacing w:after="120"/>
              <w:rPr>
                <w:rFonts w:ascii="Times New Roman" w:hAnsi="Times New Roman"/>
                <w:bCs/>
                <w:spacing w:val="-5"/>
                <w:szCs w:val="28"/>
              </w:rPr>
            </w:pPr>
            <w:r>
              <w:rPr>
                <w:rFonts w:ascii="Times New Roman" w:hAnsi="Times New Roman"/>
                <w:bCs/>
                <w:spacing w:val="-5"/>
                <w:szCs w:val="28"/>
              </w:rPr>
              <w:t>–</w:t>
            </w:r>
          </w:p>
        </w:tc>
        <w:tc>
          <w:tcPr>
            <w:tcW w:w="7540" w:type="dxa"/>
            <w:gridSpan w:val="3"/>
          </w:tcPr>
          <w:p w:rsidR="006404C5" w:rsidRDefault="001C5A02" w:rsidP="0013649B">
            <w:pPr>
              <w:pStyle w:val="Default"/>
              <w:spacing w:after="120"/>
              <w:rPr>
                <w:rFonts w:eastAsia="Calibri"/>
                <w:color w:val="auto"/>
                <w:sz w:val="28"/>
                <w:szCs w:val="28"/>
              </w:rPr>
            </w:pPr>
            <w:r>
              <w:rPr>
                <w:sz w:val="28"/>
                <w:szCs w:val="28"/>
              </w:rPr>
              <w:t>объ</w:t>
            </w:r>
            <w:r w:rsidR="00E15B01">
              <w:rPr>
                <w:sz w:val="28"/>
                <w:szCs w:val="28"/>
              </w:rPr>
              <w:t>ё</w:t>
            </w:r>
            <w:r>
              <w:rPr>
                <w:sz w:val="28"/>
                <w:szCs w:val="28"/>
              </w:rPr>
              <w:t xml:space="preserve">м газа, адсорбированного при стандартной температуре и давлении (далее – СТД) </w:t>
            </w:r>
            <w:r w:rsidRPr="006746F9">
              <w:rPr>
                <w:sz w:val="28"/>
                <w:szCs w:val="28"/>
              </w:rPr>
              <w:t>[</w:t>
            </w:r>
            <w:r>
              <w:rPr>
                <w:sz w:val="28"/>
                <w:szCs w:val="28"/>
              </w:rPr>
              <w:t>0º С и атмосферном давлении (1,013·10</w:t>
            </w:r>
            <w:r>
              <w:rPr>
                <w:sz w:val="28"/>
                <w:szCs w:val="28"/>
                <w:vertAlign w:val="superscript"/>
              </w:rPr>
              <w:t>5</w:t>
            </w:r>
            <w:r w:rsidRPr="000055CF">
              <w:rPr>
                <w:sz w:val="28"/>
                <w:szCs w:val="28"/>
              </w:rPr>
              <w:t> </w:t>
            </w:r>
            <w:r>
              <w:rPr>
                <w:sz w:val="28"/>
                <w:szCs w:val="28"/>
              </w:rPr>
              <w:t>Па)</w:t>
            </w:r>
            <w:r w:rsidRPr="006746F9">
              <w:rPr>
                <w:sz w:val="28"/>
                <w:szCs w:val="28"/>
              </w:rPr>
              <w:t>]</w:t>
            </w:r>
            <w:r>
              <w:rPr>
                <w:sz w:val="28"/>
                <w:szCs w:val="28"/>
              </w:rPr>
              <w:t>, мл;</w:t>
            </w:r>
          </w:p>
        </w:tc>
      </w:tr>
      <w:tr w:rsidR="000E333B" w:rsidRPr="00160144" w:rsidTr="0013649B">
        <w:tblPrEx>
          <w:jc w:val="center"/>
          <w:tblInd w:w="0" w:type="dxa"/>
        </w:tblPrEx>
        <w:trPr>
          <w:gridBefore w:val="1"/>
          <w:wBefore w:w="54" w:type="dxa"/>
          <w:jc w:val="center"/>
        </w:trPr>
        <w:tc>
          <w:tcPr>
            <w:tcW w:w="897" w:type="dxa"/>
          </w:tcPr>
          <w:p w:rsidR="006404C5" w:rsidRDefault="006404C5" w:rsidP="0013649B">
            <w:pPr>
              <w:tabs>
                <w:tab w:val="left" w:pos="-180"/>
              </w:tabs>
              <w:spacing w:after="120"/>
              <w:rPr>
                <w:rFonts w:ascii="Times New Roman" w:hAnsi="Times New Roman"/>
                <w:bCs/>
                <w:spacing w:val="-5"/>
                <w:szCs w:val="28"/>
              </w:rPr>
            </w:pPr>
          </w:p>
        </w:tc>
        <w:tc>
          <w:tcPr>
            <w:tcW w:w="609" w:type="dxa"/>
          </w:tcPr>
          <w:p w:rsidR="006404C5" w:rsidRPr="0013649B" w:rsidRDefault="006404C5" w:rsidP="0013649B">
            <w:pPr>
              <w:tabs>
                <w:tab w:val="left" w:pos="-180"/>
              </w:tabs>
              <w:spacing w:after="120"/>
              <w:jc w:val="center"/>
              <w:rPr>
                <w:rFonts w:asciiTheme="majorHAnsi" w:hAnsiTheme="majorHAnsi"/>
                <w:i/>
                <w:szCs w:val="28"/>
              </w:rPr>
            </w:pPr>
            <w:r w:rsidRPr="0013649B">
              <w:rPr>
                <w:rFonts w:asciiTheme="majorHAnsi" w:hAnsiTheme="majorHAnsi"/>
                <w:i/>
                <w:sz w:val="28"/>
                <w:szCs w:val="28"/>
                <w:lang w:val="en-US"/>
              </w:rPr>
              <w:t>V</w:t>
            </w:r>
            <w:r w:rsidRPr="0013649B">
              <w:rPr>
                <w:rFonts w:asciiTheme="majorHAnsi" w:hAnsiTheme="majorHAnsi"/>
                <w:i/>
                <w:sz w:val="28"/>
                <w:szCs w:val="28"/>
                <w:vertAlign w:val="subscript"/>
                <w:lang w:val="en-US"/>
              </w:rPr>
              <w:t>m</w:t>
            </w:r>
          </w:p>
        </w:tc>
        <w:tc>
          <w:tcPr>
            <w:tcW w:w="416" w:type="dxa"/>
          </w:tcPr>
          <w:p w:rsidR="006404C5" w:rsidRDefault="00E15B01" w:rsidP="0013649B">
            <w:pPr>
              <w:spacing w:after="120"/>
              <w:rPr>
                <w:rFonts w:ascii="Times New Roman" w:hAnsi="Times New Roman"/>
                <w:bCs/>
                <w:spacing w:val="-5"/>
                <w:szCs w:val="28"/>
              </w:rPr>
            </w:pPr>
            <w:r>
              <w:rPr>
                <w:rFonts w:ascii="Times New Roman" w:hAnsi="Times New Roman"/>
                <w:bCs/>
                <w:spacing w:val="-5"/>
                <w:szCs w:val="28"/>
              </w:rPr>
              <w:t>–</w:t>
            </w:r>
          </w:p>
        </w:tc>
        <w:tc>
          <w:tcPr>
            <w:tcW w:w="7540" w:type="dxa"/>
            <w:gridSpan w:val="3"/>
          </w:tcPr>
          <w:p w:rsidR="006404C5" w:rsidRDefault="001C5A02" w:rsidP="0013649B">
            <w:pPr>
              <w:spacing w:after="120"/>
              <w:rPr>
                <w:rFonts w:ascii="Times New Roman" w:hAnsi="Times New Roman"/>
                <w:sz w:val="28"/>
                <w:szCs w:val="28"/>
              </w:rPr>
            </w:pPr>
            <w:r>
              <w:rPr>
                <w:rFonts w:ascii="Times New Roman" w:hAnsi="Times New Roman"/>
                <w:sz w:val="28"/>
                <w:szCs w:val="28"/>
              </w:rPr>
              <w:t>объ</w:t>
            </w:r>
            <w:r w:rsidR="00E15B01">
              <w:rPr>
                <w:rFonts w:ascii="Times New Roman" w:hAnsi="Times New Roman"/>
                <w:sz w:val="28"/>
                <w:szCs w:val="28"/>
              </w:rPr>
              <w:t>ё</w:t>
            </w:r>
            <w:r>
              <w:rPr>
                <w:rFonts w:ascii="Times New Roman" w:hAnsi="Times New Roman"/>
                <w:sz w:val="28"/>
                <w:szCs w:val="28"/>
              </w:rPr>
              <w:t>м газа, адсорбированного при СТД, достаточный для образования видимого мономолекулярного слоя на поверхности образца, мл;</w:t>
            </w:r>
          </w:p>
        </w:tc>
      </w:tr>
      <w:tr w:rsidR="000E333B" w:rsidRPr="00160144" w:rsidTr="0013649B">
        <w:tblPrEx>
          <w:jc w:val="center"/>
          <w:tblInd w:w="0" w:type="dxa"/>
        </w:tblPrEx>
        <w:trPr>
          <w:gridBefore w:val="1"/>
          <w:wBefore w:w="54" w:type="dxa"/>
          <w:jc w:val="center"/>
        </w:trPr>
        <w:tc>
          <w:tcPr>
            <w:tcW w:w="897" w:type="dxa"/>
          </w:tcPr>
          <w:p w:rsidR="006404C5" w:rsidRDefault="006404C5" w:rsidP="0013649B">
            <w:pPr>
              <w:tabs>
                <w:tab w:val="left" w:pos="-180"/>
              </w:tabs>
              <w:spacing w:after="120"/>
              <w:rPr>
                <w:rFonts w:ascii="Times New Roman" w:hAnsi="Times New Roman"/>
                <w:bCs/>
                <w:spacing w:val="-5"/>
                <w:szCs w:val="28"/>
              </w:rPr>
            </w:pPr>
          </w:p>
        </w:tc>
        <w:tc>
          <w:tcPr>
            <w:tcW w:w="609" w:type="dxa"/>
          </w:tcPr>
          <w:p w:rsidR="006404C5" w:rsidRPr="0013649B" w:rsidRDefault="006404C5" w:rsidP="0013649B">
            <w:pPr>
              <w:tabs>
                <w:tab w:val="left" w:pos="-180"/>
              </w:tabs>
              <w:spacing w:after="120"/>
              <w:jc w:val="center"/>
              <w:rPr>
                <w:rFonts w:asciiTheme="majorHAnsi" w:hAnsiTheme="majorHAnsi"/>
                <w:i/>
                <w:szCs w:val="28"/>
              </w:rPr>
            </w:pPr>
            <w:r w:rsidRPr="0013649B">
              <w:rPr>
                <w:rFonts w:asciiTheme="majorHAnsi" w:hAnsiTheme="majorHAnsi"/>
                <w:i/>
                <w:sz w:val="28"/>
                <w:szCs w:val="28"/>
              </w:rPr>
              <w:t>С</w:t>
            </w:r>
          </w:p>
        </w:tc>
        <w:tc>
          <w:tcPr>
            <w:tcW w:w="416" w:type="dxa"/>
          </w:tcPr>
          <w:p w:rsidR="006404C5" w:rsidRDefault="00E15B01" w:rsidP="0013649B">
            <w:pPr>
              <w:spacing w:after="120"/>
              <w:rPr>
                <w:rFonts w:ascii="Times New Roman" w:hAnsi="Times New Roman"/>
                <w:bCs/>
                <w:spacing w:val="-5"/>
                <w:szCs w:val="28"/>
              </w:rPr>
            </w:pPr>
            <w:r>
              <w:rPr>
                <w:rFonts w:ascii="Times New Roman" w:hAnsi="Times New Roman"/>
                <w:bCs/>
                <w:spacing w:val="-5"/>
                <w:szCs w:val="28"/>
              </w:rPr>
              <w:t>–</w:t>
            </w:r>
          </w:p>
        </w:tc>
        <w:tc>
          <w:tcPr>
            <w:tcW w:w="7540" w:type="dxa"/>
            <w:gridSpan w:val="3"/>
          </w:tcPr>
          <w:p w:rsidR="006404C5" w:rsidRDefault="001C5A02" w:rsidP="0013649B">
            <w:pPr>
              <w:pStyle w:val="Default"/>
              <w:spacing w:after="120"/>
              <w:rPr>
                <w:color w:val="auto"/>
                <w:sz w:val="28"/>
                <w:szCs w:val="28"/>
              </w:rPr>
            </w:pPr>
            <w:r>
              <w:rPr>
                <w:sz w:val="28"/>
                <w:szCs w:val="28"/>
              </w:rPr>
              <w:t>безразмерная константа, характеризующая энтальпию адсорбции газа на образце порошка.</w:t>
            </w:r>
          </w:p>
        </w:tc>
      </w:tr>
    </w:tbl>
    <w:p w:rsidR="007730D2" w:rsidRDefault="00817CE1">
      <w:pPr>
        <w:spacing w:before="120" w:after="0" w:line="360" w:lineRule="auto"/>
        <w:ind w:firstLine="709"/>
        <w:jc w:val="both"/>
        <w:rPr>
          <w:rFonts w:ascii="Times New Roman" w:hAnsi="Times New Roman"/>
          <w:sz w:val="28"/>
          <w:szCs w:val="28"/>
        </w:rPr>
      </w:pPr>
      <w:r>
        <w:rPr>
          <w:rFonts w:ascii="Times New Roman" w:hAnsi="Times New Roman"/>
          <w:sz w:val="28"/>
          <w:szCs w:val="28"/>
        </w:rPr>
        <w:t>Различают многоточечное и одноточечное измерение.</w:t>
      </w:r>
    </w:p>
    <w:p w:rsidR="00817CE1" w:rsidRDefault="00817CE1" w:rsidP="00817CE1">
      <w:pPr>
        <w:spacing w:after="0" w:line="360" w:lineRule="auto"/>
        <w:ind w:firstLine="709"/>
        <w:jc w:val="both"/>
        <w:rPr>
          <w:rFonts w:ascii="Times New Roman" w:hAnsi="Times New Roman"/>
          <w:sz w:val="28"/>
          <w:szCs w:val="28"/>
        </w:rPr>
      </w:pPr>
      <w:r w:rsidRPr="00DF05C3">
        <w:rPr>
          <w:rFonts w:ascii="Times New Roman" w:hAnsi="Times New Roman"/>
          <w:i/>
          <w:sz w:val="28"/>
          <w:szCs w:val="28"/>
        </w:rPr>
        <w:t>Многоточечное измерение.</w:t>
      </w:r>
      <w:r>
        <w:rPr>
          <w:rFonts w:ascii="Times New Roman" w:hAnsi="Times New Roman"/>
          <w:i/>
          <w:sz w:val="28"/>
          <w:szCs w:val="28"/>
        </w:rPr>
        <w:t xml:space="preserve"> </w:t>
      </w:r>
      <w:r>
        <w:rPr>
          <w:rFonts w:ascii="Times New Roman" w:hAnsi="Times New Roman"/>
          <w:sz w:val="28"/>
          <w:szCs w:val="28"/>
        </w:rPr>
        <w:t>Как правило, для определения удельной площади поверхности методом динамического потока адсорбции газа</w:t>
      </w:r>
      <w:r w:rsidRPr="00630790">
        <w:rPr>
          <w:rFonts w:ascii="Times New Roman" w:hAnsi="Times New Roman"/>
          <w:sz w:val="28"/>
          <w:szCs w:val="28"/>
        </w:rPr>
        <w:t xml:space="preserve"> </w:t>
      </w:r>
      <w:r>
        <w:rPr>
          <w:rFonts w:ascii="Times New Roman" w:hAnsi="Times New Roman"/>
          <w:sz w:val="28"/>
          <w:szCs w:val="28"/>
        </w:rPr>
        <w:t>или методом объ</w:t>
      </w:r>
      <w:r w:rsidR="00502D0F">
        <w:rPr>
          <w:rFonts w:ascii="Times New Roman" w:hAnsi="Times New Roman"/>
          <w:sz w:val="28"/>
          <w:szCs w:val="28"/>
        </w:rPr>
        <w:t>ё</w:t>
      </w:r>
      <w:r>
        <w:rPr>
          <w:rFonts w:ascii="Times New Roman" w:hAnsi="Times New Roman"/>
          <w:sz w:val="28"/>
          <w:szCs w:val="28"/>
        </w:rPr>
        <w:t xml:space="preserve">много анализа газовой адсорбции требуется, как минимум, три измерения </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a</w:t>
      </w:r>
      <w:r>
        <w:rPr>
          <w:rFonts w:ascii="Times New Roman" w:hAnsi="Times New Roman"/>
          <w:sz w:val="28"/>
          <w:szCs w:val="28"/>
          <w:vertAlign w:val="subscript"/>
        </w:rPr>
        <w:t xml:space="preserve"> </w:t>
      </w:r>
      <w:r>
        <w:rPr>
          <w:rFonts w:ascii="Times New Roman" w:hAnsi="Times New Roman"/>
          <w:sz w:val="28"/>
          <w:szCs w:val="28"/>
        </w:rPr>
        <w:t>,</w:t>
      </w:r>
      <w:r>
        <w:rPr>
          <w:rFonts w:ascii="Times New Roman" w:hAnsi="Times New Roman"/>
          <w:sz w:val="28"/>
          <w:szCs w:val="28"/>
          <w:vertAlign w:val="subscript"/>
        </w:rPr>
        <w:t xml:space="preserve"> </w:t>
      </w:r>
      <w:r>
        <w:rPr>
          <w:rFonts w:ascii="Times New Roman" w:hAnsi="Times New Roman"/>
          <w:sz w:val="28"/>
          <w:szCs w:val="28"/>
        </w:rPr>
        <w:t xml:space="preserve">каждое измерение при различных значениях </w:t>
      </w:r>
      <w:r w:rsidR="000A1B42" w:rsidRPr="000A1B42">
        <w:rPr>
          <w:rFonts w:ascii="Times New Roman" w:hAnsi="Times New Roman"/>
          <w:i/>
          <w:sz w:val="28"/>
          <w:szCs w:val="28"/>
        </w:rPr>
        <w:t>Р/Р</w:t>
      </w:r>
      <w:r w:rsidR="000A1B42" w:rsidRPr="000A1B42">
        <w:rPr>
          <w:rFonts w:ascii="Times New Roman" w:hAnsi="Times New Roman"/>
          <w:i/>
          <w:sz w:val="28"/>
          <w:szCs w:val="28"/>
          <w:vertAlign w:val="subscript"/>
        </w:rPr>
        <w:t>о</w:t>
      </w:r>
      <w:r>
        <w:rPr>
          <w:rFonts w:ascii="Times New Roman" w:hAnsi="Times New Roman"/>
          <w:sz w:val="28"/>
          <w:szCs w:val="28"/>
        </w:rPr>
        <w:t>.</w:t>
      </w:r>
    </w:p>
    <w:p w:rsidR="00817CE1" w:rsidRPr="00164020"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Значение </w:t>
      </w:r>
      <w:r w:rsidR="00057B3A" w:rsidRPr="00057B3A">
        <w:rPr>
          <w:rFonts w:ascii="Times New Roman" w:hAnsi="Times New Roman"/>
          <w:i/>
          <w:sz w:val="28"/>
          <w:szCs w:val="28"/>
          <w:lang w:val="en-US"/>
        </w:rPr>
        <w:t>V</w:t>
      </w:r>
      <w:r w:rsidR="00057B3A" w:rsidRPr="00057B3A">
        <w:rPr>
          <w:rFonts w:ascii="Times New Roman" w:hAnsi="Times New Roman"/>
          <w:i/>
          <w:sz w:val="28"/>
          <w:szCs w:val="28"/>
          <w:vertAlign w:val="subscript"/>
          <w:lang w:val="en-US"/>
        </w:rPr>
        <w:t>a</w:t>
      </w:r>
      <w:r>
        <w:rPr>
          <w:rFonts w:ascii="Times New Roman" w:hAnsi="Times New Roman"/>
          <w:sz w:val="28"/>
          <w:szCs w:val="28"/>
          <w:vertAlign w:val="subscript"/>
        </w:rPr>
        <w:t xml:space="preserve"> </w:t>
      </w:r>
      <w:r>
        <w:rPr>
          <w:rFonts w:ascii="Times New Roman" w:hAnsi="Times New Roman"/>
          <w:sz w:val="28"/>
          <w:szCs w:val="28"/>
        </w:rPr>
        <w:t>измеряют для каждого, из не менее чем тр</w:t>
      </w:r>
      <w:r w:rsidR="00502D0F">
        <w:rPr>
          <w:rFonts w:ascii="Times New Roman" w:hAnsi="Times New Roman"/>
          <w:sz w:val="28"/>
          <w:szCs w:val="28"/>
        </w:rPr>
        <w:t>ё</w:t>
      </w:r>
      <w:r>
        <w:rPr>
          <w:rFonts w:ascii="Times New Roman" w:hAnsi="Times New Roman"/>
          <w:sz w:val="28"/>
          <w:szCs w:val="28"/>
        </w:rPr>
        <w:t xml:space="preserve">х, значений </w:t>
      </w:r>
      <w:r w:rsidR="000A1B42" w:rsidRPr="000A1B42">
        <w:rPr>
          <w:rFonts w:ascii="Times New Roman" w:hAnsi="Times New Roman"/>
          <w:i/>
          <w:sz w:val="28"/>
          <w:szCs w:val="28"/>
        </w:rPr>
        <w:t>Р/Р</w:t>
      </w:r>
      <w:r w:rsidR="000A1B42" w:rsidRPr="000A1B42">
        <w:rPr>
          <w:rFonts w:ascii="Times New Roman" w:hAnsi="Times New Roman"/>
          <w:i/>
          <w:sz w:val="28"/>
          <w:szCs w:val="28"/>
          <w:vertAlign w:val="subscript"/>
        </w:rPr>
        <w:t>о</w:t>
      </w:r>
      <w:r>
        <w:rPr>
          <w:rFonts w:ascii="Times New Roman" w:hAnsi="Times New Roman"/>
          <w:sz w:val="28"/>
          <w:szCs w:val="28"/>
        </w:rPr>
        <w:t>.</w:t>
      </w:r>
      <w:r w:rsidRPr="00E469E9">
        <w:rPr>
          <w:rFonts w:ascii="Times New Roman" w:hAnsi="Times New Roman"/>
          <w:sz w:val="28"/>
          <w:szCs w:val="28"/>
        </w:rPr>
        <w:t xml:space="preserve"> </w:t>
      </w:r>
      <w:r>
        <w:rPr>
          <w:rFonts w:ascii="Times New Roman" w:hAnsi="Times New Roman"/>
          <w:sz w:val="28"/>
          <w:szCs w:val="28"/>
        </w:rPr>
        <w:t>Затем значение БЭТ</w:t>
      </w:r>
      <w:r w:rsidR="0083218D">
        <w:rPr>
          <w:rFonts w:ascii="Times New Roman" w:hAnsi="Times New Roman"/>
          <w:sz w:val="28"/>
          <w:szCs w:val="28"/>
        </w:rPr>
        <w:t>.</w:t>
      </w:r>
    </w:p>
    <w:p w:rsidR="00817CE1" w:rsidRDefault="00817CE1" w:rsidP="00817CE1">
      <w:pPr>
        <w:spacing w:after="0" w:line="360" w:lineRule="auto"/>
        <w:jc w:val="center"/>
        <w:rPr>
          <w:rFonts w:ascii="Times New Roman" w:hAnsi="Times New Roman"/>
          <w:sz w:val="28"/>
          <w:szCs w:val="28"/>
        </w:rPr>
      </w:pPr>
      <w:r w:rsidRPr="00E10EA7">
        <w:rPr>
          <w:rFonts w:ascii="Times New Roman" w:hAnsi="Times New Roman"/>
          <w:position w:val="-64"/>
          <w:sz w:val="28"/>
          <w:szCs w:val="28"/>
          <w:lang w:val="en-US"/>
        </w:rPr>
        <w:object w:dxaOrig="12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75pt" o:ole="">
            <v:imagedata r:id="rId8" o:title=""/>
          </v:shape>
          <o:OLEObject Type="Embed" ProgID="Equation.3" ShapeID="_x0000_i1025" DrawAspect="Content" ObjectID="_1750659598" r:id="rId9"/>
        </w:object>
      </w:r>
    </w:p>
    <w:p w:rsidR="00817CE1" w:rsidRDefault="00817CE1" w:rsidP="00C74AB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наносят на график относительно </w:t>
      </w:r>
      <w:r w:rsidR="00057B3A" w:rsidRPr="00057B3A">
        <w:rPr>
          <w:rFonts w:ascii="Times New Roman" w:hAnsi="Times New Roman"/>
          <w:i/>
          <w:sz w:val="28"/>
          <w:szCs w:val="28"/>
        </w:rPr>
        <w:t>Р/Р</w:t>
      </w:r>
      <w:r w:rsidR="00057B3A" w:rsidRPr="00057B3A">
        <w:rPr>
          <w:rFonts w:ascii="Times New Roman" w:hAnsi="Times New Roman"/>
          <w:i/>
          <w:sz w:val="28"/>
          <w:szCs w:val="28"/>
          <w:vertAlign w:val="subscript"/>
        </w:rPr>
        <w:t>о</w:t>
      </w:r>
      <w:r>
        <w:rPr>
          <w:rFonts w:ascii="Times New Roman" w:hAnsi="Times New Roman"/>
          <w:sz w:val="28"/>
          <w:szCs w:val="28"/>
        </w:rPr>
        <w:t xml:space="preserve"> в соответствии с уравнением (1). Этот график должен, как правило, представлять прямую линию при приблизительном диапазоне относительных давлений от 0,05 до 0,3. Данные </w:t>
      </w:r>
      <w:r>
        <w:rPr>
          <w:rFonts w:ascii="Times New Roman" w:hAnsi="Times New Roman"/>
          <w:sz w:val="28"/>
          <w:szCs w:val="28"/>
        </w:rPr>
        <w:lastRenderedPageBreak/>
        <w:t xml:space="preserve">считают приемлемыми, если коэффициент корреляции </w:t>
      </w:r>
      <w:r w:rsidR="00502D0F">
        <w:rPr>
          <w:rFonts w:ascii="Times New Roman" w:hAnsi="Times New Roman"/>
          <w:sz w:val="28"/>
          <w:szCs w:val="28"/>
        </w:rPr>
        <w:t>(</w:t>
      </w:r>
      <w:r>
        <w:rPr>
          <w:rFonts w:ascii="Times New Roman" w:hAnsi="Times New Roman"/>
          <w:sz w:val="28"/>
          <w:szCs w:val="28"/>
          <w:lang w:val="en-US"/>
        </w:rPr>
        <w:t>r</w:t>
      </w:r>
      <w:r w:rsidR="00502D0F">
        <w:rPr>
          <w:rFonts w:ascii="Times New Roman" w:hAnsi="Times New Roman"/>
          <w:sz w:val="28"/>
          <w:szCs w:val="28"/>
        </w:rPr>
        <w:t>)</w:t>
      </w:r>
      <w:r>
        <w:rPr>
          <w:rFonts w:ascii="Times New Roman" w:hAnsi="Times New Roman"/>
          <w:sz w:val="28"/>
          <w:szCs w:val="28"/>
        </w:rPr>
        <w:t xml:space="preserve"> линейной регрессии составляет не менее 0,9975; то есть </w:t>
      </w:r>
      <w:r>
        <w:rPr>
          <w:rFonts w:ascii="Times New Roman" w:hAnsi="Times New Roman"/>
          <w:sz w:val="28"/>
          <w:szCs w:val="28"/>
          <w:lang w:val="en-US"/>
        </w:rPr>
        <w:t>r</w:t>
      </w:r>
      <w:r w:rsidRPr="00F85786">
        <w:rPr>
          <w:rFonts w:ascii="Times New Roman" w:hAnsi="Times New Roman"/>
          <w:sz w:val="28"/>
          <w:szCs w:val="28"/>
          <w:vertAlign w:val="superscript"/>
        </w:rPr>
        <w:t>2</w:t>
      </w:r>
      <w:r>
        <w:rPr>
          <w:rFonts w:ascii="Times New Roman" w:hAnsi="Times New Roman"/>
          <w:sz w:val="28"/>
          <w:szCs w:val="28"/>
        </w:rPr>
        <w:t xml:space="preserve"> составляет не менее 0,995. Из полученного линейного графика тангенс угла наклона, равный (</w:t>
      </w:r>
      <w:r w:rsidR="000A1B42" w:rsidRPr="000A1B42">
        <w:rPr>
          <w:rFonts w:ascii="Times New Roman" w:hAnsi="Times New Roman"/>
          <w:i/>
          <w:sz w:val="28"/>
          <w:szCs w:val="28"/>
        </w:rPr>
        <w:t>С</w:t>
      </w:r>
      <w:r w:rsidR="00A16B4A">
        <w:rPr>
          <w:rFonts w:ascii="Times New Roman" w:hAnsi="Times New Roman"/>
          <w:i/>
          <w:sz w:val="28"/>
          <w:szCs w:val="28"/>
        </w:rPr>
        <w:t>-</w:t>
      </w:r>
      <w:r w:rsidRPr="00502D0F">
        <w:rPr>
          <w:rFonts w:ascii="Times New Roman" w:hAnsi="Times New Roman"/>
          <w:sz w:val="28"/>
          <w:szCs w:val="28"/>
        </w:rPr>
        <w:t>1</w:t>
      </w:r>
      <w:r>
        <w:rPr>
          <w:rFonts w:ascii="Times New Roman" w:hAnsi="Times New Roman"/>
          <w:sz w:val="28"/>
          <w:szCs w:val="28"/>
        </w:rPr>
        <w:t>)/</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m</w:t>
      </w:r>
      <w:r w:rsidR="000A1B42" w:rsidRPr="000A1B42">
        <w:rPr>
          <w:rFonts w:ascii="Times New Roman" w:hAnsi="Times New Roman"/>
          <w:i/>
          <w:sz w:val="28"/>
          <w:szCs w:val="28"/>
          <w:lang w:val="en-US"/>
        </w:rPr>
        <w:t>C</w:t>
      </w:r>
      <w:r>
        <w:rPr>
          <w:rFonts w:ascii="Times New Roman" w:hAnsi="Times New Roman"/>
          <w:sz w:val="28"/>
          <w:szCs w:val="28"/>
        </w:rPr>
        <w:t>,</w:t>
      </w:r>
      <w:r w:rsidRPr="00E24C89">
        <w:rPr>
          <w:rFonts w:ascii="Times New Roman" w:hAnsi="Times New Roman"/>
          <w:sz w:val="28"/>
          <w:szCs w:val="28"/>
        </w:rPr>
        <w:t xml:space="preserve"> </w:t>
      </w:r>
      <w:r>
        <w:rPr>
          <w:rFonts w:ascii="Times New Roman" w:hAnsi="Times New Roman"/>
          <w:sz w:val="28"/>
          <w:szCs w:val="28"/>
        </w:rPr>
        <w:t>и точку пересечения, равную 1/</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m</w:t>
      </w:r>
      <w:r w:rsidR="000A1B42" w:rsidRPr="000A1B42">
        <w:rPr>
          <w:rFonts w:ascii="Times New Roman" w:hAnsi="Times New Roman"/>
          <w:i/>
          <w:sz w:val="28"/>
          <w:szCs w:val="28"/>
          <w:lang w:val="en-US"/>
        </w:rPr>
        <w:t>C</w:t>
      </w:r>
      <w:r>
        <w:rPr>
          <w:rFonts w:ascii="Times New Roman" w:hAnsi="Times New Roman"/>
          <w:sz w:val="28"/>
          <w:szCs w:val="28"/>
        </w:rPr>
        <w:t>,</w:t>
      </w:r>
      <w:r w:rsidRPr="00FB539F">
        <w:rPr>
          <w:rFonts w:ascii="Times New Roman" w:hAnsi="Times New Roman"/>
          <w:sz w:val="28"/>
          <w:szCs w:val="28"/>
        </w:rPr>
        <w:t xml:space="preserve"> </w:t>
      </w:r>
      <w:r>
        <w:rPr>
          <w:rFonts w:ascii="Times New Roman" w:hAnsi="Times New Roman"/>
          <w:sz w:val="28"/>
          <w:szCs w:val="28"/>
        </w:rPr>
        <w:t>оценивают методом линейной регрессии. Исходя из данных значений рассчитывают</w:t>
      </w:r>
      <w:r w:rsidRPr="00B514FD">
        <w:rPr>
          <w:rFonts w:ascii="Times New Roman" w:hAnsi="Times New Roman"/>
          <w:sz w:val="28"/>
          <w:szCs w:val="28"/>
        </w:rPr>
        <w:t xml:space="preserve"> </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m</w:t>
      </w:r>
      <w:r>
        <w:rPr>
          <w:rFonts w:ascii="Times New Roman" w:hAnsi="Times New Roman"/>
          <w:sz w:val="28"/>
          <w:szCs w:val="28"/>
        </w:rPr>
        <w:t xml:space="preserve"> как 1/(</w:t>
      </w:r>
      <w:r w:rsidRPr="00FB539F">
        <w:rPr>
          <w:rFonts w:ascii="Times New Roman" w:hAnsi="Times New Roman"/>
          <w:i/>
          <w:sz w:val="28"/>
          <w:szCs w:val="28"/>
        </w:rPr>
        <w:t>тангенс угла наклона</w:t>
      </w:r>
      <w:r>
        <w:rPr>
          <w:rFonts w:ascii="Times New Roman" w:hAnsi="Times New Roman"/>
          <w:sz w:val="28"/>
          <w:szCs w:val="28"/>
        </w:rPr>
        <w:t xml:space="preserve">+ </w:t>
      </w:r>
      <w:r w:rsidRPr="00FB539F">
        <w:rPr>
          <w:rFonts w:ascii="Times New Roman" w:hAnsi="Times New Roman"/>
          <w:i/>
          <w:sz w:val="28"/>
          <w:szCs w:val="28"/>
        </w:rPr>
        <w:t>пересечение</w:t>
      </w:r>
      <w:r>
        <w:rPr>
          <w:rFonts w:ascii="Times New Roman" w:hAnsi="Times New Roman"/>
          <w:sz w:val="28"/>
          <w:szCs w:val="28"/>
        </w:rPr>
        <w:t>), и рассчитывают С как (</w:t>
      </w:r>
      <w:r w:rsidRPr="00FB539F">
        <w:rPr>
          <w:rFonts w:ascii="Times New Roman" w:hAnsi="Times New Roman"/>
          <w:i/>
          <w:sz w:val="28"/>
          <w:szCs w:val="28"/>
        </w:rPr>
        <w:t>тангенс угла наклона</w:t>
      </w:r>
      <w:r>
        <w:rPr>
          <w:rFonts w:ascii="Times New Roman" w:hAnsi="Times New Roman"/>
          <w:i/>
          <w:sz w:val="28"/>
          <w:szCs w:val="28"/>
        </w:rPr>
        <w:t>/</w:t>
      </w:r>
      <w:r w:rsidRPr="00FB539F">
        <w:rPr>
          <w:rFonts w:ascii="Times New Roman" w:hAnsi="Times New Roman"/>
          <w:i/>
          <w:sz w:val="28"/>
          <w:szCs w:val="28"/>
        </w:rPr>
        <w:t>пересечение</w:t>
      </w:r>
      <w:r>
        <w:rPr>
          <w:rFonts w:ascii="Times New Roman" w:hAnsi="Times New Roman"/>
          <w:sz w:val="28"/>
          <w:szCs w:val="28"/>
        </w:rPr>
        <w:t>)+1.</w:t>
      </w:r>
    </w:p>
    <w:p w:rsidR="00817CE1" w:rsidRPr="003B6412"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Из определ</w:t>
      </w:r>
      <w:r w:rsidR="00870B58">
        <w:rPr>
          <w:rFonts w:ascii="Times New Roman" w:hAnsi="Times New Roman"/>
          <w:sz w:val="28"/>
          <w:szCs w:val="28"/>
        </w:rPr>
        <w:t>ё</w:t>
      </w:r>
      <w:r>
        <w:rPr>
          <w:rFonts w:ascii="Times New Roman" w:hAnsi="Times New Roman"/>
          <w:sz w:val="28"/>
          <w:szCs w:val="28"/>
        </w:rPr>
        <w:t xml:space="preserve">нного таким образом значения </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m</w:t>
      </w:r>
      <w:r>
        <w:rPr>
          <w:rFonts w:ascii="Times New Roman" w:hAnsi="Times New Roman"/>
          <w:sz w:val="28"/>
          <w:szCs w:val="28"/>
        </w:rPr>
        <w:t>, рассчитывают удельную площадь поверхности (</w:t>
      </w:r>
      <w:r>
        <w:rPr>
          <w:rFonts w:ascii="Times New Roman" w:hAnsi="Times New Roman"/>
          <w:sz w:val="28"/>
          <w:szCs w:val="28"/>
          <w:lang w:val="en-US"/>
        </w:rPr>
        <w:t>S</w:t>
      </w:r>
      <w:r>
        <w:rPr>
          <w:rFonts w:ascii="Times New Roman" w:hAnsi="Times New Roman"/>
          <w:sz w:val="28"/>
          <w:szCs w:val="28"/>
        </w:rPr>
        <w:t>) в м</w:t>
      </w:r>
      <w:r w:rsidRPr="0025765D">
        <w:rPr>
          <w:rFonts w:ascii="Times New Roman" w:hAnsi="Times New Roman"/>
          <w:sz w:val="28"/>
          <w:szCs w:val="28"/>
          <w:vertAlign w:val="superscript"/>
        </w:rPr>
        <w:t>2</w:t>
      </w:r>
      <w:r>
        <w:rPr>
          <w:rFonts w:ascii="Times New Roman" w:hAnsi="Times New Roman"/>
          <w:sz w:val="28"/>
          <w:szCs w:val="28"/>
          <w:vertAlign w:val="superscript"/>
        </w:rPr>
        <w:t>·</w:t>
      </w:r>
      <w:r>
        <w:rPr>
          <w:rFonts w:ascii="Times New Roman" w:hAnsi="Times New Roman"/>
          <w:sz w:val="28"/>
          <w:szCs w:val="28"/>
        </w:rPr>
        <w:t>г</w:t>
      </w:r>
      <w:r w:rsidR="0013649B">
        <w:rPr>
          <w:rFonts w:ascii="Times New Roman" w:hAnsi="Times New Roman"/>
          <w:sz w:val="28"/>
          <w:szCs w:val="28"/>
          <w:vertAlign w:val="superscript"/>
        </w:rPr>
        <w:t>–</w:t>
      </w:r>
      <w:r w:rsidRPr="0025765D">
        <w:rPr>
          <w:rFonts w:ascii="Times New Roman" w:hAnsi="Times New Roman"/>
          <w:sz w:val="28"/>
          <w:szCs w:val="28"/>
          <w:vertAlign w:val="superscript"/>
        </w:rPr>
        <w:t>1</w:t>
      </w:r>
      <w:r>
        <w:rPr>
          <w:rFonts w:ascii="Times New Roman" w:hAnsi="Times New Roman"/>
          <w:sz w:val="28"/>
          <w:szCs w:val="28"/>
        </w:rPr>
        <w:t>, по уравнению:</w:t>
      </w:r>
    </w:p>
    <w:tbl>
      <w:tblPr>
        <w:tblStyle w:val="a3"/>
        <w:tblW w:w="95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
        <w:gridCol w:w="656"/>
        <w:gridCol w:w="536"/>
        <w:gridCol w:w="489"/>
        <w:gridCol w:w="336"/>
        <w:gridCol w:w="5680"/>
        <w:gridCol w:w="1692"/>
        <w:gridCol w:w="103"/>
      </w:tblGrid>
      <w:tr w:rsidR="000E333B" w:rsidTr="00CD64D6">
        <w:trPr>
          <w:gridAfter w:val="1"/>
          <w:wAfter w:w="103" w:type="dxa"/>
          <w:trHeight w:val="814"/>
        </w:trPr>
        <w:tc>
          <w:tcPr>
            <w:tcW w:w="1294" w:type="dxa"/>
            <w:gridSpan w:val="3"/>
          </w:tcPr>
          <w:p w:rsidR="009F2110" w:rsidRDefault="009F2110" w:rsidP="00E42DC7">
            <w:pPr>
              <w:pStyle w:val="Default"/>
              <w:jc w:val="both"/>
              <w:rPr>
                <w:sz w:val="28"/>
                <w:szCs w:val="28"/>
              </w:rPr>
            </w:pPr>
          </w:p>
        </w:tc>
        <w:tc>
          <w:tcPr>
            <w:tcW w:w="6505" w:type="dxa"/>
            <w:gridSpan w:val="3"/>
          </w:tcPr>
          <w:p w:rsidR="006404C5" w:rsidRPr="006404C5" w:rsidRDefault="0079407F" w:rsidP="006404C5">
            <w:pPr>
              <w:spacing w:line="360" w:lineRule="auto"/>
              <w:jc w:val="center"/>
              <w:rPr>
                <w:rFonts w:ascii="Times New Roman" w:hAnsi="Times New Roman"/>
                <w:i/>
                <w:sz w:val="28"/>
                <w:szCs w:val="28"/>
                <w:lang w:val="en-US"/>
              </w:rPr>
            </w:pPr>
            <m:oMathPara>
              <m:oMath>
                <m:r>
                  <w:rPr>
                    <w:rFonts w:ascii="Cambria Math" w:hAnsi="Cambria Math" w:cs="Cambria Math"/>
                    <w:sz w:val="28"/>
                    <w:szCs w:val="28"/>
                  </w:rPr>
                  <m:t>S=</m:t>
                </m:r>
                <m:f>
                  <m:fPr>
                    <m:ctrlPr>
                      <w:rPr>
                        <w:rFonts w:ascii="Cambria Math" w:hAnsi="Cambria Math"/>
                        <w:i/>
                        <w:sz w:val="28"/>
                        <w:szCs w:val="28"/>
                      </w:rPr>
                    </m:ctrlPr>
                  </m:fPr>
                  <m:num>
                    <m:sSub>
                      <m:sSubPr>
                        <m:ctrlPr>
                          <w:rPr>
                            <w:rFonts w:ascii="Cambria Math" w:hAnsi="Cambria Math" w:cs="Cambria Math"/>
                            <w:i/>
                            <w:sz w:val="28"/>
                            <w:szCs w:val="28"/>
                          </w:rPr>
                        </m:ctrlPr>
                      </m:sSubPr>
                      <m:e>
                        <m:r>
                          <w:rPr>
                            <w:rFonts w:ascii="Cambria Math" w:hAnsi="Cambria Math" w:cs="Cambria Math"/>
                            <w:sz w:val="28"/>
                            <w:szCs w:val="28"/>
                          </w:rPr>
                          <m:t>V</m:t>
                        </m:r>
                      </m:e>
                      <m:sub>
                        <m:r>
                          <w:rPr>
                            <w:rFonts w:ascii="Cambria Math" w:hAnsi="Cambria Math" w:cs="Cambria Math"/>
                            <w:sz w:val="28"/>
                            <w:szCs w:val="28"/>
                          </w:rPr>
                          <m:t xml:space="preserve">m </m:t>
                        </m:r>
                      </m:sub>
                    </m:sSub>
                    <m:r>
                      <w:rPr>
                        <w:rFonts w:ascii="Cambria Math" w:hAnsi="Cambria Math" w:cs="Cambria Math"/>
                        <w:sz w:val="28"/>
                        <w:szCs w:val="28"/>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m:t>
                        </m:r>
                      </m:sub>
                    </m:sSub>
                  </m:num>
                  <m:den>
                    <m:r>
                      <w:rPr>
                        <w:rFonts w:ascii="Cambria Math" w:hAnsi="Cambria Math"/>
                        <w:sz w:val="28"/>
                        <w:szCs w:val="28"/>
                      </w:rPr>
                      <m:t>m∙22400</m:t>
                    </m:r>
                  </m:den>
                </m:f>
                <m:r>
                  <w:rPr>
                    <w:rFonts w:ascii="Cambria Math" w:hAnsi="Cambria Math"/>
                    <w:sz w:val="28"/>
                    <w:szCs w:val="28"/>
                  </w:rPr>
                  <m:t>,</m:t>
                </m:r>
              </m:oMath>
            </m:oMathPara>
          </w:p>
        </w:tc>
        <w:tc>
          <w:tcPr>
            <w:tcW w:w="1692" w:type="dxa"/>
            <w:vAlign w:val="center"/>
          </w:tcPr>
          <w:p w:rsidR="006404C5" w:rsidRDefault="00BE239C">
            <w:pPr>
              <w:pStyle w:val="Default"/>
              <w:jc w:val="right"/>
              <w:rPr>
                <w:rFonts w:eastAsia="Calibri"/>
                <w:sz w:val="28"/>
                <w:szCs w:val="28"/>
              </w:rPr>
            </w:pPr>
            <w:r>
              <w:rPr>
                <w:rFonts w:eastAsia="TimesNewRomanPSMT"/>
                <w:sz w:val="28"/>
                <w:szCs w:val="28"/>
              </w:rPr>
              <w:t>(</w:t>
            </w:r>
            <w:r>
              <w:rPr>
                <w:rFonts w:eastAsia="TimesNewRomanPSMT"/>
                <w:sz w:val="28"/>
                <w:szCs w:val="28"/>
                <w:lang w:val="en-US"/>
              </w:rPr>
              <w:t>2</w:t>
            </w:r>
            <w:r w:rsidR="009F2110" w:rsidRPr="00051247">
              <w:rPr>
                <w:rFonts w:eastAsia="TimesNewRomanPSMT"/>
                <w:sz w:val="28"/>
                <w:szCs w:val="28"/>
              </w:rPr>
              <w:t>)</w:t>
            </w:r>
          </w:p>
        </w:tc>
      </w:tr>
      <w:tr w:rsidR="000E333B" w:rsidRPr="00160144" w:rsidTr="00CD64D6">
        <w:tblPrEx>
          <w:jc w:val="center"/>
          <w:tblInd w:w="0" w:type="dxa"/>
        </w:tblPrEx>
        <w:trPr>
          <w:gridBefore w:val="1"/>
          <w:wBefore w:w="102" w:type="dxa"/>
          <w:trHeight w:val="458"/>
          <w:jc w:val="center"/>
        </w:trPr>
        <w:tc>
          <w:tcPr>
            <w:tcW w:w="656" w:type="dxa"/>
          </w:tcPr>
          <w:p w:rsidR="006404C5" w:rsidRPr="006404C5" w:rsidRDefault="006404C5" w:rsidP="00422561">
            <w:pPr>
              <w:tabs>
                <w:tab w:val="left" w:pos="-180"/>
              </w:tabs>
              <w:spacing w:after="120"/>
              <w:rPr>
                <w:rFonts w:ascii="Times New Roman" w:hAnsi="Times New Roman"/>
                <w:bCs/>
                <w:spacing w:val="-5"/>
                <w:sz w:val="28"/>
                <w:szCs w:val="28"/>
              </w:rPr>
            </w:pPr>
            <w:r w:rsidRPr="006404C5">
              <w:rPr>
                <w:rFonts w:ascii="Times New Roman" w:hAnsi="Times New Roman"/>
                <w:bCs/>
                <w:spacing w:val="-5"/>
                <w:sz w:val="28"/>
                <w:szCs w:val="28"/>
              </w:rPr>
              <w:t>где</w:t>
            </w:r>
          </w:p>
        </w:tc>
        <w:tc>
          <w:tcPr>
            <w:tcW w:w="1025" w:type="dxa"/>
            <w:gridSpan w:val="2"/>
          </w:tcPr>
          <w:p w:rsidR="006404C5" w:rsidRPr="006404C5" w:rsidRDefault="001E25DA" w:rsidP="00422561">
            <w:pPr>
              <w:tabs>
                <w:tab w:val="left" w:pos="-180"/>
              </w:tabs>
              <w:spacing w:after="120"/>
              <w:jc w:val="center"/>
              <w:rPr>
                <w:rFonts w:ascii="Cambria Math" w:hAnsi="Cambria Math"/>
                <w:bCs/>
                <w:i/>
                <w:spacing w:val="-5"/>
                <w:szCs w:val="28"/>
                <w:lang w:val="en-US"/>
              </w:rPr>
            </w:pPr>
            <m:oMathPara>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m:t>
                    </m:r>
                  </m:sub>
                </m:sSub>
              </m:oMath>
            </m:oMathPara>
          </w:p>
        </w:tc>
        <w:tc>
          <w:tcPr>
            <w:tcW w:w="336" w:type="dxa"/>
          </w:tcPr>
          <w:p w:rsidR="006404C5" w:rsidRDefault="009F2110" w:rsidP="00422561">
            <w:pPr>
              <w:tabs>
                <w:tab w:val="left" w:pos="-180"/>
              </w:tabs>
              <w:spacing w:after="120"/>
              <w:rPr>
                <w:rFonts w:ascii="Times New Roman" w:hAnsi="Times New Roman"/>
                <w:bCs/>
                <w:spacing w:val="-5"/>
                <w:szCs w:val="28"/>
              </w:rPr>
            </w:pPr>
            <w:r w:rsidRPr="006B129A">
              <w:rPr>
                <w:rFonts w:ascii="Times New Roman" w:hAnsi="Times New Roman"/>
                <w:bCs/>
                <w:spacing w:val="-5"/>
                <w:szCs w:val="28"/>
              </w:rPr>
              <w:t>−</w:t>
            </w:r>
          </w:p>
        </w:tc>
        <w:tc>
          <w:tcPr>
            <w:tcW w:w="7475" w:type="dxa"/>
            <w:gridSpan w:val="3"/>
          </w:tcPr>
          <w:p w:rsidR="006404C5" w:rsidRDefault="00474F94" w:rsidP="00422561">
            <w:pPr>
              <w:shd w:val="clear" w:color="auto" w:fill="FFFFFF"/>
              <w:spacing w:after="120"/>
              <w:textAlignment w:val="baseline"/>
              <w:rPr>
                <w:rFonts w:ascii="Times New Roman" w:hAnsi="Times New Roman"/>
                <w:szCs w:val="28"/>
              </w:rPr>
            </w:pPr>
            <w:r>
              <w:rPr>
                <w:rFonts w:ascii="Times New Roman" w:hAnsi="Times New Roman"/>
                <w:sz w:val="28"/>
                <w:szCs w:val="28"/>
              </w:rPr>
              <w:t xml:space="preserve">постоянная </w:t>
            </w:r>
            <w:r w:rsidRPr="000A1B42">
              <w:rPr>
                <w:rFonts w:ascii="Times New Roman" w:hAnsi="Times New Roman"/>
                <w:sz w:val="28"/>
                <w:szCs w:val="28"/>
              </w:rPr>
              <w:t>Ав</w:t>
            </w:r>
            <w:r w:rsidR="00800DD2">
              <w:rPr>
                <w:rFonts w:ascii="Times New Roman" w:hAnsi="Times New Roman"/>
                <w:sz w:val="28"/>
                <w:szCs w:val="28"/>
              </w:rPr>
              <w:t>о</w:t>
            </w:r>
            <w:r w:rsidRPr="000A1B42">
              <w:rPr>
                <w:rFonts w:ascii="Times New Roman" w:hAnsi="Times New Roman"/>
                <w:sz w:val="28"/>
                <w:szCs w:val="28"/>
              </w:rPr>
              <w:t>гадро</w:t>
            </w:r>
            <w:r>
              <w:rPr>
                <w:rFonts w:ascii="Times New Roman" w:hAnsi="Times New Roman"/>
                <w:sz w:val="28"/>
                <w:szCs w:val="28"/>
              </w:rPr>
              <w:t xml:space="preserve"> (6,023×10</w:t>
            </w:r>
            <w:r w:rsidRPr="0025765D">
              <w:rPr>
                <w:rFonts w:ascii="Times New Roman" w:hAnsi="Times New Roman"/>
                <w:sz w:val="28"/>
                <w:szCs w:val="28"/>
                <w:vertAlign w:val="superscript"/>
              </w:rPr>
              <w:t>23</w:t>
            </w:r>
            <w:r>
              <w:rPr>
                <w:rFonts w:ascii="Times New Roman" w:hAnsi="Times New Roman"/>
                <w:sz w:val="28"/>
                <w:szCs w:val="28"/>
              </w:rPr>
              <w:t>моль</w:t>
            </w:r>
            <w:r w:rsidRPr="0025765D">
              <w:rPr>
                <w:rFonts w:ascii="Times New Roman" w:hAnsi="Times New Roman"/>
                <w:sz w:val="28"/>
                <w:szCs w:val="28"/>
                <w:vertAlign w:val="superscript"/>
              </w:rPr>
              <w:t>-1</w:t>
            </w:r>
            <w:r>
              <w:rPr>
                <w:rFonts w:ascii="Times New Roman" w:hAnsi="Times New Roman"/>
                <w:sz w:val="28"/>
                <w:szCs w:val="28"/>
              </w:rPr>
              <w:t>);</w:t>
            </w:r>
          </w:p>
        </w:tc>
      </w:tr>
      <w:tr w:rsidR="000E333B" w:rsidRPr="00160144" w:rsidTr="00CD64D6">
        <w:tblPrEx>
          <w:jc w:val="center"/>
          <w:tblInd w:w="0" w:type="dxa"/>
        </w:tblPrEx>
        <w:trPr>
          <w:gridBefore w:val="1"/>
          <w:wBefore w:w="102" w:type="dxa"/>
          <w:trHeight w:val="1107"/>
          <w:jc w:val="center"/>
        </w:trPr>
        <w:tc>
          <w:tcPr>
            <w:tcW w:w="656" w:type="dxa"/>
          </w:tcPr>
          <w:p w:rsidR="006404C5" w:rsidRPr="006404C5" w:rsidRDefault="006404C5" w:rsidP="00422561">
            <w:pPr>
              <w:tabs>
                <w:tab w:val="left" w:pos="-180"/>
              </w:tabs>
              <w:spacing w:after="120"/>
              <w:rPr>
                <w:rFonts w:ascii="Times New Roman" w:hAnsi="Times New Roman"/>
                <w:bCs/>
                <w:spacing w:val="-5"/>
                <w:sz w:val="28"/>
                <w:szCs w:val="28"/>
              </w:rPr>
            </w:pPr>
          </w:p>
        </w:tc>
        <w:tc>
          <w:tcPr>
            <w:tcW w:w="1025" w:type="dxa"/>
            <w:gridSpan w:val="2"/>
          </w:tcPr>
          <w:p w:rsidR="006404C5" w:rsidRPr="006404C5" w:rsidRDefault="001E25DA" w:rsidP="00422561">
            <w:pPr>
              <w:tabs>
                <w:tab w:val="left" w:pos="-180"/>
              </w:tabs>
              <w:spacing w:after="120"/>
              <w:jc w:val="center"/>
              <w:rPr>
                <w:rFonts w:ascii="Cambria Math" w:hAnsi="Cambria Math"/>
                <w:bCs/>
                <w:i/>
                <w:spacing w:val="-5"/>
                <w:szCs w:val="28"/>
                <w:lang w:val="en-US"/>
              </w:rPr>
            </w:pPr>
            <m:oMathPara>
              <m:oMath>
                <m:sSub>
                  <m:sSubPr>
                    <m:ctrlPr>
                      <w:rPr>
                        <w:rFonts w:ascii="Cambria Math" w:hAnsi="Cambria Math" w:cs="Cambria Math"/>
                        <w:i/>
                        <w:sz w:val="28"/>
                        <w:szCs w:val="28"/>
                      </w:rPr>
                    </m:ctrlPr>
                  </m:sSubPr>
                  <m:e>
                    <m:r>
                      <w:rPr>
                        <w:rFonts w:ascii="Cambria Math" w:hAnsi="Cambria Math" w:cs="Cambria Math"/>
                        <w:sz w:val="28"/>
                        <w:szCs w:val="28"/>
                      </w:rPr>
                      <m:t>V</m:t>
                    </m:r>
                  </m:e>
                  <m:sub>
                    <m:r>
                      <w:rPr>
                        <w:rFonts w:ascii="Cambria Math" w:hAnsi="Cambria Math" w:cs="Cambria Math"/>
                        <w:sz w:val="28"/>
                        <w:szCs w:val="28"/>
                      </w:rPr>
                      <m:t xml:space="preserve">m </m:t>
                    </m:r>
                  </m:sub>
                </m:sSub>
              </m:oMath>
            </m:oMathPara>
          </w:p>
        </w:tc>
        <w:tc>
          <w:tcPr>
            <w:tcW w:w="336" w:type="dxa"/>
          </w:tcPr>
          <w:p w:rsidR="006404C5" w:rsidRDefault="009F2110" w:rsidP="00422561">
            <w:pPr>
              <w:spacing w:after="120"/>
              <w:rPr>
                <w:rFonts w:ascii="Times New Roman" w:hAnsi="Times New Roman"/>
                <w:bCs/>
                <w:spacing w:val="-5"/>
                <w:szCs w:val="28"/>
              </w:rPr>
            </w:pPr>
            <w:r w:rsidRPr="006B129A">
              <w:rPr>
                <w:rFonts w:ascii="Times New Roman" w:hAnsi="Times New Roman"/>
                <w:bCs/>
                <w:spacing w:val="-5"/>
                <w:szCs w:val="28"/>
              </w:rPr>
              <w:t>−</w:t>
            </w:r>
          </w:p>
        </w:tc>
        <w:tc>
          <w:tcPr>
            <w:tcW w:w="7475" w:type="dxa"/>
            <w:gridSpan w:val="3"/>
          </w:tcPr>
          <w:p w:rsidR="006404C5" w:rsidRDefault="00474F94" w:rsidP="00422561">
            <w:pPr>
              <w:pStyle w:val="Default"/>
              <w:spacing w:after="120"/>
              <w:rPr>
                <w:rFonts w:eastAsia="Calibri"/>
                <w:color w:val="auto"/>
                <w:szCs w:val="28"/>
              </w:rPr>
            </w:pPr>
            <w:r>
              <w:rPr>
                <w:sz w:val="28"/>
                <w:szCs w:val="28"/>
              </w:rPr>
              <w:t>эффективная площадь поперечного сечения одной молекулы адсорбируемого газа в м</w:t>
            </w:r>
            <w:r w:rsidRPr="0025765D">
              <w:rPr>
                <w:sz w:val="28"/>
                <w:szCs w:val="28"/>
                <w:vertAlign w:val="superscript"/>
              </w:rPr>
              <w:t>2</w:t>
            </w:r>
            <w:r>
              <w:rPr>
                <w:sz w:val="28"/>
                <w:szCs w:val="28"/>
              </w:rPr>
              <w:t xml:space="preserve"> (0,162</w:t>
            </w:r>
            <w:r w:rsidR="0099133A">
              <w:rPr>
                <w:sz w:val="28"/>
                <w:szCs w:val="28"/>
              </w:rPr>
              <w:t> </w:t>
            </w:r>
            <w:r>
              <w:rPr>
                <w:sz w:val="28"/>
                <w:szCs w:val="28"/>
              </w:rPr>
              <w:t>нм</w:t>
            </w:r>
            <w:r w:rsidRPr="0025765D">
              <w:rPr>
                <w:sz w:val="28"/>
                <w:szCs w:val="28"/>
                <w:vertAlign w:val="superscript"/>
              </w:rPr>
              <w:t xml:space="preserve">2 </w:t>
            </w:r>
            <w:r>
              <w:rPr>
                <w:sz w:val="28"/>
                <w:szCs w:val="28"/>
              </w:rPr>
              <w:t>для азота и 0,195</w:t>
            </w:r>
            <w:r w:rsidR="0099133A">
              <w:rPr>
                <w:sz w:val="28"/>
                <w:szCs w:val="28"/>
              </w:rPr>
              <w:t> </w:t>
            </w:r>
            <w:r>
              <w:rPr>
                <w:sz w:val="28"/>
                <w:szCs w:val="28"/>
              </w:rPr>
              <w:t>нм</w:t>
            </w:r>
            <w:r w:rsidRPr="0025765D">
              <w:rPr>
                <w:sz w:val="28"/>
                <w:szCs w:val="28"/>
                <w:vertAlign w:val="superscript"/>
              </w:rPr>
              <w:t xml:space="preserve">2 </w:t>
            </w:r>
            <w:r>
              <w:rPr>
                <w:sz w:val="28"/>
                <w:szCs w:val="28"/>
              </w:rPr>
              <w:t>для криптона);</w:t>
            </w:r>
          </w:p>
        </w:tc>
      </w:tr>
      <w:tr w:rsidR="000E333B" w:rsidRPr="00160144" w:rsidTr="00CD64D6">
        <w:tblPrEx>
          <w:jc w:val="center"/>
          <w:tblInd w:w="0" w:type="dxa"/>
        </w:tblPrEx>
        <w:trPr>
          <w:gridBefore w:val="1"/>
          <w:wBefore w:w="102" w:type="dxa"/>
          <w:trHeight w:val="445"/>
          <w:jc w:val="center"/>
        </w:trPr>
        <w:tc>
          <w:tcPr>
            <w:tcW w:w="656" w:type="dxa"/>
          </w:tcPr>
          <w:p w:rsidR="006404C5" w:rsidRDefault="006404C5" w:rsidP="00422561">
            <w:pPr>
              <w:tabs>
                <w:tab w:val="left" w:pos="-180"/>
              </w:tabs>
              <w:spacing w:after="120"/>
              <w:rPr>
                <w:rFonts w:ascii="Times New Roman" w:hAnsi="Times New Roman"/>
                <w:bCs/>
                <w:spacing w:val="-5"/>
                <w:szCs w:val="28"/>
              </w:rPr>
            </w:pPr>
          </w:p>
        </w:tc>
        <w:tc>
          <w:tcPr>
            <w:tcW w:w="1025" w:type="dxa"/>
            <w:gridSpan w:val="2"/>
          </w:tcPr>
          <w:p w:rsidR="006404C5" w:rsidRPr="006404C5" w:rsidRDefault="006404C5" w:rsidP="00422561">
            <w:pPr>
              <w:tabs>
                <w:tab w:val="left" w:pos="-180"/>
              </w:tabs>
              <w:spacing w:after="120"/>
              <w:jc w:val="center"/>
              <w:rPr>
                <w:rFonts w:ascii="Cambria Math" w:hAnsi="Cambria Math"/>
                <w:bCs/>
                <w:i/>
                <w:spacing w:val="-5"/>
                <w:szCs w:val="28"/>
                <w:lang w:val="en-US"/>
              </w:rPr>
            </w:pPr>
            <w:r w:rsidRPr="006404C5">
              <w:rPr>
                <w:rFonts w:ascii="Cambria Math" w:hAnsi="Cambria Math"/>
                <w:i/>
                <w:sz w:val="28"/>
                <w:szCs w:val="28"/>
                <w:lang w:val="en-US"/>
              </w:rPr>
              <w:t>m</w:t>
            </w:r>
          </w:p>
        </w:tc>
        <w:tc>
          <w:tcPr>
            <w:tcW w:w="336" w:type="dxa"/>
          </w:tcPr>
          <w:p w:rsidR="006404C5" w:rsidRDefault="009F2110" w:rsidP="00422561">
            <w:pPr>
              <w:spacing w:after="120"/>
              <w:rPr>
                <w:rFonts w:ascii="Times New Roman" w:hAnsi="Times New Roman"/>
                <w:bCs/>
                <w:spacing w:val="-5"/>
                <w:szCs w:val="28"/>
              </w:rPr>
            </w:pPr>
            <w:r w:rsidRPr="006B129A">
              <w:rPr>
                <w:rFonts w:ascii="Times New Roman" w:hAnsi="Times New Roman"/>
                <w:bCs/>
                <w:spacing w:val="-5"/>
                <w:szCs w:val="28"/>
              </w:rPr>
              <w:t>−</w:t>
            </w:r>
          </w:p>
        </w:tc>
        <w:tc>
          <w:tcPr>
            <w:tcW w:w="7475" w:type="dxa"/>
            <w:gridSpan w:val="3"/>
          </w:tcPr>
          <w:p w:rsidR="006404C5" w:rsidRDefault="00474F94" w:rsidP="00422561">
            <w:pPr>
              <w:shd w:val="clear" w:color="auto" w:fill="FFFFFF"/>
              <w:spacing w:after="120"/>
              <w:textAlignment w:val="baseline"/>
              <w:rPr>
                <w:rFonts w:ascii="Times New Roman" w:hAnsi="Times New Roman"/>
                <w:szCs w:val="28"/>
              </w:rPr>
            </w:pPr>
            <w:r>
              <w:rPr>
                <w:rFonts w:ascii="Times New Roman" w:hAnsi="Times New Roman"/>
                <w:sz w:val="28"/>
                <w:szCs w:val="28"/>
              </w:rPr>
              <w:t>масса испытуемого порошка, г;</w:t>
            </w:r>
          </w:p>
        </w:tc>
      </w:tr>
      <w:tr w:rsidR="000E333B" w:rsidRPr="00160144" w:rsidTr="00CD64D6">
        <w:tblPrEx>
          <w:jc w:val="center"/>
          <w:tblInd w:w="0" w:type="dxa"/>
        </w:tblPrEx>
        <w:trPr>
          <w:gridBefore w:val="1"/>
          <w:wBefore w:w="102" w:type="dxa"/>
          <w:trHeight w:val="1107"/>
          <w:jc w:val="center"/>
        </w:trPr>
        <w:tc>
          <w:tcPr>
            <w:tcW w:w="656" w:type="dxa"/>
          </w:tcPr>
          <w:p w:rsidR="006404C5" w:rsidRDefault="006404C5" w:rsidP="00422561">
            <w:pPr>
              <w:tabs>
                <w:tab w:val="left" w:pos="-180"/>
              </w:tabs>
              <w:spacing w:after="120"/>
              <w:rPr>
                <w:rFonts w:ascii="Times New Roman" w:hAnsi="Times New Roman"/>
                <w:bCs/>
                <w:spacing w:val="-5"/>
                <w:szCs w:val="28"/>
              </w:rPr>
            </w:pPr>
          </w:p>
        </w:tc>
        <w:tc>
          <w:tcPr>
            <w:tcW w:w="1025" w:type="dxa"/>
            <w:gridSpan w:val="2"/>
          </w:tcPr>
          <w:p w:rsidR="006404C5" w:rsidRPr="006404C5" w:rsidRDefault="006404C5" w:rsidP="00422561">
            <w:pPr>
              <w:tabs>
                <w:tab w:val="left" w:pos="-180"/>
              </w:tabs>
              <w:spacing w:after="120"/>
              <w:jc w:val="center"/>
              <w:rPr>
                <w:rFonts w:ascii="Cambria Math" w:hAnsi="Cambria Math"/>
                <w:i/>
                <w:sz w:val="28"/>
                <w:szCs w:val="28"/>
                <w:lang w:val="en-US"/>
              </w:rPr>
            </w:pPr>
            <w:r w:rsidRPr="006404C5">
              <w:rPr>
                <w:rFonts w:ascii="Cambria Math" w:hAnsi="Cambria Math"/>
                <w:i/>
                <w:sz w:val="28"/>
                <w:szCs w:val="28"/>
              </w:rPr>
              <w:t>22400</w:t>
            </w:r>
          </w:p>
        </w:tc>
        <w:tc>
          <w:tcPr>
            <w:tcW w:w="336" w:type="dxa"/>
          </w:tcPr>
          <w:p w:rsidR="006404C5" w:rsidRDefault="006404C5" w:rsidP="00422561">
            <w:pPr>
              <w:spacing w:after="120"/>
              <w:rPr>
                <w:rFonts w:ascii="Times New Roman" w:hAnsi="Times New Roman"/>
                <w:bCs/>
                <w:spacing w:val="-5"/>
                <w:szCs w:val="28"/>
              </w:rPr>
            </w:pPr>
          </w:p>
        </w:tc>
        <w:tc>
          <w:tcPr>
            <w:tcW w:w="7475" w:type="dxa"/>
            <w:gridSpan w:val="3"/>
          </w:tcPr>
          <w:p w:rsidR="006404C5" w:rsidRDefault="00E15B01" w:rsidP="00422561">
            <w:pPr>
              <w:spacing w:after="120"/>
              <w:rPr>
                <w:rFonts w:ascii="Times New Roman" w:hAnsi="Times New Roman"/>
                <w:sz w:val="28"/>
                <w:szCs w:val="28"/>
              </w:rPr>
            </w:pPr>
            <w:r>
              <w:rPr>
                <w:rFonts w:ascii="Times New Roman" w:hAnsi="Times New Roman"/>
                <w:sz w:val="28"/>
                <w:szCs w:val="28"/>
              </w:rPr>
              <w:t>объём</w:t>
            </w:r>
            <w:r w:rsidR="00474F94">
              <w:rPr>
                <w:rFonts w:ascii="Times New Roman" w:hAnsi="Times New Roman"/>
                <w:sz w:val="28"/>
                <w:szCs w:val="28"/>
              </w:rPr>
              <w:t>, занимаемый одним молем адсорбируемого газа при СТД, учитывающий незначительное отклонение от нормы, мл.</w:t>
            </w:r>
          </w:p>
        </w:tc>
      </w:tr>
    </w:tbl>
    <w:p w:rsidR="007730D2" w:rsidRDefault="00817CE1">
      <w:pPr>
        <w:shd w:val="clear" w:color="auto" w:fill="FFFFFF"/>
        <w:spacing w:before="120" w:after="0" w:line="360" w:lineRule="auto"/>
        <w:ind w:firstLine="709"/>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Измерение проводят не менее чем по тр</w:t>
      </w:r>
      <w:r w:rsidR="00502D0F">
        <w:rPr>
          <w:rFonts w:ascii="Times New Roman" w:eastAsia="Times New Roman" w:hAnsi="Times New Roman"/>
          <w:color w:val="222222"/>
          <w:sz w:val="28"/>
          <w:szCs w:val="28"/>
          <w:lang w:eastAsia="ru-RU"/>
        </w:rPr>
        <w:t>ё</w:t>
      </w:r>
      <w:r>
        <w:rPr>
          <w:rFonts w:ascii="Times New Roman" w:eastAsia="Times New Roman" w:hAnsi="Times New Roman"/>
          <w:color w:val="222222"/>
          <w:sz w:val="28"/>
          <w:szCs w:val="28"/>
          <w:lang w:eastAsia="ru-RU"/>
        </w:rPr>
        <w:t>м точкам. М</w:t>
      </w:r>
      <w:r w:rsidRPr="005053F9">
        <w:rPr>
          <w:rFonts w:ascii="Times New Roman" w:eastAsia="Times New Roman" w:hAnsi="Times New Roman"/>
          <w:color w:val="222222"/>
          <w:sz w:val="28"/>
          <w:szCs w:val="28"/>
          <w:lang w:eastAsia="ru-RU"/>
        </w:rPr>
        <w:t>огут</w:t>
      </w:r>
      <w:r>
        <w:rPr>
          <w:rFonts w:ascii="Times New Roman" w:eastAsia="Times New Roman" w:hAnsi="Times New Roman"/>
          <w:color w:val="222222"/>
          <w:sz w:val="28"/>
          <w:szCs w:val="28"/>
          <w:lang w:eastAsia="ru-RU"/>
        </w:rPr>
        <w:t xml:space="preserve"> быть </w:t>
      </w:r>
      <w:r w:rsidRPr="005053F9">
        <w:rPr>
          <w:rFonts w:ascii="Times New Roman" w:eastAsia="Times New Roman" w:hAnsi="Times New Roman"/>
          <w:color w:val="222222"/>
          <w:sz w:val="28"/>
          <w:szCs w:val="28"/>
          <w:lang w:eastAsia="ru-RU"/>
        </w:rPr>
        <w:t>пров</w:t>
      </w:r>
      <w:r>
        <w:rPr>
          <w:rFonts w:ascii="Times New Roman" w:eastAsia="Times New Roman" w:hAnsi="Times New Roman"/>
          <w:color w:val="222222"/>
          <w:sz w:val="28"/>
          <w:szCs w:val="28"/>
          <w:lang w:eastAsia="ru-RU"/>
        </w:rPr>
        <w:t>едены д</w:t>
      </w:r>
      <w:r w:rsidRPr="005053F9">
        <w:rPr>
          <w:rFonts w:ascii="Times New Roman" w:eastAsia="Times New Roman" w:hAnsi="Times New Roman"/>
          <w:color w:val="222222"/>
          <w:sz w:val="28"/>
          <w:szCs w:val="28"/>
          <w:lang w:eastAsia="ru-RU"/>
        </w:rPr>
        <w:t xml:space="preserve">ополнительные измерения, особенно когда </w:t>
      </w:r>
      <w:r>
        <w:rPr>
          <w:rFonts w:ascii="Times New Roman" w:eastAsia="Times New Roman" w:hAnsi="Times New Roman"/>
          <w:color w:val="222222"/>
          <w:sz w:val="28"/>
          <w:szCs w:val="28"/>
          <w:lang w:eastAsia="ru-RU"/>
        </w:rPr>
        <w:t xml:space="preserve">наблюдается </w:t>
      </w:r>
      <w:r w:rsidRPr="005053F9">
        <w:rPr>
          <w:rFonts w:ascii="Times New Roman" w:eastAsia="Times New Roman" w:hAnsi="Times New Roman"/>
          <w:color w:val="222222"/>
          <w:sz w:val="28"/>
          <w:szCs w:val="28"/>
          <w:lang w:eastAsia="ru-RU"/>
        </w:rPr>
        <w:t xml:space="preserve">нелинейность </w:t>
      </w:r>
      <w:r>
        <w:rPr>
          <w:rFonts w:ascii="Times New Roman" w:eastAsia="Times New Roman" w:hAnsi="Times New Roman"/>
          <w:color w:val="222222"/>
          <w:sz w:val="28"/>
          <w:szCs w:val="28"/>
          <w:lang w:eastAsia="ru-RU"/>
        </w:rPr>
        <w:t xml:space="preserve">измеряемой величины </w:t>
      </w:r>
      <w:r w:rsidRPr="005053F9">
        <w:rPr>
          <w:rFonts w:ascii="Times New Roman" w:eastAsia="Times New Roman" w:hAnsi="Times New Roman"/>
          <w:color w:val="222222"/>
          <w:sz w:val="28"/>
          <w:szCs w:val="28"/>
          <w:lang w:eastAsia="ru-RU"/>
        </w:rPr>
        <w:t>при</w:t>
      </w:r>
      <w:r>
        <w:rPr>
          <w:rFonts w:ascii="Times New Roman" w:eastAsia="Times New Roman" w:hAnsi="Times New Roman"/>
          <w:color w:val="222222"/>
          <w:sz w:val="28"/>
          <w:szCs w:val="28"/>
          <w:lang w:eastAsia="ru-RU"/>
        </w:rPr>
        <w:t xml:space="preserve"> </w:t>
      </w:r>
      <w:r w:rsidRPr="005053F9">
        <w:rPr>
          <w:rFonts w:ascii="Times New Roman" w:eastAsia="Times New Roman" w:hAnsi="Times New Roman"/>
          <w:color w:val="222222"/>
          <w:sz w:val="28"/>
          <w:szCs w:val="28"/>
          <w:lang w:eastAsia="ru-RU"/>
        </w:rPr>
        <w:t>значении</w:t>
      </w:r>
      <w:r>
        <w:rPr>
          <w:rFonts w:ascii="Times New Roman" w:eastAsia="Times New Roman" w:hAnsi="Times New Roman"/>
          <w:color w:val="222222"/>
          <w:sz w:val="28"/>
          <w:szCs w:val="28"/>
          <w:lang w:eastAsia="ru-RU"/>
        </w:rPr>
        <w:t xml:space="preserve"> </w:t>
      </w:r>
      <w:r w:rsidR="00057B3A" w:rsidRPr="00057B3A">
        <w:rPr>
          <w:rFonts w:ascii="Times New Roman" w:eastAsia="Times New Roman" w:hAnsi="Times New Roman"/>
          <w:i/>
          <w:iCs/>
          <w:color w:val="222222"/>
          <w:sz w:val="28"/>
          <w:szCs w:val="28"/>
          <w:lang w:eastAsia="ru-RU"/>
        </w:rPr>
        <w:t>P</w:t>
      </w:r>
      <w:r w:rsidR="00057B3A" w:rsidRPr="00057B3A">
        <w:rPr>
          <w:rFonts w:ascii="Times New Roman" w:eastAsia="Times New Roman" w:hAnsi="Times New Roman"/>
          <w:i/>
          <w:color w:val="222222"/>
          <w:sz w:val="28"/>
          <w:szCs w:val="28"/>
          <w:lang w:eastAsia="ru-RU"/>
        </w:rPr>
        <w:t>/</w:t>
      </w:r>
      <w:r w:rsidR="00057B3A" w:rsidRPr="00057B3A">
        <w:rPr>
          <w:rFonts w:ascii="Times New Roman" w:eastAsia="Times New Roman" w:hAnsi="Times New Roman"/>
          <w:i/>
          <w:iCs/>
          <w:color w:val="222222"/>
          <w:sz w:val="28"/>
          <w:szCs w:val="28"/>
          <w:lang w:eastAsia="ru-RU"/>
        </w:rPr>
        <w:t>P</w:t>
      </w:r>
      <w:r w:rsidR="00057B3A" w:rsidRPr="00057B3A">
        <w:rPr>
          <w:rFonts w:ascii="Times New Roman" w:eastAsia="Times New Roman" w:hAnsi="Times New Roman"/>
          <w:i/>
          <w:iCs/>
          <w:color w:val="222222"/>
          <w:sz w:val="28"/>
          <w:szCs w:val="28"/>
          <w:vertAlign w:val="subscript"/>
          <w:lang w:eastAsia="ru-RU"/>
        </w:rPr>
        <w:t>o</w:t>
      </w:r>
      <w:r>
        <w:rPr>
          <w:rFonts w:ascii="Times New Roman" w:eastAsia="Times New Roman" w:hAnsi="Times New Roman"/>
          <w:i/>
          <w:iCs/>
          <w:color w:val="222222"/>
          <w:sz w:val="28"/>
          <w:szCs w:val="28"/>
          <w:vertAlign w:val="subscript"/>
          <w:lang w:eastAsia="ru-RU"/>
        </w:rPr>
        <w:t xml:space="preserve">, </w:t>
      </w:r>
      <w:r w:rsidRPr="005053F9">
        <w:rPr>
          <w:rFonts w:ascii="Times New Roman" w:eastAsia="Times New Roman" w:hAnsi="Times New Roman"/>
          <w:color w:val="222222"/>
          <w:sz w:val="28"/>
          <w:szCs w:val="28"/>
          <w:lang w:eastAsia="ru-RU"/>
        </w:rPr>
        <w:t>близком к 0,3.</w:t>
      </w:r>
      <w:r>
        <w:rPr>
          <w:rFonts w:ascii="Times New Roman" w:eastAsia="Times New Roman" w:hAnsi="Times New Roman"/>
          <w:color w:val="222222"/>
          <w:sz w:val="28"/>
          <w:szCs w:val="28"/>
          <w:lang w:eastAsia="ru-RU"/>
        </w:rPr>
        <w:t xml:space="preserve"> </w:t>
      </w:r>
      <w:r w:rsidRPr="005053F9">
        <w:rPr>
          <w:rFonts w:ascii="Times New Roman" w:eastAsia="Times New Roman" w:hAnsi="Times New Roman"/>
          <w:color w:val="222222"/>
          <w:sz w:val="28"/>
          <w:szCs w:val="28"/>
          <w:lang w:eastAsia="ru-RU"/>
        </w:rPr>
        <w:t xml:space="preserve">Поскольку нелинейность часто </w:t>
      </w:r>
      <w:r>
        <w:rPr>
          <w:rFonts w:ascii="Times New Roman" w:eastAsia="Times New Roman" w:hAnsi="Times New Roman"/>
          <w:color w:val="222222"/>
          <w:sz w:val="28"/>
          <w:szCs w:val="28"/>
          <w:lang w:eastAsia="ru-RU"/>
        </w:rPr>
        <w:t>отмечается</w:t>
      </w:r>
      <w:r w:rsidRPr="005053F9">
        <w:rPr>
          <w:rFonts w:ascii="Times New Roman" w:eastAsia="Times New Roman" w:hAnsi="Times New Roman"/>
          <w:color w:val="222222"/>
          <w:sz w:val="28"/>
          <w:szCs w:val="28"/>
          <w:lang w:eastAsia="ru-RU"/>
        </w:rPr>
        <w:t xml:space="preserve"> при</w:t>
      </w:r>
      <w:r>
        <w:rPr>
          <w:rFonts w:ascii="Times New Roman" w:eastAsia="Times New Roman" w:hAnsi="Times New Roman"/>
          <w:color w:val="222222"/>
          <w:sz w:val="28"/>
          <w:szCs w:val="28"/>
          <w:lang w:eastAsia="ru-RU"/>
        </w:rPr>
        <w:t xml:space="preserve"> </w:t>
      </w:r>
      <w:r w:rsidRPr="005053F9">
        <w:rPr>
          <w:rFonts w:ascii="Times New Roman" w:eastAsia="Times New Roman" w:hAnsi="Times New Roman"/>
          <w:color w:val="222222"/>
          <w:sz w:val="28"/>
          <w:szCs w:val="28"/>
          <w:lang w:eastAsia="ru-RU"/>
        </w:rPr>
        <w:t>значении</w:t>
      </w:r>
      <w:r>
        <w:rPr>
          <w:rFonts w:ascii="Times New Roman" w:eastAsia="Times New Roman" w:hAnsi="Times New Roman"/>
          <w:color w:val="222222"/>
          <w:sz w:val="28"/>
          <w:szCs w:val="28"/>
          <w:lang w:eastAsia="ru-RU"/>
        </w:rPr>
        <w:t xml:space="preserve"> </w:t>
      </w:r>
      <w:r w:rsidR="000A1B42" w:rsidRPr="000A1B42">
        <w:rPr>
          <w:rFonts w:ascii="Times New Roman" w:eastAsia="Times New Roman" w:hAnsi="Times New Roman"/>
          <w:i/>
          <w:iCs/>
          <w:color w:val="222222"/>
          <w:sz w:val="28"/>
          <w:szCs w:val="28"/>
          <w:lang w:eastAsia="ru-RU"/>
        </w:rPr>
        <w:t>P</w:t>
      </w:r>
      <w:r w:rsidR="000A1B42" w:rsidRPr="000A1B42">
        <w:rPr>
          <w:rFonts w:ascii="Times New Roman" w:eastAsia="Times New Roman" w:hAnsi="Times New Roman"/>
          <w:i/>
          <w:color w:val="222222"/>
          <w:sz w:val="28"/>
          <w:szCs w:val="28"/>
          <w:lang w:eastAsia="ru-RU"/>
        </w:rPr>
        <w:t>/</w:t>
      </w:r>
      <w:r w:rsidR="000A1B42" w:rsidRPr="000A1B42">
        <w:rPr>
          <w:rFonts w:ascii="Times New Roman" w:eastAsia="Times New Roman" w:hAnsi="Times New Roman"/>
          <w:i/>
          <w:iCs/>
          <w:color w:val="222222"/>
          <w:sz w:val="28"/>
          <w:szCs w:val="28"/>
          <w:lang w:eastAsia="ru-RU"/>
        </w:rPr>
        <w:t>P</w:t>
      </w:r>
      <w:r w:rsidR="000A1B42" w:rsidRPr="000A1B42">
        <w:rPr>
          <w:rFonts w:ascii="Times New Roman" w:eastAsia="Times New Roman" w:hAnsi="Times New Roman"/>
          <w:i/>
          <w:iCs/>
          <w:color w:val="222222"/>
          <w:sz w:val="28"/>
          <w:szCs w:val="28"/>
          <w:vertAlign w:val="subscript"/>
          <w:lang w:eastAsia="ru-RU"/>
        </w:rPr>
        <w:t>o</w:t>
      </w:r>
      <w:r>
        <w:rPr>
          <w:rFonts w:ascii="Times New Roman" w:eastAsia="Times New Roman" w:hAnsi="Times New Roman"/>
          <w:color w:val="222222"/>
          <w:sz w:val="28"/>
          <w:szCs w:val="28"/>
          <w:lang w:eastAsia="ru-RU"/>
        </w:rPr>
        <w:t xml:space="preserve"> </w:t>
      </w:r>
      <w:r w:rsidRPr="005053F9">
        <w:rPr>
          <w:rFonts w:ascii="Times New Roman" w:eastAsia="Times New Roman" w:hAnsi="Times New Roman"/>
          <w:color w:val="222222"/>
          <w:sz w:val="28"/>
          <w:szCs w:val="28"/>
          <w:lang w:eastAsia="ru-RU"/>
        </w:rPr>
        <w:t xml:space="preserve">ниже 0,05, </w:t>
      </w:r>
      <w:r>
        <w:rPr>
          <w:rFonts w:ascii="Times New Roman" w:eastAsia="Times New Roman" w:hAnsi="Times New Roman"/>
          <w:color w:val="222222"/>
          <w:sz w:val="28"/>
          <w:szCs w:val="28"/>
          <w:lang w:eastAsia="ru-RU"/>
        </w:rPr>
        <w:t xml:space="preserve">то </w:t>
      </w:r>
      <w:r w:rsidRPr="005053F9">
        <w:rPr>
          <w:rFonts w:ascii="Times New Roman" w:eastAsia="Times New Roman" w:hAnsi="Times New Roman"/>
          <w:color w:val="222222"/>
          <w:sz w:val="28"/>
          <w:szCs w:val="28"/>
          <w:lang w:eastAsia="ru-RU"/>
        </w:rPr>
        <w:t>значения</w:t>
      </w:r>
      <w:r>
        <w:rPr>
          <w:rFonts w:ascii="Times New Roman" w:eastAsia="Times New Roman" w:hAnsi="Times New Roman"/>
          <w:color w:val="222222"/>
          <w:sz w:val="28"/>
          <w:szCs w:val="28"/>
          <w:lang w:eastAsia="ru-RU"/>
        </w:rPr>
        <w:t>, получаемые в этом диапазоне, использовать при расч</w:t>
      </w:r>
      <w:r w:rsidR="006C0799">
        <w:rPr>
          <w:rFonts w:ascii="Times New Roman" w:eastAsia="Times New Roman" w:hAnsi="Times New Roman"/>
          <w:color w:val="222222"/>
          <w:sz w:val="28"/>
          <w:szCs w:val="28"/>
          <w:lang w:eastAsia="ru-RU"/>
        </w:rPr>
        <w:t>ё</w:t>
      </w:r>
      <w:r>
        <w:rPr>
          <w:rFonts w:ascii="Times New Roman" w:eastAsia="Times New Roman" w:hAnsi="Times New Roman"/>
          <w:color w:val="222222"/>
          <w:sz w:val="28"/>
          <w:szCs w:val="28"/>
          <w:lang w:eastAsia="ru-RU"/>
        </w:rPr>
        <w:t>тах</w:t>
      </w:r>
      <w:r w:rsidRPr="00236C07">
        <w:rPr>
          <w:rFonts w:ascii="Times New Roman" w:eastAsia="Times New Roman" w:hAnsi="Times New Roman"/>
          <w:color w:val="222222"/>
          <w:sz w:val="28"/>
          <w:szCs w:val="28"/>
          <w:lang w:eastAsia="ru-RU"/>
        </w:rPr>
        <w:t xml:space="preserve"> </w:t>
      </w:r>
      <w:r w:rsidRPr="005053F9">
        <w:rPr>
          <w:rFonts w:ascii="Times New Roman" w:eastAsia="Times New Roman" w:hAnsi="Times New Roman"/>
          <w:color w:val="222222"/>
          <w:sz w:val="28"/>
          <w:szCs w:val="28"/>
          <w:lang w:eastAsia="ru-RU"/>
        </w:rPr>
        <w:t>не рекоменду</w:t>
      </w:r>
      <w:r>
        <w:rPr>
          <w:rFonts w:ascii="Times New Roman" w:eastAsia="Times New Roman" w:hAnsi="Times New Roman"/>
          <w:color w:val="222222"/>
          <w:sz w:val="28"/>
          <w:szCs w:val="28"/>
          <w:lang w:eastAsia="ru-RU"/>
        </w:rPr>
        <w:t>е</w:t>
      </w:r>
      <w:r w:rsidRPr="005053F9">
        <w:rPr>
          <w:rFonts w:ascii="Times New Roman" w:eastAsia="Times New Roman" w:hAnsi="Times New Roman"/>
          <w:color w:val="222222"/>
          <w:sz w:val="28"/>
          <w:szCs w:val="28"/>
          <w:lang w:eastAsia="ru-RU"/>
        </w:rPr>
        <w:t>тся.</w:t>
      </w:r>
      <w:r>
        <w:rPr>
          <w:rFonts w:ascii="Times New Roman" w:eastAsia="Times New Roman" w:hAnsi="Times New Roman"/>
          <w:color w:val="222222"/>
          <w:sz w:val="28"/>
          <w:szCs w:val="28"/>
          <w:lang w:eastAsia="ru-RU"/>
        </w:rPr>
        <w:t xml:space="preserve"> Для определения линейности данные обрабатывают, и описанным выше методом рассчитывают удельную площадь поверхности образца порошка.</w:t>
      </w:r>
    </w:p>
    <w:p w:rsidR="00817CE1" w:rsidRDefault="00817CE1" w:rsidP="00817CE1">
      <w:pPr>
        <w:spacing w:after="0" w:line="360" w:lineRule="auto"/>
        <w:ind w:firstLine="709"/>
        <w:jc w:val="both"/>
        <w:rPr>
          <w:rFonts w:ascii="Times New Roman" w:hAnsi="Times New Roman"/>
          <w:sz w:val="28"/>
          <w:szCs w:val="28"/>
        </w:rPr>
      </w:pPr>
      <w:r w:rsidRPr="005C105B">
        <w:rPr>
          <w:rFonts w:ascii="Times New Roman" w:hAnsi="Times New Roman"/>
          <w:i/>
          <w:sz w:val="28"/>
          <w:szCs w:val="28"/>
        </w:rPr>
        <w:t>Одноточечное измерение.</w:t>
      </w:r>
      <w:r w:rsidR="0083218D">
        <w:rPr>
          <w:rFonts w:ascii="Times New Roman" w:hAnsi="Times New Roman"/>
          <w:sz w:val="28"/>
          <w:szCs w:val="28"/>
        </w:rPr>
        <w:t xml:space="preserve"> При определё</w:t>
      </w:r>
      <w:r>
        <w:rPr>
          <w:rFonts w:ascii="Times New Roman" w:hAnsi="Times New Roman"/>
          <w:sz w:val="28"/>
          <w:szCs w:val="28"/>
        </w:rPr>
        <w:t xml:space="preserve">нных условиях приемлемо определять удельную площадь поверхности порошка на основании единственного значения </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a</w:t>
      </w:r>
      <w:r>
        <w:rPr>
          <w:rFonts w:ascii="Times New Roman" w:hAnsi="Times New Roman"/>
          <w:sz w:val="28"/>
          <w:szCs w:val="28"/>
        </w:rPr>
        <w:t xml:space="preserve">, измеренного при единственном значении </w:t>
      </w:r>
      <w:r w:rsidR="000A1B42" w:rsidRPr="000A1B42">
        <w:rPr>
          <w:rFonts w:ascii="Times New Roman" w:hAnsi="Times New Roman"/>
          <w:i/>
          <w:sz w:val="28"/>
          <w:szCs w:val="28"/>
        </w:rPr>
        <w:t>Р/Р</w:t>
      </w:r>
      <w:r w:rsidR="000A1B42" w:rsidRPr="000A1B42">
        <w:rPr>
          <w:rFonts w:ascii="Times New Roman" w:hAnsi="Times New Roman"/>
          <w:i/>
          <w:sz w:val="28"/>
          <w:szCs w:val="28"/>
          <w:vertAlign w:val="subscript"/>
        </w:rPr>
        <w:t>о</w:t>
      </w:r>
      <w:r>
        <w:rPr>
          <w:rFonts w:ascii="Times New Roman" w:hAnsi="Times New Roman"/>
          <w:sz w:val="28"/>
          <w:szCs w:val="28"/>
        </w:rPr>
        <w:t xml:space="preserve">, например 0,300 (что соответствует 0,300 моль азота или 0,001038 мольной доли криптона), используя следующее уравнение для расчета </w:t>
      </w:r>
      <w:r w:rsidR="00057B3A" w:rsidRPr="00057B3A">
        <w:rPr>
          <w:rFonts w:ascii="Times New Roman" w:hAnsi="Times New Roman"/>
          <w:i/>
          <w:sz w:val="28"/>
          <w:szCs w:val="28"/>
          <w:lang w:val="en-US"/>
        </w:rPr>
        <w:t>V</w:t>
      </w:r>
      <w:r w:rsidR="00057B3A" w:rsidRPr="00057B3A">
        <w:rPr>
          <w:rFonts w:ascii="Times New Roman" w:hAnsi="Times New Roman"/>
          <w:i/>
          <w:sz w:val="28"/>
          <w:szCs w:val="28"/>
          <w:vertAlign w:val="subscript"/>
          <w:lang w:val="en-US"/>
        </w:rPr>
        <w:t>m</w:t>
      </w:r>
      <w:r>
        <w:rPr>
          <w:rFonts w:ascii="Times New Roman" w:hAnsi="Times New Roman"/>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3"/>
        <w:gridCol w:w="958"/>
      </w:tblGrid>
      <w:tr w:rsidR="009B6761" w:rsidTr="000E333B">
        <w:tc>
          <w:tcPr>
            <w:tcW w:w="851" w:type="dxa"/>
          </w:tcPr>
          <w:p w:rsidR="009B6761" w:rsidRDefault="009B6761" w:rsidP="00E42DC7">
            <w:pPr>
              <w:pStyle w:val="Default"/>
              <w:jc w:val="both"/>
              <w:rPr>
                <w:sz w:val="28"/>
                <w:szCs w:val="28"/>
              </w:rPr>
            </w:pPr>
          </w:p>
        </w:tc>
        <w:tc>
          <w:tcPr>
            <w:tcW w:w="7653" w:type="dxa"/>
          </w:tcPr>
          <w:p w:rsidR="006404C5" w:rsidRDefault="001E25DA" w:rsidP="006404C5">
            <w:pPr>
              <w:spacing w:line="360" w:lineRule="auto"/>
              <w:jc w:val="center"/>
              <w:rPr>
                <w:rFonts w:ascii="Times New Roman" w:hAnsi="Times New Roman"/>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m</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 xml:space="preserve">a </m:t>
                    </m:r>
                  </m:sub>
                </m:sSub>
                <m:d>
                  <m:dPr>
                    <m:ctrlPr>
                      <w:rPr>
                        <w:rFonts w:ascii="Cambria Math" w:hAnsi="Cambria Math"/>
                        <w:i/>
                        <w:sz w:val="28"/>
                        <w:szCs w:val="28"/>
                        <w:lang w:val="en-US"/>
                      </w:rPr>
                    </m:ctrlPr>
                  </m:dPr>
                  <m:e>
                    <m:r>
                      <w:rPr>
                        <w:rFonts w:ascii="Cambria Math" w:hAnsi="Cambria Math"/>
                        <w:sz w:val="28"/>
                        <w:szCs w:val="28"/>
                        <w:lang w:val="en-US"/>
                      </w:rPr>
                      <m:t>1-</m:t>
                    </m:r>
                    <m:f>
                      <m:fPr>
                        <m:ctrlPr>
                          <w:rPr>
                            <w:rFonts w:ascii="Cambria Math" w:hAnsi="Cambria Math"/>
                            <w:i/>
                            <w:sz w:val="28"/>
                            <w:szCs w:val="28"/>
                            <w:lang w:val="en-US"/>
                          </w:rPr>
                        </m:ctrlPr>
                      </m:fPr>
                      <m:num>
                        <m:r>
                          <w:rPr>
                            <w:rFonts w:ascii="Cambria Math" w:hAnsi="Cambria Math"/>
                            <w:sz w:val="28"/>
                            <w:szCs w:val="28"/>
                            <w:lang w:val="en-US"/>
                          </w:rPr>
                          <m:t>P</m:t>
                        </m:r>
                      </m:num>
                      <m:den>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0</m:t>
                            </m:r>
                          </m:sub>
                        </m:sSub>
                      </m:den>
                    </m:f>
                  </m:e>
                </m:d>
                <m:r>
                  <w:rPr>
                    <w:rFonts w:ascii="Cambria Math" w:hAnsi="Cambria Math"/>
                    <w:sz w:val="28"/>
                    <w:szCs w:val="28"/>
                    <w:lang w:val="en-US"/>
                  </w:rPr>
                  <m:t xml:space="preserve">,   </m:t>
                </m:r>
              </m:oMath>
            </m:oMathPara>
          </w:p>
        </w:tc>
        <w:tc>
          <w:tcPr>
            <w:tcW w:w="958" w:type="dxa"/>
            <w:vAlign w:val="center"/>
          </w:tcPr>
          <w:p w:rsidR="007730D2" w:rsidRDefault="009B6761">
            <w:pPr>
              <w:pStyle w:val="Default"/>
              <w:jc w:val="right"/>
              <w:rPr>
                <w:rFonts w:eastAsia="Calibri"/>
                <w:sz w:val="28"/>
                <w:szCs w:val="28"/>
              </w:rPr>
            </w:pPr>
            <w:r>
              <w:rPr>
                <w:rFonts w:eastAsia="TimesNewRomanPSMT"/>
                <w:sz w:val="28"/>
                <w:szCs w:val="28"/>
              </w:rPr>
              <w:t>(3</w:t>
            </w:r>
            <w:r w:rsidRPr="00051247">
              <w:rPr>
                <w:rFonts w:eastAsia="TimesNewRomanPSMT"/>
                <w:sz w:val="28"/>
                <w:szCs w:val="28"/>
              </w:rPr>
              <w:t>)</w:t>
            </w:r>
          </w:p>
        </w:tc>
      </w:tr>
    </w:tbl>
    <w:p w:rsidR="006404C5" w:rsidRDefault="00817CE1" w:rsidP="006404C5">
      <w:pPr>
        <w:spacing w:before="120" w:after="0" w:line="360" w:lineRule="auto"/>
        <w:ind w:firstLine="709"/>
        <w:jc w:val="both"/>
        <w:rPr>
          <w:rFonts w:ascii="Times New Roman" w:hAnsi="Times New Roman"/>
          <w:sz w:val="28"/>
          <w:szCs w:val="28"/>
        </w:rPr>
      </w:pPr>
      <w:r>
        <w:rPr>
          <w:rFonts w:ascii="Times New Roman" w:hAnsi="Times New Roman"/>
          <w:sz w:val="28"/>
          <w:szCs w:val="28"/>
        </w:rPr>
        <w:t xml:space="preserve">Затем на основании </w:t>
      </w:r>
      <w:r>
        <w:rPr>
          <w:rFonts w:ascii="Times New Roman" w:hAnsi="Times New Roman"/>
          <w:sz w:val="28"/>
          <w:szCs w:val="28"/>
          <w:lang w:val="en-US"/>
        </w:rPr>
        <w:t>V</w:t>
      </w:r>
      <w:r w:rsidRPr="00E24C89">
        <w:rPr>
          <w:rFonts w:ascii="Times New Roman" w:hAnsi="Times New Roman"/>
          <w:sz w:val="28"/>
          <w:szCs w:val="28"/>
          <w:vertAlign w:val="subscript"/>
          <w:lang w:val="en-US"/>
        </w:rPr>
        <w:t>m</w:t>
      </w:r>
      <w:r>
        <w:rPr>
          <w:rFonts w:ascii="Times New Roman" w:hAnsi="Times New Roman"/>
          <w:sz w:val="28"/>
          <w:szCs w:val="28"/>
        </w:rPr>
        <w:t xml:space="preserve"> рассчитывают удельную площадь поверхности согласно уравнению (2).</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Одноточечный метод измерения может быть использован непосредственно для серии образцов порошка определ</w:t>
      </w:r>
      <w:r w:rsidR="008254ED">
        <w:rPr>
          <w:rFonts w:ascii="Times New Roman" w:hAnsi="Times New Roman"/>
          <w:sz w:val="28"/>
          <w:szCs w:val="28"/>
        </w:rPr>
        <w:t>ё</w:t>
      </w:r>
      <w:r>
        <w:rPr>
          <w:rFonts w:ascii="Times New Roman" w:hAnsi="Times New Roman"/>
          <w:sz w:val="28"/>
          <w:szCs w:val="28"/>
        </w:rPr>
        <w:t xml:space="preserve">нного вещества, </w:t>
      </w:r>
      <w:r w:rsidR="00E42DC7">
        <w:rPr>
          <w:rFonts w:ascii="Times New Roman" w:hAnsi="Times New Roman"/>
          <w:sz w:val="28"/>
          <w:szCs w:val="28"/>
        </w:rPr>
        <w:t>для которого константа вещества </w:t>
      </w:r>
      <w:r>
        <w:rPr>
          <w:rFonts w:ascii="Times New Roman" w:hAnsi="Times New Roman"/>
          <w:sz w:val="28"/>
          <w:szCs w:val="28"/>
        </w:rPr>
        <w:t>С намного больше единицы. Эти обстоятельства могут быть проверены пут</w:t>
      </w:r>
      <w:r w:rsidR="008254ED">
        <w:rPr>
          <w:rFonts w:ascii="Times New Roman" w:hAnsi="Times New Roman"/>
          <w:sz w:val="28"/>
          <w:szCs w:val="28"/>
        </w:rPr>
        <w:t>ё</w:t>
      </w:r>
      <w:r>
        <w:rPr>
          <w:rFonts w:ascii="Times New Roman" w:hAnsi="Times New Roman"/>
          <w:sz w:val="28"/>
          <w:szCs w:val="28"/>
        </w:rPr>
        <w:t xml:space="preserve">м сравнения значений удельной площади поверхности, определяемых одноточечным методом со значениями, определяемыми многоточечным методом, для серии образцов порошка. Близкое сходство между значениями, полученными при одноточечных и многоточечных измерениях, предполагает, что </w:t>
      </w:r>
      <w:r w:rsidR="00057B3A" w:rsidRPr="00057B3A">
        <w:rPr>
          <w:rFonts w:ascii="Times New Roman" w:hAnsi="Times New Roman"/>
          <w:i/>
          <w:sz w:val="28"/>
          <w:szCs w:val="28"/>
        </w:rPr>
        <w:t>1/С</w:t>
      </w:r>
      <w:r>
        <w:rPr>
          <w:rFonts w:ascii="Times New Roman" w:hAnsi="Times New Roman"/>
          <w:sz w:val="28"/>
          <w:szCs w:val="28"/>
        </w:rPr>
        <w:t xml:space="preserve"> приближается к нулю.</w:t>
      </w:r>
    </w:p>
    <w:p w:rsidR="00817CE1" w:rsidRPr="003B6412"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Одноточечный метод измерения можно применять косвенно для ряда аналогичных образцов порошка определ</w:t>
      </w:r>
      <w:r w:rsidR="008254ED">
        <w:rPr>
          <w:rFonts w:ascii="Times New Roman" w:hAnsi="Times New Roman"/>
          <w:sz w:val="28"/>
          <w:szCs w:val="28"/>
        </w:rPr>
        <w:t>ё</w:t>
      </w:r>
      <w:r>
        <w:rPr>
          <w:rFonts w:ascii="Times New Roman" w:hAnsi="Times New Roman"/>
          <w:sz w:val="28"/>
          <w:szCs w:val="28"/>
        </w:rPr>
        <w:t>нного материала, для которых константа материала С не является бесконечной, но может считаться неизменной. В этих условиях погрешность, связанная с одноточечным методом, может быть уменьшена или устранена пут</w:t>
      </w:r>
      <w:r w:rsidR="008254ED">
        <w:rPr>
          <w:rFonts w:ascii="Times New Roman" w:hAnsi="Times New Roman"/>
          <w:sz w:val="28"/>
          <w:szCs w:val="28"/>
        </w:rPr>
        <w:t>ё</w:t>
      </w:r>
      <w:r>
        <w:rPr>
          <w:rFonts w:ascii="Times New Roman" w:hAnsi="Times New Roman"/>
          <w:sz w:val="28"/>
          <w:szCs w:val="28"/>
        </w:rPr>
        <w:t>м применения многоточечного метода для оценки С одного из образцов серии по графику БЭТ, из которого С рассчитывается как (1+</w:t>
      </w:r>
      <w:r w:rsidRPr="00F642D3">
        <w:rPr>
          <w:rFonts w:ascii="Times New Roman" w:hAnsi="Times New Roman"/>
          <w:i/>
          <w:sz w:val="28"/>
          <w:szCs w:val="28"/>
        </w:rPr>
        <w:t>тангенс угла наклона/пересечение</w:t>
      </w:r>
      <w:r>
        <w:rPr>
          <w:rFonts w:ascii="Times New Roman" w:hAnsi="Times New Roman"/>
          <w:sz w:val="28"/>
          <w:szCs w:val="28"/>
        </w:rPr>
        <w:t xml:space="preserve">). Затем </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m</w:t>
      </w:r>
      <w:r>
        <w:rPr>
          <w:rFonts w:ascii="Times New Roman" w:hAnsi="Times New Roman"/>
          <w:sz w:val="28"/>
          <w:szCs w:val="28"/>
        </w:rPr>
        <w:t xml:space="preserve"> рассчитывают на основании единственного значения </w:t>
      </w:r>
      <w:r w:rsidR="00057B3A" w:rsidRPr="00057B3A">
        <w:rPr>
          <w:rFonts w:ascii="Times New Roman" w:hAnsi="Times New Roman"/>
          <w:i/>
          <w:sz w:val="28"/>
          <w:szCs w:val="28"/>
          <w:lang w:val="en-US"/>
        </w:rPr>
        <w:t>V</w:t>
      </w:r>
      <w:r w:rsidR="00057B3A" w:rsidRPr="00057B3A">
        <w:rPr>
          <w:rFonts w:ascii="Times New Roman" w:hAnsi="Times New Roman"/>
          <w:i/>
          <w:sz w:val="28"/>
          <w:szCs w:val="28"/>
          <w:vertAlign w:val="subscript"/>
          <w:lang w:val="en-US"/>
        </w:rPr>
        <w:t>a</w:t>
      </w:r>
      <w:r>
        <w:rPr>
          <w:rFonts w:ascii="Times New Roman" w:hAnsi="Times New Roman"/>
          <w:sz w:val="28"/>
          <w:szCs w:val="28"/>
        </w:rPr>
        <w:t xml:space="preserve">, измеряемого при единственном значении </w:t>
      </w:r>
      <w:r w:rsidR="00057B3A" w:rsidRPr="00057B3A">
        <w:rPr>
          <w:rFonts w:ascii="Times New Roman" w:hAnsi="Times New Roman"/>
          <w:i/>
          <w:sz w:val="28"/>
          <w:szCs w:val="28"/>
        </w:rPr>
        <w:t>Р/Р</w:t>
      </w:r>
      <w:r w:rsidR="00057B3A" w:rsidRPr="00057B3A">
        <w:rPr>
          <w:rFonts w:ascii="Times New Roman" w:hAnsi="Times New Roman"/>
          <w:i/>
          <w:sz w:val="28"/>
          <w:szCs w:val="28"/>
          <w:vertAlign w:val="subscript"/>
        </w:rPr>
        <w:t>о</w:t>
      </w:r>
      <w:r>
        <w:rPr>
          <w:rFonts w:ascii="Times New Roman" w:hAnsi="Times New Roman"/>
          <w:sz w:val="28"/>
          <w:szCs w:val="28"/>
        </w:rPr>
        <w:t xml:space="preserve"> согласно уравнению:</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3"/>
        <w:gridCol w:w="958"/>
      </w:tblGrid>
      <w:tr w:rsidR="000D42D2" w:rsidTr="000E333B">
        <w:tc>
          <w:tcPr>
            <w:tcW w:w="851" w:type="dxa"/>
          </w:tcPr>
          <w:p w:rsidR="000D42D2" w:rsidRDefault="000D42D2" w:rsidP="00E42DC7">
            <w:pPr>
              <w:pStyle w:val="Default"/>
              <w:jc w:val="both"/>
              <w:rPr>
                <w:sz w:val="28"/>
                <w:szCs w:val="28"/>
              </w:rPr>
            </w:pPr>
          </w:p>
        </w:tc>
        <w:tc>
          <w:tcPr>
            <w:tcW w:w="7653" w:type="dxa"/>
          </w:tcPr>
          <w:p w:rsidR="006404C5" w:rsidRPr="006404C5" w:rsidRDefault="001E25DA" w:rsidP="006404C5">
            <w:pPr>
              <w:spacing w:line="360" w:lineRule="auto"/>
              <w:jc w:val="center"/>
              <w:rPr>
                <w:rFonts w:ascii="Times New Roman" w:hAnsi="Times New Roman"/>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m</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en-US"/>
                      </w:rPr>
                      <m:t>a</m:t>
                    </m:r>
                  </m:sub>
                </m:sSub>
                <m:d>
                  <m:dPr>
                    <m:ctrlPr>
                      <w:rPr>
                        <w:rFonts w:ascii="Cambria Math" w:hAnsi="Cambria Math"/>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0</m:t>
                            </m:r>
                          </m:sub>
                        </m:sSub>
                      </m:num>
                      <m:den>
                        <m:r>
                          <w:rPr>
                            <w:rFonts w:ascii="Cambria Math" w:hAnsi="Cambria Math"/>
                            <w:sz w:val="28"/>
                            <w:szCs w:val="28"/>
                            <w:lang w:val="en-US"/>
                          </w:rPr>
                          <m:t>P</m:t>
                        </m:r>
                      </m:den>
                    </m:f>
                    <m:r>
                      <w:rPr>
                        <w:rFonts w:ascii="Cambria Math" w:hAnsi="Cambria Math"/>
                        <w:sz w:val="28"/>
                        <w:szCs w:val="28"/>
                        <w:lang w:val="en-US"/>
                      </w:rPr>
                      <m:t>-1</m:t>
                    </m:r>
                  </m:e>
                </m:d>
                <m:d>
                  <m:dPr>
                    <m:begChr m:val="["/>
                    <m:endChr m:val="]"/>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C</m:t>
                        </m:r>
                      </m:den>
                    </m:f>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 xml:space="preserve">C-1 </m:t>
                        </m:r>
                      </m:num>
                      <m:den>
                        <m:r>
                          <w:rPr>
                            <w:rFonts w:ascii="Cambria Math" w:hAnsi="Cambria Math"/>
                            <w:sz w:val="28"/>
                            <w:szCs w:val="28"/>
                            <w:lang w:val="en-US"/>
                          </w:rPr>
                          <m:t>C</m:t>
                        </m:r>
                      </m:den>
                    </m:f>
                    <m:d>
                      <m:dPr>
                        <m:ctrlPr>
                          <w:rPr>
                            <w:rFonts w:ascii="Cambria Math" w:hAnsi="Cambria Math"/>
                            <w:i/>
                            <w:sz w:val="28"/>
                            <w:szCs w:val="28"/>
                            <w:lang w:val="en-US"/>
                          </w:rPr>
                        </m:ctrlPr>
                      </m:dPr>
                      <m:e>
                        <m:f>
                          <m:fPr>
                            <m:ctrlPr>
                              <w:rPr>
                                <w:rFonts w:ascii="Cambria Math" w:hAnsi="Cambria Math"/>
                                <w:i/>
                                <w:sz w:val="28"/>
                                <w:szCs w:val="28"/>
                                <w:lang w:val="en-US"/>
                              </w:rPr>
                            </m:ctrlPr>
                          </m:fPr>
                          <m:num>
                            <m:r>
                              <w:rPr>
                                <w:rFonts w:ascii="Cambria Math" w:hAnsi="Cambria Math"/>
                                <w:sz w:val="28"/>
                                <w:szCs w:val="28"/>
                                <w:lang w:val="en-US"/>
                              </w:rPr>
                              <m:t>P</m:t>
                            </m:r>
                          </m:num>
                          <m:den>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0</m:t>
                                </m:r>
                              </m:sub>
                            </m:sSub>
                          </m:den>
                        </m:f>
                      </m:e>
                    </m:d>
                  </m:e>
                </m:d>
                <m:r>
                  <w:rPr>
                    <w:rFonts w:ascii="Cambria Math" w:hAnsi="Cambria Math"/>
                    <w:sz w:val="28"/>
                    <w:szCs w:val="28"/>
                    <w:lang w:val="en-US"/>
                  </w:rPr>
                  <m:t>,</m:t>
                </m:r>
              </m:oMath>
            </m:oMathPara>
          </w:p>
        </w:tc>
        <w:tc>
          <w:tcPr>
            <w:tcW w:w="958" w:type="dxa"/>
            <w:vAlign w:val="center"/>
          </w:tcPr>
          <w:p w:rsidR="007730D2" w:rsidRDefault="000D42D2">
            <w:pPr>
              <w:pStyle w:val="Default"/>
              <w:jc w:val="right"/>
              <w:rPr>
                <w:rFonts w:eastAsia="Calibri"/>
                <w:sz w:val="28"/>
                <w:szCs w:val="28"/>
              </w:rPr>
            </w:pPr>
            <w:r>
              <w:rPr>
                <w:rFonts w:eastAsia="TimesNewRomanPSMT"/>
                <w:sz w:val="28"/>
                <w:szCs w:val="28"/>
              </w:rPr>
              <w:t>(</w:t>
            </w:r>
            <w:r>
              <w:rPr>
                <w:rFonts w:eastAsia="TimesNewRomanPSMT"/>
                <w:sz w:val="28"/>
                <w:szCs w:val="28"/>
                <w:lang w:val="en-US"/>
              </w:rPr>
              <w:t>4</w:t>
            </w:r>
            <w:r w:rsidRPr="00051247">
              <w:rPr>
                <w:rFonts w:eastAsia="TimesNewRomanPSMT"/>
                <w:sz w:val="28"/>
                <w:szCs w:val="28"/>
              </w:rPr>
              <w:t>)</w:t>
            </w:r>
          </w:p>
        </w:tc>
      </w:tr>
    </w:tbl>
    <w:p w:rsidR="00817CE1" w:rsidRDefault="00817CE1" w:rsidP="00C74AB3">
      <w:pPr>
        <w:spacing w:before="120" w:after="0" w:line="360" w:lineRule="auto"/>
        <w:ind w:firstLine="709"/>
        <w:jc w:val="both"/>
        <w:rPr>
          <w:rFonts w:ascii="Times New Roman" w:hAnsi="Times New Roman"/>
          <w:sz w:val="28"/>
          <w:szCs w:val="28"/>
        </w:rPr>
      </w:pPr>
      <w:r>
        <w:rPr>
          <w:rFonts w:ascii="Times New Roman" w:hAnsi="Times New Roman"/>
          <w:sz w:val="28"/>
          <w:szCs w:val="28"/>
        </w:rPr>
        <w:t xml:space="preserve">Удельную площадь поверхности рассчитывают на основании значения </w:t>
      </w:r>
      <w:r w:rsidR="000A1B42" w:rsidRPr="0083218D">
        <w:rPr>
          <w:rFonts w:ascii="Cambria Math" w:hAnsi="Cambria Math"/>
          <w:i/>
          <w:sz w:val="28"/>
          <w:szCs w:val="28"/>
          <w:lang w:val="en-US"/>
        </w:rPr>
        <w:t>V</w:t>
      </w:r>
      <w:r w:rsidR="000A1B42" w:rsidRPr="0083218D">
        <w:rPr>
          <w:rFonts w:ascii="Cambria Math" w:hAnsi="Cambria Math"/>
          <w:i/>
          <w:sz w:val="28"/>
          <w:szCs w:val="28"/>
          <w:vertAlign w:val="subscript"/>
          <w:lang w:val="en-US"/>
        </w:rPr>
        <w:t>m</w:t>
      </w:r>
      <w:r>
        <w:rPr>
          <w:rFonts w:ascii="Times New Roman" w:hAnsi="Times New Roman"/>
          <w:sz w:val="28"/>
          <w:szCs w:val="28"/>
        </w:rPr>
        <w:t xml:space="preserve"> согласно уравнению (2).</w:t>
      </w:r>
    </w:p>
    <w:p w:rsidR="001F7D5F" w:rsidRPr="00422561" w:rsidRDefault="00817CE1">
      <w:pPr>
        <w:keepNext/>
        <w:spacing w:before="240" w:after="0" w:line="360" w:lineRule="auto"/>
        <w:jc w:val="center"/>
        <w:rPr>
          <w:rFonts w:ascii="Times New Roman" w:hAnsi="Times New Roman"/>
          <w:sz w:val="28"/>
          <w:szCs w:val="28"/>
        </w:rPr>
      </w:pPr>
      <w:r>
        <w:rPr>
          <w:rFonts w:ascii="Times New Roman" w:hAnsi="Times New Roman"/>
          <w:b/>
          <w:sz w:val="28"/>
          <w:szCs w:val="28"/>
        </w:rPr>
        <w:t>Подготовка к испытаниям</w:t>
      </w:r>
    </w:p>
    <w:p w:rsidR="00817CE1" w:rsidRDefault="00817CE1" w:rsidP="00817CE1">
      <w:pPr>
        <w:spacing w:after="0" w:line="360" w:lineRule="auto"/>
        <w:ind w:firstLine="709"/>
        <w:jc w:val="both"/>
        <w:rPr>
          <w:rFonts w:ascii="Times New Roman" w:hAnsi="Times New Roman"/>
          <w:sz w:val="28"/>
          <w:szCs w:val="28"/>
        </w:rPr>
      </w:pPr>
      <w:r w:rsidRPr="00FD583C">
        <w:rPr>
          <w:rFonts w:ascii="Times New Roman" w:hAnsi="Times New Roman"/>
          <w:i/>
          <w:sz w:val="28"/>
          <w:szCs w:val="28"/>
        </w:rPr>
        <w:t>Дегазация.</w:t>
      </w:r>
      <w:r>
        <w:rPr>
          <w:rFonts w:ascii="Times New Roman" w:hAnsi="Times New Roman"/>
          <w:sz w:val="28"/>
          <w:szCs w:val="28"/>
        </w:rPr>
        <w:t xml:space="preserve"> Перед определением удельной площади поверхности образца необходимо удалить газы и пары, которые могли физически </w:t>
      </w:r>
      <w:r>
        <w:rPr>
          <w:rFonts w:ascii="Times New Roman" w:hAnsi="Times New Roman"/>
          <w:sz w:val="28"/>
          <w:szCs w:val="28"/>
        </w:rPr>
        <w:lastRenderedPageBreak/>
        <w:t>адсорбироваться на поверхности образца после производства, во время обработки, транспортирования, хранения. Если дегазация не проведена, то удельная площадь поверхности может быть уменьшена или может меняться, так как промежуточная площадь поверхности покрыта молекулами ранее адсорбировавшихся газов и паров. Условия проведения дегазации имеют решающее значение для получения требуемой воспроизводимости и точности измерения удельной площади поверхности фармацевтических субстанций, вспомогательных веществ из-за чувствительности поверхностей этих материалов.</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Пригодность условий дегазации подтверждают по получению воспроизводимых графиков БЭТ, постоянной массе испытуемого порошка и отсутствия обнаруживаемых физических или химических изменений в испытуемом порошке.</w:t>
      </w:r>
    </w:p>
    <w:p w:rsidR="00817CE1" w:rsidRDefault="00817CE1" w:rsidP="00817CE1">
      <w:pPr>
        <w:spacing w:after="0" w:line="360" w:lineRule="auto"/>
        <w:ind w:firstLine="709"/>
        <w:jc w:val="both"/>
        <w:rPr>
          <w:rFonts w:ascii="Times New Roman" w:hAnsi="Times New Roman"/>
          <w:sz w:val="28"/>
          <w:szCs w:val="28"/>
        </w:rPr>
      </w:pPr>
      <w:r w:rsidRPr="00987028">
        <w:rPr>
          <w:rFonts w:ascii="Times New Roman" w:hAnsi="Times New Roman"/>
          <w:sz w:val="28"/>
          <w:szCs w:val="28"/>
        </w:rPr>
        <w:t xml:space="preserve">Условия дегазации, определяемые температурой, давлением и временем, должны </w:t>
      </w:r>
      <w:r>
        <w:rPr>
          <w:rFonts w:ascii="Times New Roman" w:hAnsi="Times New Roman"/>
          <w:sz w:val="28"/>
          <w:szCs w:val="28"/>
        </w:rPr>
        <w:t xml:space="preserve">быть </w:t>
      </w:r>
      <w:r w:rsidRPr="00987028">
        <w:rPr>
          <w:rFonts w:ascii="Times New Roman" w:hAnsi="Times New Roman"/>
          <w:sz w:val="28"/>
          <w:szCs w:val="28"/>
        </w:rPr>
        <w:t>выб</w:t>
      </w:r>
      <w:r>
        <w:rPr>
          <w:rFonts w:ascii="Times New Roman" w:hAnsi="Times New Roman"/>
          <w:sz w:val="28"/>
          <w:szCs w:val="28"/>
        </w:rPr>
        <w:t>раны</w:t>
      </w:r>
      <w:r w:rsidRPr="00987028">
        <w:rPr>
          <w:rFonts w:ascii="Times New Roman" w:hAnsi="Times New Roman"/>
          <w:sz w:val="28"/>
          <w:szCs w:val="28"/>
        </w:rPr>
        <w:t xml:space="preserve"> таким образом, чтобы и</w:t>
      </w:r>
      <w:r>
        <w:rPr>
          <w:rFonts w:ascii="Times New Roman" w:hAnsi="Times New Roman"/>
          <w:sz w:val="28"/>
          <w:szCs w:val="28"/>
        </w:rPr>
        <w:t>сходная</w:t>
      </w:r>
      <w:r w:rsidRPr="00987028">
        <w:rPr>
          <w:rFonts w:ascii="Times New Roman" w:hAnsi="Times New Roman"/>
          <w:sz w:val="28"/>
          <w:szCs w:val="28"/>
        </w:rPr>
        <w:t xml:space="preserve"> поверхность тв</w:t>
      </w:r>
      <w:r w:rsidR="00693342">
        <w:rPr>
          <w:rFonts w:ascii="Times New Roman" w:hAnsi="Times New Roman"/>
          <w:sz w:val="28"/>
          <w:szCs w:val="28"/>
        </w:rPr>
        <w:t>ё</w:t>
      </w:r>
      <w:r w:rsidRPr="00987028">
        <w:rPr>
          <w:rFonts w:ascii="Times New Roman" w:hAnsi="Times New Roman"/>
          <w:sz w:val="28"/>
          <w:szCs w:val="28"/>
        </w:rPr>
        <w:t xml:space="preserve">рдого вещества воспроизводилась </w:t>
      </w:r>
      <w:r>
        <w:rPr>
          <w:rFonts w:ascii="Times New Roman" w:hAnsi="Times New Roman"/>
          <w:sz w:val="28"/>
          <w:szCs w:val="28"/>
        </w:rPr>
        <w:t>как можно более</w:t>
      </w:r>
      <w:r w:rsidRPr="00987028">
        <w:rPr>
          <w:rFonts w:ascii="Times New Roman" w:hAnsi="Times New Roman"/>
          <w:sz w:val="28"/>
          <w:szCs w:val="28"/>
        </w:rPr>
        <w:t xml:space="preserve"> точно.</w:t>
      </w:r>
      <w:r>
        <w:rPr>
          <w:rFonts w:ascii="Times New Roman" w:hAnsi="Times New Roman"/>
          <w:sz w:val="28"/>
          <w:szCs w:val="28"/>
        </w:rPr>
        <w:t xml:space="preserve"> </w:t>
      </w:r>
      <w:r w:rsidRPr="00987028">
        <w:rPr>
          <w:rFonts w:ascii="Times New Roman" w:hAnsi="Times New Roman"/>
          <w:sz w:val="28"/>
          <w:szCs w:val="28"/>
        </w:rPr>
        <w:t xml:space="preserve">Дегазация </w:t>
      </w:r>
      <w:r>
        <w:rPr>
          <w:rFonts w:ascii="Times New Roman" w:hAnsi="Times New Roman"/>
          <w:sz w:val="28"/>
          <w:szCs w:val="28"/>
        </w:rPr>
        <w:t xml:space="preserve">многих </w:t>
      </w:r>
      <w:r w:rsidRPr="00987028">
        <w:rPr>
          <w:rFonts w:ascii="Times New Roman" w:hAnsi="Times New Roman"/>
          <w:sz w:val="28"/>
          <w:szCs w:val="28"/>
        </w:rPr>
        <w:t xml:space="preserve">веществ </w:t>
      </w:r>
      <w:r>
        <w:rPr>
          <w:rFonts w:ascii="Times New Roman" w:hAnsi="Times New Roman"/>
          <w:sz w:val="28"/>
          <w:szCs w:val="28"/>
        </w:rPr>
        <w:t xml:space="preserve">часто </w:t>
      </w:r>
      <w:r w:rsidRPr="00987028">
        <w:rPr>
          <w:rFonts w:ascii="Times New Roman" w:hAnsi="Times New Roman"/>
          <w:sz w:val="28"/>
          <w:szCs w:val="28"/>
        </w:rPr>
        <w:t>достигается при</w:t>
      </w:r>
      <w:r>
        <w:rPr>
          <w:rFonts w:ascii="Times New Roman" w:hAnsi="Times New Roman"/>
          <w:sz w:val="28"/>
          <w:szCs w:val="28"/>
        </w:rPr>
        <w:t>менением</w:t>
      </w:r>
      <w:r w:rsidRPr="00987028">
        <w:rPr>
          <w:rFonts w:ascii="Times New Roman" w:hAnsi="Times New Roman"/>
          <w:sz w:val="28"/>
          <w:szCs w:val="28"/>
        </w:rPr>
        <w:t xml:space="preserve"> вакуума</w:t>
      </w:r>
      <w:r>
        <w:rPr>
          <w:rFonts w:ascii="Times New Roman" w:hAnsi="Times New Roman"/>
          <w:sz w:val="28"/>
          <w:szCs w:val="28"/>
        </w:rPr>
        <w:t>,</w:t>
      </w:r>
      <w:r w:rsidRPr="00987028">
        <w:rPr>
          <w:rFonts w:ascii="Times New Roman" w:hAnsi="Times New Roman"/>
          <w:sz w:val="28"/>
          <w:szCs w:val="28"/>
        </w:rPr>
        <w:t xml:space="preserve"> пут</w:t>
      </w:r>
      <w:r w:rsidR="00693342">
        <w:rPr>
          <w:rFonts w:ascii="Times New Roman" w:hAnsi="Times New Roman"/>
          <w:sz w:val="28"/>
          <w:szCs w:val="28"/>
        </w:rPr>
        <w:t>ё</w:t>
      </w:r>
      <w:r w:rsidRPr="00987028">
        <w:rPr>
          <w:rFonts w:ascii="Times New Roman" w:hAnsi="Times New Roman"/>
          <w:sz w:val="28"/>
          <w:szCs w:val="28"/>
        </w:rPr>
        <w:t xml:space="preserve">м </w:t>
      </w:r>
      <w:r>
        <w:rPr>
          <w:rFonts w:ascii="Times New Roman" w:hAnsi="Times New Roman"/>
          <w:sz w:val="28"/>
          <w:szCs w:val="28"/>
        </w:rPr>
        <w:t xml:space="preserve">продувки </w:t>
      </w:r>
      <w:r w:rsidRPr="00987028">
        <w:rPr>
          <w:rFonts w:ascii="Times New Roman" w:hAnsi="Times New Roman"/>
          <w:sz w:val="28"/>
          <w:szCs w:val="28"/>
        </w:rPr>
        <w:t>образца в токе инертного, сухого газа</w:t>
      </w:r>
      <w:r>
        <w:rPr>
          <w:rFonts w:ascii="Times New Roman" w:hAnsi="Times New Roman"/>
          <w:sz w:val="28"/>
          <w:szCs w:val="28"/>
        </w:rPr>
        <w:t xml:space="preserve"> или применением метода циклической десорбции-адсорбции.</w:t>
      </w:r>
    </w:p>
    <w:p w:rsidR="00817CE1" w:rsidRPr="00987028"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При всех способах дегазации д</w:t>
      </w:r>
      <w:r w:rsidRPr="00987028">
        <w:rPr>
          <w:rFonts w:ascii="Times New Roman" w:hAnsi="Times New Roman"/>
          <w:sz w:val="28"/>
          <w:szCs w:val="28"/>
        </w:rPr>
        <w:t xml:space="preserve">ля повышения скорости очистки поверхности от загрязняющих веществ </w:t>
      </w:r>
      <w:r>
        <w:rPr>
          <w:rFonts w:ascii="Times New Roman" w:hAnsi="Times New Roman"/>
          <w:sz w:val="28"/>
          <w:szCs w:val="28"/>
        </w:rPr>
        <w:t>и</w:t>
      </w:r>
      <w:r w:rsidRPr="00987028">
        <w:rPr>
          <w:rFonts w:ascii="Times New Roman" w:hAnsi="Times New Roman"/>
          <w:sz w:val="28"/>
          <w:szCs w:val="28"/>
        </w:rPr>
        <w:t>ногда применяют повышенные температуры. Дегазация пут</w:t>
      </w:r>
      <w:r w:rsidR="00693342">
        <w:rPr>
          <w:rFonts w:ascii="Times New Roman" w:hAnsi="Times New Roman"/>
          <w:sz w:val="28"/>
          <w:szCs w:val="28"/>
        </w:rPr>
        <w:t>ё</w:t>
      </w:r>
      <w:r w:rsidRPr="00987028">
        <w:rPr>
          <w:rFonts w:ascii="Times New Roman" w:hAnsi="Times New Roman"/>
          <w:sz w:val="28"/>
          <w:szCs w:val="28"/>
        </w:rPr>
        <w:t>м нагревания образца порошка может изменить природу поверхности</w:t>
      </w:r>
      <w:r>
        <w:rPr>
          <w:rFonts w:ascii="Times New Roman" w:hAnsi="Times New Roman"/>
          <w:sz w:val="28"/>
          <w:szCs w:val="28"/>
        </w:rPr>
        <w:t xml:space="preserve"> и целостность образца</w:t>
      </w:r>
      <w:r w:rsidRPr="00987028">
        <w:rPr>
          <w:rFonts w:ascii="Times New Roman" w:hAnsi="Times New Roman"/>
          <w:sz w:val="28"/>
          <w:szCs w:val="28"/>
        </w:rPr>
        <w:t>, поэтому данную процедуру не следует выполнять, если нет особых указаний.</w:t>
      </w:r>
      <w:r>
        <w:rPr>
          <w:rFonts w:ascii="Times New Roman" w:hAnsi="Times New Roman"/>
          <w:sz w:val="28"/>
          <w:szCs w:val="28"/>
        </w:rPr>
        <w:t xml:space="preserve"> При использовании н</w:t>
      </w:r>
      <w:r w:rsidRPr="00987028">
        <w:rPr>
          <w:rFonts w:ascii="Times New Roman" w:hAnsi="Times New Roman"/>
          <w:sz w:val="28"/>
          <w:szCs w:val="28"/>
        </w:rPr>
        <w:t>агревани</w:t>
      </w:r>
      <w:r>
        <w:rPr>
          <w:rFonts w:ascii="Times New Roman" w:hAnsi="Times New Roman"/>
          <w:sz w:val="28"/>
          <w:szCs w:val="28"/>
        </w:rPr>
        <w:t>я</w:t>
      </w:r>
      <w:r w:rsidRPr="00987028">
        <w:rPr>
          <w:rFonts w:ascii="Times New Roman" w:hAnsi="Times New Roman"/>
          <w:sz w:val="28"/>
          <w:szCs w:val="28"/>
        </w:rPr>
        <w:t xml:space="preserve"> рекоменд</w:t>
      </w:r>
      <w:r>
        <w:rPr>
          <w:rFonts w:ascii="Times New Roman" w:hAnsi="Times New Roman"/>
          <w:sz w:val="28"/>
          <w:szCs w:val="28"/>
        </w:rPr>
        <w:t>уемая</w:t>
      </w:r>
      <w:r w:rsidRPr="00987028">
        <w:rPr>
          <w:rFonts w:ascii="Times New Roman" w:hAnsi="Times New Roman"/>
          <w:sz w:val="28"/>
          <w:szCs w:val="28"/>
        </w:rPr>
        <w:t xml:space="preserve"> температура и время дегазации должны быть </w:t>
      </w:r>
      <w:r>
        <w:rPr>
          <w:rFonts w:ascii="Times New Roman" w:hAnsi="Times New Roman"/>
          <w:sz w:val="28"/>
          <w:szCs w:val="28"/>
        </w:rPr>
        <w:t xml:space="preserve">как можно меньшими для достижения </w:t>
      </w:r>
      <w:r w:rsidRPr="00987028">
        <w:rPr>
          <w:rFonts w:ascii="Times New Roman" w:hAnsi="Times New Roman"/>
          <w:sz w:val="28"/>
          <w:szCs w:val="28"/>
        </w:rPr>
        <w:t>воспроизводи</w:t>
      </w:r>
      <w:r>
        <w:rPr>
          <w:rFonts w:ascii="Times New Roman" w:hAnsi="Times New Roman"/>
          <w:sz w:val="28"/>
          <w:szCs w:val="28"/>
        </w:rPr>
        <w:t xml:space="preserve">мого </w:t>
      </w:r>
      <w:r w:rsidRPr="00987028">
        <w:rPr>
          <w:rFonts w:ascii="Times New Roman" w:hAnsi="Times New Roman"/>
          <w:sz w:val="28"/>
          <w:szCs w:val="28"/>
        </w:rPr>
        <w:t xml:space="preserve">измерения удельной площади поверхности за приемлемый интервал времени. Для дегазации чувствительных образцов </w:t>
      </w:r>
      <w:r>
        <w:rPr>
          <w:rFonts w:ascii="Times New Roman" w:hAnsi="Times New Roman"/>
          <w:sz w:val="28"/>
          <w:szCs w:val="28"/>
        </w:rPr>
        <w:t xml:space="preserve">веществ могут быть использованы </w:t>
      </w:r>
      <w:r w:rsidRPr="00987028">
        <w:rPr>
          <w:rFonts w:ascii="Times New Roman" w:hAnsi="Times New Roman"/>
          <w:sz w:val="28"/>
          <w:szCs w:val="28"/>
        </w:rPr>
        <w:t xml:space="preserve">другие методы дегазации, </w:t>
      </w:r>
      <w:r>
        <w:rPr>
          <w:rFonts w:ascii="Times New Roman" w:hAnsi="Times New Roman"/>
          <w:sz w:val="28"/>
          <w:szCs w:val="28"/>
        </w:rPr>
        <w:t xml:space="preserve">например, </w:t>
      </w:r>
      <w:r w:rsidRPr="00987028">
        <w:rPr>
          <w:rFonts w:ascii="Times New Roman" w:hAnsi="Times New Roman"/>
          <w:sz w:val="28"/>
          <w:szCs w:val="28"/>
        </w:rPr>
        <w:t>так</w:t>
      </w:r>
      <w:r>
        <w:rPr>
          <w:rFonts w:ascii="Times New Roman" w:hAnsi="Times New Roman"/>
          <w:sz w:val="28"/>
          <w:szCs w:val="28"/>
        </w:rPr>
        <w:t xml:space="preserve">ие как цикличный метод десорбции </w:t>
      </w:r>
      <w:r w:rsidRPr="00987028">
        <w:rPr>
          <w:rFonts w:ascii="Times New Roman" w:hAnsi="Times New Roman"/>
          <w:sz w:val="28"/>
          <w:szCs w:val="28"/>
        </w:rPr>
        <w:t>и адсорбции.</w:t>
      </w:r>
    </w:p>
    <w:p w:rsidR="00817CE1" w:rsidRDefault="00817CE1" w:rsidP="00817CE1">
      <w:pPr>
        <w:spacing w:after="0" w:line="360" w:lineRule="auto"/>
        <w:ind w:firstLine="709"/>
        <w:jc w:val="both"/>
        <w:rPr>
          <w:rFonts w:ascii="Times New Roman" w:hAnsi="Times New Roman"/>
          <w:sz w:val="28"/>
          <w:szCs w:val="28"/>
        </w:rPr>
      </w:pPr>
      <w:r w:rsidRPr="00FD583C">
        <w:rPr>
          <w:rFonts w:ascii="Times New Roman" w:hAnsi="Times New Roman"/>
          <w:i/>
          <w:sz w:val="28"/>
          <w:szCs w:val="28"/>
        </w:rPr>
        <w:lastRenderedPageBreak/>
        <w:t>Адсорбируемый газ.</w:t>
      </w:r>
      <w:r>
        <w:rPr>
          <w:rFonts w:ascii="Times New Roman" w:hAnsi="Times New Roman"/>
          <w:sz w:val="28"/>
          <w:szCs w:val="28"/>
        </w:rPr>
        <w:t xml:space="preserve"> Стандартным методом является адсорбция азота при температуре жидкого азота.</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Для порошков с низкой удельной площадью поверхности (менее 0,2 м</w:t>
      </w:r>
      <w:r w:rsidRPr="00AA5732">
        <w:rPr>
          <w:rFonts w:ascii="Times New Roman" w:hAnsi="Times New Roman"/>
          <w:sz w:val="28"/>
          <w:szCs w:val="28"/>
          <w:vertAlign w:val="superscript"/>
        </w:rPr>
        <w:t>2</w:t>
      </w:r>
      <w:r w:rsidR="00693342">
        <w:rPr>
          <w:rFonts w:ascii="Times New Roman" w:hAnsi="Times New Roman"/>
          <w:sz w:val="28"/>
          <w:szCs w:val="28"/>
        </w:rPr>
        <w:t>·</w:t>
      </w:r>
      <w:r>
        <w:rPr>
          <w:rFonts w:ascii="Times New Roman" w:hAnsi="Times New Roman"/>
          <w:sz w:val="28"/>
          <w:szCs w:val="28"/>
        </w:rPr>
        <w:t>г</w:t>
      </w:r>
      <w:r w:rsidR="00FF1A2E">
        <w:rPr>
          <w:rFonts w:ascii="Times New Roman" w:hAnsi="Times New Roman"/>
          <w:sz w:val="28"/>
          <w:szCs w:val="28"/>
          <w:vertAlign w:val="superscript"/>
        </w:rPr>
        <w:t>–</w:t>
      </w:r>
      <w:r w:rsidRPr="00AA5732">
        <w:rPr>
          <w:rFonts w:ascii="Times New Roman" w:hAnsi="Times New Roman"/>
          <w:sz w:val="28"/>
          <w:szCs w:val="28"/>
          <w:vertAlign w:val="superscript"/>
        </w:rPr>
        <w:t>1</w:t>
      </w:r>
      <w:r>
        <w:rPr>
          <w:rFonts w:ascii="Times New Roman" w:hAnsi="Times New Roman"/>
          <w:sz w:val="28"/>
          <w:szCs w:val="28"/>
        </w:rPr>
        <w:t>), доля адсорбируемого газа является небольшой. В этом случае предпочтительно использовать криптон при температуре жидкого азота, так как низкое давление пара этого газа значительно уменьшает погрешность.</w:t>
      </w:r>
    </w:p>
    <w:p w:rsidR="00817CE1" w:rsidRPr="00053907"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Увеличение количества испытуемого образца, там, где это возможно (эквивалентно 1 </w:t>
      </w:r>
      <w:r w:rsidRPr="001245DB">
        <w:rPr>
          <w:rFonts w:ascii="Times New Roman" w:hAnsi="Times New Roman"/>
          <w:sz w:val="28"/>
          <w:szCs w:val="28"/>
        </w:rPr>
        <w:t>м</w:t>
      </w:r>
      <w:r>
        <w:rPr>
          <w:rFonts w:ascii="Times New Roman" w:hAnsi="Times New Roman"/>
          <w:sz w:val="28"/>
          <w:szCs w:val="28"/>
          <w:vertAlign w:val="superscript"/>
        </w:rPr>
        <w:t>2</w:t>
      </w:r>
      <w:r w:rsidR="00693342">
        <w:rPr>
          <w:rFonts w:ascii="Times New Roman" w:hAnsi="Times New Roman"/>
          <w:sz w:val="28"/>
          <w:szCs w:val="28"/>
          <w:vertAlign w:val="superscript"/>
        </w:rPr>
        <w:t xml:space="preserve"> </w:t>
      </w:r>
      <w:r w:rsidRPr="00053907">
        <w:rPr>
          <w:rFonts w:ascii="Times New Roman" w:hAnsi="Times New Roman"/>
          <w:sz w:val="28"/>
          <w:szCs w:val="28"/>
        </w:rPr>
        <w:t>ил</w:t>
      </w:r>
      <w:r>
        <w:rPr>
          <w:rFonts w:ascii="Times New Roman" w:hAnsi="Times New Roman"/>
          <w:sz w:val="28"/>
          <w:szCs w:val="28"/>
        </w:rPr>
        <w:t>и более от общей площади поверхности при использовании азота), может компенсировать ошибки при определении малых площадей поверхности.</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Все используемые газы не должны содержать влаги, то есть быть сухими.</w:t>
      </w:r>
    </w:p>
    <w:p w:rsidR="00817CE1" w:rsidRDefault="00817CE1" w:rsidP="00817CE1">
      <w:pPr>
        <w:spacing w:after="0" w:line="360" w:lineRule="auto"/>
        <w:ind w:firstLine="709"/>
        <w:jc w:val="both"/>
        <w:rPr>
          <w:rFonts w:ascii="Times New Roman" w:hAnsi="Times New Roman"/>
          <w:sz w:val="28"/>
          <w:szCs w:val="28"/>
        </w:rPr>
      </w:pPr>
      <w:r w:rsidRPr="00FD583C">
        <w:rPr>
          <w:rFonts w:ascii="Times New Roman" w:hAnsi="Times New Roman"/>
          <w:i/>
          <w:sz w:val="28"/>
          <w:szCs w:val="28"/>
        </w:rPr>
        <w:t>Количество образца</w:t>
      </w:r>
      <w:r w:rsidRPr="00987028">
        <w:rPr>
          <w:rFonts w:ascii="Times New Roman" w:hAnsi="Times New Roman"/>
          <w:b/>
          <w:i/>
          <w:sz w:val="28"/>
          <w:szCs w:val="28"/>
        </w:rPr>
        <w:t>.</w:t>
      </w:r>
      <w:r>
        <w:rPr>
          <w:rFonts w:ascii="Times New Roman" w:hAnsi="Times New Roman"/>
          <w:sz w:val="28"/>
          <w:szCs w:val="28"/>
        </w:rPr>
        <w:t xml:space="preserve"> Точно взвешивают такое </w:t>
      </w:r>
      <w:r w:rsidRPr="00D63AAE">
        <w:rPr>
          <w:rFonts w:ascii="Times New Roman" w:hAnsi="Times New Roman"/>
          <w:color w:val="000000" w:themeColor="text1"/>
          <w:sz w:val="28"/>
          <w:szCs w:val="28"/>
        </w:rPr>
        <w:t>количество испытуемого порошка, чтобы общая поверхность образца составляла не менее 1 м</w:t>
      </w:r>
      <w:r w:rsidRPr="00D63AAE">
        <w:rPr>
          <w:rFonts w:ascii="Times New Roman" w:hAnsi="Times New Roman"/>
          <w:color w:val="000000" w:themeColor="text1"/>
          <w:sz w:val="28"/>
          <w:szCs w:val="28"/>
          <w:vertAlign w:val="superscript"/>
        </w:rPr>
        <w:t>2</w:t>
      </w:r>
      <w:r w:rsidRPr="00D63AAE">
        <w:rPr>
          <w:rFonts w:ascii="Times New Roman" w:hAnsi="Times New Roman"/>
          <w:color w:val="000000" w:themeColor="text1"/>
          <w:sz w:val="28"/>
          <w:szCs w:val="28"/>
        </w:rPr>
        <w:t>, если в</w:t>
      </w:r>
      <w:r>
        <w:rPr>
          <w:rFonts w:ascii="Times New Roman" w:hAnsi="Times New Roman"/>
          <w:sz w:val="28"/>
          <w:szCs w:val="28"/>
        </w:rPr>
        <w:t xml:space="preserve"> качестве адсорбируемого газа используется азот, и 0,5</w:t>
      </w:r>
      <w:r w:rsidR="00693342">
        <w:rPr>
          <w:rFonts w:ascii="Times New Roman" w:hAnsi="Times New Roman"/>
          <w:sz w:val="28"/>
          <w:szCs w:val="28"/>
        </w:rPr>
        <w:t> </w:t>
      </w:r>
      <w:r>
        <w:rPr>
          <w:rFonts w:ascii="Times New Roman" w:hAnsi="Times New Roman"/>
          <w:sz w:val="28"/>
          <w:szCs w:val="28"/>
        </w:rPr>
        <w:t>м</w:t>
      </w:r>
      <w:r w:rsidRPr="00987028">
        <w:rPr>
          <w:rFonts w:ascii="Times New Roman" w:hAnsi="Times New Roman"/>
          <w:sz w:val="28"/>
          <w:szCs w:val="28"/>
          <w:vertAlign w:val="superscript"/>
        </w:rPr>
        <w:t>2</w:t>
      </w:r>
      <w:r>
        <w:rPr>
          <w:rFonts w:ascii="Times New Roman" w:hAnsi="Times New Roman"/>
          <w:sz w:val="28"/>
          <w:szCs w:val="28"/>
        </w:rPr>
        <w:t>, если в качестве адсорбируемого газа используется криптон. Меньшие количества образца можно применять после проведения соответствующей валидации.</w:t>
      </w:r>
    </w:p>
    <w:p w:rsidR="00817CE1" w:rsidRDefault="00817CE1" w:rsidP="00817CE1">
      <w:pPr>
        <w:spacing w:after="0" w:line="360" w:lineRule="auto"/>
        <w:ind w:firstLine="709"/>
        <w:jc w:val="both"/>
        <w:rPr>
          <w:rFonts w:ascii="Times New Roman" w:hAnsi="Times New Roman"/>
          <w:sz w:val="28"/>
          <w:szCs w:val="28"/>
        </w:rPr>
      </w:pPr>
      <w:r w:rsidRPr="00FD583C">
        <w:rPr>
          <w:rFonts w:ascii="Times New Roman" w:hAnsi="Times New Roman"/>
          <w:i/>
          <w:sz w:val="28"/>
          <w:szCs w:val="28"/>
        </w:rPr>
        <w:t>Измерения.</w:t>
      </w:r>
      <w:r>
        <w:rPr>
          <w:rFonts w:ascii="Times New Roman" w:hAnsi="Times New Roman"/>
          <w:b/>
          <w:i/>
          <w:sz w:val="28"/>
          <w:szCs w:val="28"/>
        </w:rPr>
        <w:t xml:space="preserve"> </w:t>
      </w:r>
      <w:r w:rsidRPr="00360553">
        <w:rPr>
          <w:rFonts w:ascii="Times New Roman" w:hAnsi="Times New Roman"/>
          <w:sz w:val="28"/>
          <w:szCs w:val="28"/>
        </w:rPr>
        <w:t>Измерен</w:t>
      </w:r>
      <w:r>
        <w:rPr>
          <w:rFonts w:ascii="Times New Roman" w:hAnsi="Times New Roman"/>
          <w:sz w:val="28"/>
          <w:szCs w:val="28"/>
        </w:rPr>
        <w:t>ие адсорбции, как правило, проводят при низкой температуре: при температуре –195,8</w:t>
      </w:r>
      <w:r w:rsidR="00693342">
        <w:rPr>
          <w:rFonts w:ascii="Times New Roman" w:hAnsi="Times New Roman"/>
          <w:sz w:val="28"/>
          <w:szCs w:val="28"/>
        </w:rPr>
        <w:t> </w:t>
      </w:r>
      <w:r w:rsidR="009D2567" w:rsidRPr="009D2567">
        <w:rPr>
          <w:rStyle w:val="tlid-translation"/>
          <w:rFonts w:ascii="Times New Roman" w:hAnsi="Times New Roman"/>
          <w:sz w:val="28"/>
          <w:szCs w:val="28"/>
        </w:rPr>
        <w:t>°</w:t>
      </w:r>
      <w:r>
        <w:rPr>
          <w:rFonts w:ascii="Times New Roman" w:hAnsi="Times New Roman"/>
          <w:sz w:val="28"/>
          <w:szCs w:val="28"/>
        </w:rPr>
        <w:t>С, температуре кипения жидкого азота, так как количество адсорбируемого газа при соответствующем давлении имеет тенденцию к увеличению при понижении температуры.</w:t>
      </w:r>
    </w:p>
    <w:p w:rsidR="006404C5" w:rsidRPr="00FF1A2E" w:rsidRDefault="00FF1A2E" w:rsidP="00FF1A2E">
      <w:pPr>
        <w:keepNext/>
        <w:spacing w:before="240" w:after="0" w:line="360" w:lineRule="auto"/>
        <w:jc w:val="center"/>
        <w:rPr>
          <w:rFonts w:ascii="Times New Roman" w:hAnsi="Times New Roman"/>
          <w:sz w:val="28"/>
          <w:szCs w:val="28"/>
        </w:rPr>
      </w:pPr>
      <w:r w:rsidRPr="00FF1A2E">
        <w:rPr>
          <w:rFonts w:ascii="Times New Roman" w:hAnsi="Times New Roman"/>
          <w:b/>
          <w:sz w:val="28"/>
          <w:szCs w:val="28"/>
        </w:rPr>
        <w:t>1.</w:t>
      </w:r>
      <w:r>
        <w:rPr>
          <w:rFonts w:ascii="Times New Roman" w:hAnsi="Times New Roman"/>
          <w:b/>
          <w:sz w:val="28"/>
          <w:szCs w:val="28"/>
        </w:rPr>
        <w:t xml:space="preserve"> </w:t>
      </w:r>
      <w:r w:rsidR="00817CE1" w:rsidRPr="00FF1A2E">
        <w:rPr>
          <w:rFonts w:ascii="Times New Roman" w:hAnsi="Times New Roman"/>
          <w:b/>
          <w:sz w:val="28"/>
          <w:szCs w:val="28"/>
        </w:rPr>
        <w:t>Метод динамического потока</w:t>
      </w:r>
    </w:p>
    <w:p w:rsidR="00817CE1" w:rsidRPr="00163A19"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Метод динамического потока относится к динамическим, проточным методам измерения адсорбции. Схема прибора, используемого для метода динамического потока, приведена на рис</w:t>
      </w:r>
      <w:r w:rsidR="009D2567">
        <w:rPr>
          <w:rFonts w:ascii="Times New Roman" w:hAnsi="Times New Roman"/>
          <w:sz w:val="28"/>
          <w:szCs w:val="28"/>
        </w:rPr>
        <w:t>. </w:t>
      </w:r>
      <w:r>
        <w:rPr>
          <w:rFonts w:ascii="Times New Roman" w:hAnsi="Times New Roman"/>
          <w:sz w:val="28"/>
          <w:szCs w:val="28"/>
        </w:rPr>
        <w:t>1. Ре</w:t>
      </w:r>
      <w:r w:rsidRPr="00163A19">
        <w:rPr>
          <w:rFonts w:ascii="Times New Roman" w:hAnsi="Times New Roman"/>
          <w:sz w:val="28"/>
          <w:szCs w:val="28"/>
        </w:rPr>
        <w:t>комендуемы</w:t>
      </w:r>
      <w:r>
        <w:rPr>
          <w:rFonts w:ascii="Times New Roman" w:hAnsi="Times New Roman"/>
          <w:sz w:val="28"/>
          <w:szCs w:val="28"/>
        </w:rPr>
        <w:t>й</w:t>
      </w:r>
      <w:r w:rsidRPr="00163A19">
        <w:rPr>
          <w:rFonts w:ascii="Times New Roman" w:hAnsi="Times New Roman"/>
          <w:sz w:val="28"/>
          <w:szCs w:val="28"/>
        </w:rPr>
        <w:t xml:space="preserve"> адсорбируемы</w:t>
      </w:r>
      <w:r>
        <w:rPr>
          <w:rFonts w:ascii="Times New Roman" w:hAnsi="Times New Roman"/>
          <w:sz w:val="28"/>
          <w:szCs w:val="28"/>
        </w:rPr>
        <w:t>й</w:t>
      </w:r>
      <w:r w:rsidRPr="00163A19">
        <w:rPr>
          <w:rFonts w:ascii="Times New Roman" w:hAnsi="Times New Roman"/>
          <w:sz w:val="28"/>
          <w:szCs w:val="28"/>
        </w:rPr>
        <w:t xml:space="preserve"> газ</w:t>
      </w:r>
      <w:r>
        <w:rPr>
          <w:rFonts w:ascii="Times New Roman" w:hAnsi="Times New Roman"/>
          <w:sz w:val="28"/>
          <w:szCs w:val="28"/>
        </w:rPr>
        <w:t xml:space="preserve"> для этого метода –</w:t>
      </w:r>
      <w:r w:rsidRPr="00163A19">
        <w:rPr>
          <w:rFonts w:ascii="Times New Roman" w:hAnsi="Times New Roman"/>
          <w:sz w:val="28"/>
          <w:szCs w:val="28"/>
        </w:rPr>
        <w:t xml:space="preserve"> сухой азот или криптон; в качестве газа</w:t>
      </w:r>
      <w:r>
        <w:rPr>
          <w:rFonts w:ascii="Times New Roman" w:hAnsi="Times New Roman"/>
          <w:sz w:val="28"/>
          <w:szCs w:val="28"/>
        </w:rPr>
        <w:t>-</w:t>
      </w:r>
      <w:r w:rsidRPr="00163A19">
        <w:rPr>
          <w:rFonts w:ascii="Times New Roman" w:hAnsi="Times New Roman"/>
          <w:sz w:val="28"/>
          <w:szCs w:val="28"/>
        </w:rPr>
        <w:t xml:space="preserve">разбавителя, </w:t>
      </w:r>
      <w:r>
        <w:rPr>
          <w:rFonts w:ascii="Times New Roman" w:hAnsi="Times New Roman"/>
          <w:sz w:val="28"/>
          <w:szCs w:val="28"/>
        </w:rPr>
        <w:t>который н</w:t>
      </w:r>
      <w:r w:rsidRPr="00163A19">
        <w:rPr>
          <w:rFonts w:ascii="Times New Roman" w:hAnsi="Times New Roman"/>
          <w:sz w:val="28"/>
          <w:szCs w:val="28"/>
        </w:rPr>
        <w:t>е адсорбируется в рекомендуемых условиях</w:t>
      </w:r>
      <w:r>
        <w:rPr>
          <w:rFonts w:ascii="Times New Roman" w:hAnsi="Times New Roman"/>
          <w:sz w:val="28"/>
          <w:szCs w:val="28"/>
        </w:rPr>
        <w:t>, используют гелий.</w:t>
      </w:r>
      <w:r w:rsidRPr="00163A19">
        <w:rPr>
          <w:rFonts w:ascii="Times New Roman" w:hAnsi="Times New Roman"/>
          <w:sz w:val="28"/>
          <w:szCs w:val="28"/>
        </w:rPr>
        <w:t xml:space="preserve"> </w:t>
      </w:r>
      <w:r>
        <w:rPr>
          <w:rFonts w:ascii="Times New Roman" w:hAnsi="Times New Roman"/>
          <w:sz w:val="28"/>
          <w:szCs w:val="28"/>
        </w:rPr>
        <w:t>Газы смешивают в определенных соотношениях для получения необходимого парциального давления адсорбируемого газа.</w:t>
      </w:r>
    </w:p>
    <w:p w:rsidR="00817CE1" w:rsidRDefault="00817CE1" w:rsidP="00817CE1">
      <w:pPr>
        <w:spacing w:after="0" w:line="360" w:lineRule="auto"/>
        <w:ind w:firstLine="709"/>
        <w:jc w:val="both"/>
        <w:rPr>
          <w:rFonts w:ascii="Times New Roman" w:hAnsi="Times New Roman"/>
          <w:sz w:val="28"/>
          <w:szCs w:val="28"/>
        </w:rPr>
      </w:pPr>
      <w:r w:rsidRPr="00163A19">
        <w:rPr>
          <w:rFonts w:ascii="Times New Roman" w:hAnsi="Times New Roman"/>
          <w:sz w:val="28"/>
          <w:szCs w:val="28"/>
        </w:rPr>
        <w:lastRenderedPageBreak/>
        <w:t xml:space="preserve">Если значение </w:t>
      </w:r>
      <w:r w:rsidR="000A1B42" w:rsidRPr="000A1B42">
        <w:rPr>
          <w:rFonts w:ascii="Times New Roman" w:hAnsi="Times New Roman"/>
          <w:i/>
          <w:sz w:val="28"/>
          <w:szCs w:val="28"/>
        </w:rPr>
        <w:t>Р/Р</w:t>
      </w:r>
      <w:r w:rsidR="000A1B42" w:rsidRPr="000A1B42">
        <w:rPr>
          <w:rFonts w:ascii="Times New Roman" w:hAnsi="Times New Roman"/>
          <w:i/>
          <w:sz w:val="28"/>
          <w:szCs w:val="28"/>
          <w:vertAlign w:val="subscript"/>
        </w:rPr>
        <w:t>о</w:t>
      </w:r>
      <w:r w:rsidRPr="00163A19">
        <w:rPr>
          <w:rFonts w:ascii="Times New Roman" w:hAnsi="Times New Roman"/>
          <w:sz w:val="28"/>
          <w:szCs w:val="28"/>
        </w:rPr>
        <w:t xml:space="preserve"> </w:t>
      </w:r>
      <w:r>
        <w:rPr>
          <w:rFonts w:ascii="Times New Roman" w:hAnsi="Times New Roman"/>
          <w:sz w:val="28"/>
          <w:szCs w:val="28"/>
        </w:rPr>
        <w:t>находится</w:t>
      </w:r>
      <w:r w:rsidRPr="00163A19">
        <w:rPr>
          <w:rFonts w:ascii="Times New Roman" w:hAnsi="Times New Roman"/>
          <w:sz w:val="28"/>
          <w:szCs w:val="28"/>
        </w:rPr>
        <w:t xml:space="preserve"> в </w:t>
      </w:r>
      <w:r>
        <w:rPr>
          <w:rFonts w:ascii="Times New Roman" w:hAnsi="Times New Roman"/>
          <w:sz w:val="28"/>
          <w:szCs w:val="28"/>
        </w:rPr>
        <w:t xml:space="preserve">диапазоне </w:t>
      </w:r>
      <w:r w:rsidRPr="00163A19">
        <w:rPr>
          <w:rFonts w:ascii="Times New Roman" w:hAnsi="Times New Roman"/>
          <w:sz w:val="28"/>
          <w:szCs w:val="28"/>
        </w:rPr>
        <w:t xml:space="preserve">от 0,05 до 0,30, </w:t>
      </w:r>
      <w:r>
        <w:rPr>
          <w:rFonts w:ascii="Times New Roman" w:hAnsi="Times New Roman"/>
          <w:sz w:val="28"/>
          <w:szCs w:val="28"/>
        </w:rPr>
        <w:t xml:space="preserve">то </w:t>
      </w:r>
      <w:r w:rsidRPr="00163A19">
        <w:rPr>
          <w:rFonts w:ascii="Times New Roman" w:hAnsi="Times New Roman"/>
          <w:sz w:val="28"/>
          <w:szCs w:val="28"/>
        </w:rPr>
        <w:t>требуется</w:t>
      </w:r>
      <w:r>
        <w:rPr>
          <w:rFonts w:ascii="Times New Roman" w:hAnsi="Times New Roman"/>
          <w:sz w:val="28"/>
          <w:szCs w:val="28"/>
        </w:rPr>
        <w:t>,</w:t>
      </w:r>
      <w:r w:rsidRPr="00163A19">
        <w:rPr>
          <w:rFonts w:ascii="Times New Roman" w:hAnsi="Times New Roman"/>
          <w:sz w:val="28"/>
          <w:szCs w:val="28"/>
        </w:rPr>
        <w:t xml:space="preserve"> как минимум</w:t>
      </w:r>
      <w:r>
        <w:rPr>
          <w:rFonts w:ascii="Times New Roman" w:hAnsi="Times New Roman"/>
          <w:sz w:val="28"/>
          <w:szCs w:val="28"/>
        </w:rPr>
        <w:t>,</w:t>
      </w:r>
      <w:r w:rsidRPr="00163A19">
        <w:rPr>
          <w:rFonts w:ascii="Times New Roman" w:hAnsi="Times New Roman"/>
          <w:sz w:val="28"/>
          <w:szCs w:val="28"/>
        </w:rPr>
        <w:t xml:space="preserve"> три смеси соответствующего адсорбируемого газа с гелием.</w:t>
      </w:r>
    </w:p>
    <w:p w:rsidR="00817CE1" w:rsidRPr="00FD583C" w:rsidRDefault="00817CE1" w:rsidP="00817CE1">
      <w:pPr>
        <w:spacing w:after="0" w:line="360" w:lineRule="auto"/>
        <w:ind w:firstLine="709"/>
        <w:jc w:val="both"/>
        <w:rPr>
          <w:rFonts w:ascii="Times New Roman" w:hAnsi="Times New Roman"/>
          <w:i/>
          <w:sz w:val="28"/>
          <w:szCs w:val="28"/>
        </w:rPr>
      </w:pPr>
      <w:r>
        <w:rPr>
          <w:rFonts w:ascii="Times New Roman" w:hAnsi="Times New Roman"/>
          <w:sz w:val="28"/>
          <w:szCs w:val="28"/>
        </w:rPr>
        <w:t>Газовый д</w:t>
      </w:r>
      <w:r w:rsidRPr="002C0338">
        <w:rPr>
          <w:rFonts w:ascii="Times New Roman" w:hAnsi="Times New Roman"/>
          <w:sz w:val="28"/>
          <w:szCs w:val="28"/>
        </w:rPr>
        <w:t>етектор-интегратор</w:t>
      </w:r>
      <w:r>
        <w:rPr>
          <w:rFonts w:ascii="Times New Roman" w:hAnsi="Times New Roman"/>
          <w:sz w:val="28"/>
          <w:szCs w:val="28"/>
        </w:rPr>
        <w:t xml:space="preserve"> должен обеспечивать сигнал, приблизительно пропорциональный объ</w:t>
      </w:r>
      <w:r w:rsidR="00693342">
        <w:rPr>
          <w:rFonts w:ascii="Times New Roman" w:hAnsi="Times New Roman"/>
          <w:sz w:val="28"/>
          <w:szCs w:val="28"/>
        </w:rPr>
        <w:t>ё</w:t>
      </w:r>
      <w:r>
        <w:rPr>
          <w:rFonts w:ascii="Times New Roman" w:hAnsi="Times New Roman"/>
          <w:sz w:val="28"/>
          <w:szCs w:val="28"/>
        </w:rPr>
        <w:t>му проходящего через него газа при заданных значениях темпер</w:t>
      </w:r>
      <w:r w:rsidR="00011BDC">
        <w:rPr>
          <w:rFonts w:ascii="Times New Roman" w:hAnsi="Times New Roman"/>
          <w:sz w:val="28"/>
          <w:szCs w:val="28"/>
        </w:rPr>
        <w:t xml:space="preserve">атуры и давления. С этой целью </w:t>
      </w:r>
      <w:r>
        <w:rPr>
          <w:rFonts w:ascii="Times New Roman" w:hAnsi="Times New Roman"/>
          <w:sz w:val="28"/>
          <w:szCs w:val="28"/>
        </w:rPr>
        <w:t xml:space="preserve">применяют детектор по теплопроводности с электронным интегратором, как один из множества вариантов. Определяют, как минимум, три точки данных в рекомендованном диапазоне от 0,05 до 0,30 для </w:t>
      </w:r>
      <w:r w:rsidR="00057B3A" w:rsidRPr="00057B3A">
        <w:rPr>
          <w:rFonts w:ascii="Times New Roman" w:hAnsi="Times New Roman"/>
          <w:i/>
          <w:sz w:val="28"/>
          <w:szCs w:val="28"/>
        </w:rPr>
        <w:t>Р/Р</w:t>
      </w:r>
      <w:r w:rsidR="00057B3A" w:rsidRPr="00057B3A">
        <w:rPr>
          <w:rFonts w:ascii="Times New Roman" w:hAnsi="Times New Roman"/>
          <w:i/>
          <w:sz w:val="28"/>
          <w:szCs w:val="28"/>
          <w:vertAlign w:val="subscript"/>
        </w:rPr>
        <w:t>о</w:t>
      </w:r>
      <w:r w:rsidR="00057B3A" w:rsidRPr="00057B3A">
        <w:rPr>
          <w:rFonts w:ascii="Times New Roman" w:hAnsi="Times New Roman"/>
          <w:i/>
          <w:sz w:val="28"/>
          <w:szCs w:val="28"/>
        </w:rPr>
        <w:t>.</w:t>
      </w:r>
    </w:p>
    <w:p w:rsidR="001F7D5F" w:rsidRDefault="00817CE1">
      <w:pPr>
        <w:keepNext/>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684633" cy="327697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685240" cy="3277320"/>
                    </a:xfrm>
                    <a:prstGeom prst="rect">
                      <a:avLst/>
                    </a:prstGeom>
                    <a:noFill/>
                    <a:ln w="9525">
                      <a:noFill/>
                      <a:miter lim="800000"/>
                      <a:headEnd/>
                      <a:tailEnd/>
                    </a:ln>
                  </pic:spPr>
                </pic:pic>
              </a:graphicData>
            </a:graphic>
          </wp:inline>
        </w:drawing>
      </w:r>
    </w:p>
    <w:p w:rsidR="006404C5" w:rsidRDefault="00817CE1" w:rsidP="006404C5">
      <w:pPr>
        <w:spacing w:after="240" w:line="240" w:lineRule="auto"/>
        <w:jc w:val="center"/>
        <w:rPr>
          <w:rFonts w:ascii="Times New Roman" w:hAnsi="Times New Roman"/>
          <w:sz w:val="28"/>
          <w:szCs w:val="28"/>
        </w:rPr>
      </w:pPr>
      <w:r>
        <w:rPr>
          <w:rFonts w:ascii="Times New Roman" w:hAnsi="Times New Roman"/>
          <w:sz w:val="28"/>
          <w:szCs w:val="28"/>
        </w:rPr>
        <w:t>Рисунок 1 – С</w:t>
      </w:r>
      <w:r w:rsidRPr="00DD47A4">
        <w:rPr>
          <w:rFonts w:ascii="Times New Roman" w:hAnsi="Times New Roman"/>
          <w:sz w:val="28"/>
          <w:szCs w:val="28"/>
        </w:rPr>
        <w:t>хема прибора для метода динамического потока</w:t>
      </w:r>
    </w:p>
    <w:p w:rsidR="006404C5" w:rsidRDefault="00817CE1" w:rsidP="006404C5">
      <w:pPr>
        <w:spacing w:after="0" w:line="360" w:lineRule="auto"/>
        <w:ind w:firstLine="709"/>
        <w:jc w:val="both"/>
        <w:rPr>
          <w:rFonts w:ascii="Times New Roman" w:hAnsi="Times New Roman"/>
          <w:sz w:val="28"/>
          <w:szCs w:val="28"/>
        </w:rPr>
      </w:pPr>
      <w:r>
        <w:rPr>
          <w:rFonts w:ascii="Times New Roman" w:hAnsi="Times New Roman"/>
          <w:sz w:val="28"/>
          <w:szCs w:val="28"/>
        </w:rPr>
        <w:t>Определ</w:t>
      </w:r>
      <w:r w:rsidR="00693342">
        <w:rPr>
          <w:rFonts w:ascii="Times New Roman" w:hAnsi="Times New Roman"/>
          <w:sz w:val="28"/>
          <w:szCs w:val="28"/>
        </w:rPr>
        <w:t>ё</w:t>
      </w:r>
      <w:r>
        <w:rPr>
          <w:rFonts w:ascii="Times New Roman" w:hAnsi="Times New Roman"/>
          <w:sz w:val="28"/>
          <w:szCs w:val="28"/>
        </w:rPr>
        <w:t>нную смесь газов, как правило, азота и гелия, пропускают через ячейку теплопроводн</w:t>
      </w:r>
      <w:r w:rsidRPr="005D48D5">
        <w:rPr>
          <w:rFonts w:ascii="Times New Roman" w:hAnsi="Times New Roman"/>
          <w:sz w:val="28"/>
          <w:szCs w:val="28"/>
        </w:rPr>
        <w:t>ости,</w:t>
      </w:r>
      <w:r>
        <w:rPr>
          <w:rFonts w:ascii="Times New Roman" w:hAnsi="Times New Roman"/>
          <w:sz w:val="28"/>
          <w:szCs w:val="28"/>
        </w:rPr>
        <w:t xml:space="preserve"> потом через образец и снова через ячейку теплопроводности, а затем в записывающий потенциометр.</w:t>
      </w:r>
    </w:p>
    <w:p w:rsidR="00817CE1" w:rsidRPr="00172FCC"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Погружают ячейку с образцом в жидкий азот, </w:t>
      </w:r>
      <w:r w:rsidR="00D63AAE" w:rsidRPr="00D63AAE">
        <w:rPr>
          <w:rFonts w:ascii="Times New Roman" w:hAnsi="Times New Roman"/>
          <w:color w:val="000000" w:themeColor="text1"/>
          <w:sz w:val="28"/>
          <w:szCs w:val="28"/>
        </w:rPr>
        <w:t>испытуем</w:t>
      </w:r>
      <w:r w:rsidR="00D63AAE">
        <w:rPr>
          <w:rFonts w:ascii="Times New Roman" w:hAnsi="Times New Roman"/>
          <w:color w:val="000000" w:themeColor="text1"/>
          <w:sz w:val="28"/>
          <w:szCs w:val="28"/>
        </w:rPr>
        <w:t>ый</w:t>
      </w:r>
      <w:r w:rsidR="00D63AAE" w:rsidRPr="00D63AAE">
        <w:rPr>
          <w:rFonts w:ascii="Times New Roman" w:hAnsi="Times New Roman"/>
          <w:sz w:val="28"/>
          <w:szCs w:val="28"/>
        </w:rPr>
        <w:t xml:space="preserve"> </w:t>
      </w:r>
      <w:r w:rsidRPr="00D63AAE">
        <w:rPr>
          <w:rFonts w:ascii="Times New Roman" w:hAnsi="Times New Roman"/>
          <w:sz w:val="28"/>
          <w:szCs w:val="28"/>
        </w:rPr>
        <w:t>образец</w:t>
      </w:r>
      <w:r>
        <w:rPr>
          <w:rFonts w:ascii="Times New Roman" w:hAnsi="Times New Roman"/>
          <w:sz w:val="28"/>
          <w:szCs w:val="28"/>
        </w:rPr>
        <w:t xml:space="preserve"> адсорбирует жидкий азот из подвижной фазы. Это приводит к разбалансировке ячейки электропроводности, импульс регистрируют записывающим прибором.</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Извлекают </w:t>
      </w:r>
      <w:r w:rsidR="00D63AAE" w:rsidRPr="00D63AAE">
        <w:rPr>
          <w:rFonts w:ascii="Times New Roman" w:hAnsi="Times New Roman"/>
          <w:color w:val="000000" w:themeColor="text1"/>
          <w:sz w:val="28"/>
          <w:szCs w:val="28"/>
        </w:rPr>
        <w:t xml:space="preserve">испытуемый </w:t>
      </w:r>
      <w:r w:rsidRPr="00D63AAE">
        <w:rPr>
          <w:rFonts w:ascii="Times New Roman" w:hAnsi="Times New Roman"/>
          <w:color w:val="000000" w:themeColor="text1"/>
          <w:sz w:val="28"/>
          <w:szCs w:val="28"/>
        </w:rPr>
        <w:t>образец</w:t>
      </w:r>
      <w:r>
        <w:rPr>
          <w:rFonts w:ascii="Times New Roman" w:hAnsi="Times New Roman"/>
          <w:sz w:val="28"/>
          <w:szCs w:val="28"/>
        </w:rPr>
        <w:t xml:space="preserve"> из охлаждающей среды, это обуславливает появление равных по площади, но </w:t>
      </w:r>
      <w:r w:rsidR="009D2567">
        <w:rPr>
          <w:rFonts w:ascii="Times New Roman" w:hAnsi="Times New Roman"/>
          <w:sz w:val="28"/>
          <w:szCs w:val="28"/>
        </w:rPr>
        <w:t xml:space="preserve">противоположных по направлению </w:t>
      </w:r>
      <w:r>
        <w:rPr>
          <w:rFonts w:ascii="Times New Roman" w:hAnsi="Times New Roman"/>
          <w:sz w:val="28"/>
          <w:szCs w:val="28"/>
        </w:rPr>
        <w:t xml:space="preserve">пика десорбции и пика адсорбции. Так как пик десорбции </w:t>
      </w:r>
      <w:r>
        <w:rPr>
          <w:rFonts w:ascii="Times New Roman" w:hAnsi="Times New Roman"/>
          <w:sz w:val="28"/>
          <w:szCs w:val="28"/>
        </w:rPr>
        <w:lastRenderedPageBreak/>
        <w:t>определяется лучше, чем пик адсорбции, именно его используют для определения.</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проведения калибровки в систему вводят достаточное количество адсорбируемого газа, чтобы получить пик аналогичной величины с пиком десорбции, и рассчитывают долю </w:t>
      </w:r>
      <w:r w:rsidR="00E15B01">
        <w:rPr>
          <w:rFonts w:ascii="Times New Roman" w:hAnsi="Times New Roman"/>
          <w:sz w:val="28"/>
          <w:szCs w:val="28"/>
        </w:rPr>
        <w:t>объём</w:t>
      </w:r>
      <w:r>
        <w:rPr>
          <w:rFonts w:ascii="Times New Roman" w:hAnsi="Times New Roman"/>
          <w:sz w:val="28"/>
          <w:szCs w:val="28"/>
        </w:rPr>
        <w:t>а газа на единицу площади пика.</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Для одноточечного метода измерения используют смесь азота и гелия; для многоточечного метода измерения используют несколько таких смесей или предварительно смешивают два потока газа.</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Расч</w:t>
      </w:r>
      <w:r w:rsidR="008254ED">
        <w:rPr>
          <w:rFonts w:ascii="Times New Roman" w:hAnsi="Times New Roman"/>
          <w:sz w:val="28"/>
          <w:szCs w:val="28"/>
        </w:rPr>
        <w:t>ё</w:t>
      </w:r>
      <w:r>
        <w:rPr>
          <w:rFonts w:ascii="Times New Roman" w:hAnsi="Times New Roman"/>
          <w:sz w:val="28"/>
          <w:szCs w:val="28"/>
        </w:rPr>
        <w:t xml:space="preserve">ты проводят так же, как в </w:t>
      </w:r>
      <w:r w:rsidR="00E15B01">
        <w:rPr>
          <w:rFonts w:ascii="Times New Roman" w:hAnsi="Times New Roman"/>
          <w:sz w:val="28"/>
          <w:szCs w:val="28"/>
        </w:rPr>
        <w:t>объём</w:t>
      </w:r>
      <w:r>
        <w:rPr>
          <w:rFonts w:ascii="Times New Roman" w:hAnsi="Times New Roman"/>
          <w:sz w:val="28"/>
          <w:szCs w:val="28"/>
        </w:rPr>
        <w:t>ном методе.</w:t>
      </w:r>
    </w:p>
    <w:p w:rsidR="006404C5" w:rsidRPr="001F3DE2" w:rsidRDefault="001F3DE2" w:rsidP="001F3DE2">
      <w:pPr>
        <w:keepNext/>
        <w:spacing w:before="240" w:after="0" w:line="360" w:lineRule="auto"/>
        <w:jc w:val="center"/>
        <w:rPr>
          <w:rFonts w:ascii="Times New Roman" w:hAnsi="Times New Roman"/>
          <w:sz w:val="28"/>
          <w:szCs w:val="28"/>
        </w:rPr>
      </w:pPr>
      <w:r>
        <w:rPr>
          <w:rFonts w:ascii="Times New Roman" w:hAnsi="Times New Roman"/>
          <w:b/>
          <w:sz w:val="28"/>
          <w:szCs w:val="28"/>
        </w:rPr>
        <w:t xml:space="preserve">2. </w:t>
      </w:r>
      <w:r w:rsidR="00817CE1" w:rsidRPr="001F3DE2">
        <w:rPr>
          <w:rFonts w:ascii="Times New Roman" w:hAnsi="Times New Roman"/>
          <w:b/>
          <w:sz w:val="28"/>
          <w:szCs w:val="28"/>
        </w:rPr>
        <w:t>Объ</w:t>
      </w:r>
      <w:r w:rsidR="00693342" w:rsidRPr="001F3DE2">
        <w:rPr>
          <w:rFonts w:ascii="Times New Roman" w:hAnsi="Times New Roman"/>
          <w:b/>
          <w:sz w:val="28"/>
          <w:szCs w:val="28"/>
        </w:rPr>
        <w:t>ё</w:t>
      </w:r>
      <w:r w:rsidR="00817CE1" w:rsidRPr="001F3DE2">
        <w:rPr>
          <w:rFonts w:ascii="Times New Roman" w:hAnsi="Times New Roman"/>
          <w:b/>
          <w:sz w:val="28"/>
          <w:szCs w:val="28"/>
        </w:rPr>
        <w:t>мный метод</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Метод объ</w:t>
      </w:r>
      <w:r w:rsidR="00693342">
        <w:rPr>
          <w:rFonts w:ascii="Times New Roman" w:hAnsi="Times New Roman"/>
          <w:sz w:val="28"/>
          <w:szCs w:val="28"/>
        </w:rPr>
        <w:t>ё</w:t>
      </w:r>
      <w:r>
        <w:rPr>
          <w:rFonts w:ascii="Times New Roman" w:hAnsi="Times New Roman"/>
          <w:sz w:val="28"/>
          <w:szCs w:val="28"/>
        </w:rPr>
        <w:t xml:space="preserve">много анализа относят к статистическим методам измерения адсорбции. Схема прибора, используемого для </w:t>
      </w:r>
      <w:r w:rsidR="00E15B01">
        <w:rPr>
          <w:rFonts w:ascii="Times New Roman" w:hAnsi="Times New Roman"/>
          <w:sz w:val="28"/>
          <w:szCs w:val="28"/>
        </w:rPr>
        <w:t>объём</w:t>
      </w:r>
      <w:r>
        <w:rPr>
          <w:rFonts w:ascii="Times New Roman" w:hAnsi="Times New Roman"/>
          <w:sz w:val="28"/>
          <w:szCs w:val="28"/>
        </w:rPr>
        <w:t>ного метода определения адсорбции, приведена на рис</w:t>
      </w:r>
      <w:r w:rsidR="009D2567">
        <w:rPr>
          <w:rFonts w:ascii="Times New Roman" w:hAnsi="Times New Roman"/>
          <w:sz w:val="28"/>
          <w:szCs w:val="28"/>
        </w:rPr>
        <w:t>. </w:t>
      </w:r>
      <w:r>
        <w:rPr>
          <w:rFonts w:ascii="Times New Roman" w:hAnsi="Times New Roman"/>
          <w:sz w:val="28"/>
          <w:szCs w:val="28"/>
        </w:rPr>
        <w:t>2. Рекомендуемым адсорбируемым газом для этого метода является азот, который пода</w:t>
      </w:r>
      <w:r w:rsidR="00693342">
        <w:rPr>
          <w:rFonts w:ascii="Times New Roman" w:hAnsi="Times New Roman"/>
          <w:sz w:val="28"/>
          <w:szCs w:val="28"/>
        </w:rPr>
        <w:t>ё</w:t>
      </w:r>
      <w:r>
        <w:rPr>
          <w:rFonts w:ascii="Times New Roman" w:hAnsi="Times New Roman"/>
          <w:sz w:val="28"/>
          <w:szCs w:val="28"/>
        </w:rPr>
        <w:t>тся в разряженное пространство над предварительно дегазированным образцом порошка, чтобы обеспечить определ</w:t>
      </w:r>
      <w:r w:rsidR="00693342">
        <w:rPr>
          <w:rFonts w:ascii="Times New Roman" w:hAnsi="Times New Roman"/>
          <w:sz w:val="28"/>
          <w:szCs w:val="28"/>
        </w:rPr>
        <w:t>ё</w:t>
      </w:r>
      <w:r>
        <w:rPr>
          <w:rFonts w:ascii="Times New Roman" w:hAnsi="Times New Roman"/>
          <w:sz w:val="28"/>
          <w:szCs w:val="28"/>
        </w:rPr>
        <w:t>нное парциальное давление газа (</w:t>
      </w:r>
      <w:r w:rsidR="000A1B42" w:rsidRPr="000A1B42">
        <w:rPr>
          <w:rFonts w:ascii="Times New Roman" w:hAnsi="Times New Roman"/>
          <w:i/>
          <w:sz w:val="28"/>
          <w:szCs w:val="28"/>
        </w:rPr>
        <w:t>Р</w:t>
      </w:r>
      <w:r>
        <w:rPr>
          <w:rFonts w:ascii="Times New Roman" w:hAnsi="Times New Roman"/>
          <w:sz w:val="28"/>
          <w:szCs w:val="28"/>
        </w:rPr>
        <w:t xml:space="preserve">). Использование газа-разбавителя, например, гелия, не является обязательным; в то же время, гелий может быть использован, но для других целей, например, для измерения </w:t>
      </w:r>
      <w:r w:rsidR="00E15B01">
        <w:rPr>
          <w:rFonts w:ascii="Times New Roman" w:hAnsi="Times New Roman"/>
          <w:sz w:val="28"/>
          <w:szCs w:val="28"/>
        </w:rPr>
        <w:t>объём</w:t>
      </w:r>
      <w:r>
        <w:rPr>
          <w:rFonts w:ascii="Times New Roman" w:hAnsi="Times New Roman"/>
          <w:sz w:val="28"/>
          <w:szCs w:val="28"/>
        </w:rPr>
        <w:t>а пустот (м</w:t>
      </w:r>
      <w:r w:rsidR="00693342">
        <w:rPr>
          <w:rFonts w:ascii="Times New Roman" w:hAnsi="Times New Roman"/>
          <w:sz w:val="28"/>
          <w:szCs w:val="28"/>
        </w:rPr>
        <w:t>ё</w:t>
      </w:r>
      <w:r>
        <w:rPr>
          <w:rFonts w:ascii="Times New Roman" w:hAnsi="Times New Roman"/>
          <w:sz w:val="28"/>
          <w:szCs w:val="28"/>
        </w:rPr>
        <w:t>ртвого объ</w:t>
      </w:r>
      <w:r w:rsidR="00693342">
        <w:rPr>
          <w:rFonts w:ascii="Times New Roman" w:hAnsi="Times New Roman"/>
          <w:sz w:val="28"/>
          <w:szCs w:val="28"/>
        </w:rPr>
        <w:t>ё</w:t>
      </w:r>
      <w:r>
        <w:rPr>
          <w:rFonts w:ascii="Times New Roman" w:hAnsi="Times New Roman"/>
          <w:sz w:val="28"/>
          <w:szCs w:val="28"/>
        </w:rPr>
        <w:t>ма).</w:t>
      </w:r>
    </w:p>
    <w:p w:rsidR="00817CE1" w:rsidRDefault="00817CE1" w:rsidP="00817CE1">
      <w:pPr>
        <w:spacing w:after="0" w:line="360" w:lineRule="auto"/>
        <w:ind w:firstLine="709"/>
        <w:jc w:val="both"/>
        <w:rPr>
          <w:rFonts w:ascii="Times New Roman" w:hAnsi="Times New Roman"/>
          <w:sz w:val="28"/>
          <w:szCs w:val="28"/>
        </w:rPr>
      </w:pPr>
      <w:r>
        <w:rPr>
          <w:rFonts w:ascii="Times New Roman" w:hAnsi="Times New Roman"/>
          <w:sz w:val="28"/>
          <w:szCs w:val="28"/>
        </w:rPr>
        <w:t>Поскольку в данном методе вместо газовой смеси применяют только чистый адсорбируемый газ, то это способствует устранению мешающих эффектов, возникающих при термальной диффузии.</w:t>
      </w:r>
    </w:p>
    <w:p w:rsidR="006404C5" w:rsidRDefault="00817CE1" w:rsidP="00D2695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пробирку для образца впускают небольшое количество сухого азота для предотвращения загрязнения чистой поверхности, вносят образец, закрывают пробирку пробкой и взвешивают. Рассчитывают массу образца. Присоединяют пробирку к прибору для проведения </w:t>
      </w:r>
      <w:r w:rsidR="00E15B01">
        <w:rPr>
          <w:rFonts w:ascii="Times New Roman" w:hAnsi="Times New Roman"/>
          <w:sz w:val="28"/>
          <w:szCs w:val="28"/>
        </w:rPr>
        <w:t>объём</w:t>
      </w:r>
      <w:r>
        <w:rPr>
          <w:rFonts w:ascii="Times New Roman" w:hAnsi="Times New Roman"/>
          <w:sz w:val="28"/>
          <w:szCs w:val="28"/>
        </w:rPr>
        <w:t>ного анализа. Образец осторожно вакуумируют до определенного давления (например, от 2 до 10 Па). В качестве альтернативы некоторые приборы работают за сч</w:t>
      </w:r>
      <w:r w:rsidR="00E15B01">
        <w:rPr>
          <w:rFonts w:ascii="Times New Roman" w:hAnsi="Times New Roman"/>
          <w:sz w:val="28"/>
          <w:szCs w:val="28"/>
        </w:rPr>
        <w:t>ё</w:t>
      </w:r>
      <w:r>
        <w:rPr>
          <w:rFonts w:ascii="Times New Roman" w:hAnsi="Times New Roman"/>
          <w:sz w:val="28"/>
          <w:szCs w:val="28"/>
        </w:rPr>
        <w:t>т вакуумирования до определ</w:t>
      </w:r>
      <w:r w:rsidR="008254ED">
        <w:rPr>
          <w:rFonts w:ascii="Times New Roman" w:hAnsi="Times New Roman"/>
          <w:sz w:val="28"/>
          <w:szCs w:val="28"/>
        </w:rPr>
        <w:t>ё</w:t>
      </w:r>
      <w:r>
        <w:rPr>
          <w:rFonts w:ascii="Times New Roman" w:hAnsi="Times New Roman"/>
          <w:sz w:val="28"/>
          <w:szCs w:val="28"/>
        </w:rPr>
        <w:t>нной скорости изменения давления (например, менее 13 Па/30</w:t>
      </w:r>
      <w:r w:rsidR="0099133A">
        <w:rPr>
          <w:rFonts w:ascii="Times New Roman" w:hAnsi="Times New Roman"/>
          <w:sz w:val="28"/>
          <w:szCs w:val="28"/>
        </w:rPr>
        <w:t> </w:t>
      </w:r>
      <w:r>
        <w:rPr>
          <w:rFonts w:ascii="Times New Roman" w:hAnsi="Times New Roman"/>
          <w:sz w:val="28"/>
          <w:szCs w:val="28"/>
        </w:rPr>
        <w:t>с) и выдерживания в течение определ</w:t>
      </w:r>
      <w:r w:rsidR="008254ED">
        <w:rPr>
          <w:rFonts w:ascii="Times New Roman" w:hAnsi="Times New Roman"/>
          <w:sz w:val="28"/>
          <w:szCs w:val="28"/>
        </w:rPr>
        <w:t>ё</w:t>
      </w:r>
      <w:r>
        <w:rPr>
          <w:rFonts w:ascii="Times New Roman" w:hAnsi="Times New Roman"/>
          <w:sz w:val="28"/>
          <w:szCs w:val="28"/>
        </w:rPr>
        <w:t xml:space="preserve">нного периода времени </w:t>
      </w:r>
      <w:r>
        <w:rPr>
          <w:rFonts w:ascii="Times New Roman" w:hAnsi="Times New Roman"/>
          <w:sz w:val="28"/>
          <w:szCs w:val="28"/>
        </w:rPr>
        <w:lastRenderedPageBreak/>
        <w:t>перед переходом к следующей стадии.</w:t>
      </w:r>
      <w:r>
        <w:rPr>
          <w:rFonts w:ascii="Times New Roman" w:hAnsi="Times New Roman"/>
          <w:noProof/>
          <w:sz w:val="28"/>
          <w:szCs w:val="28"/>
          <w:lang w:eastAsia="ru-RU"/>
        </w:rPr>
        <w:drawing>
          <wp:inline distT="0" distB="0" distL="0" distR="0">
            <wp:extent cx="5935345" cy="3696970"/>
            <wp:effectExtent l="1905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5935345" cy="3696970"/>
                    </a:xfrm>
                    <a:prstGeom prst="rect">
                      <a:avLst/>
                    </a:prstGeom>
                    <a:noFill/>
                    <a:ln w="9525">
                      <a:noFill/>
                      <a:miter lim="800000"/>
                      <a:headEnd/>
                      <a:tailEnd/>
                    </a:ln>
                  </pic:spPr>
                </pic:pic>
              </a:graphicData>
            </a:graphic>
          </wp:inline>
        </w:drawing>
      </w:r>
    </w:p>
    <w:p w:rsidR="006404C5" w:rsidRDefault="00817CE1" w:rsidP="009D2567">
      <w:pPr>
        <w:spacing w:after="0" w:line="240" w:lineRule="auto"/>
        <w:jc w:val="center"/>
        <w:rPr>
          <w:rFonts w:ascii="Times New Roman" w:hAnsi="Times New Roman"/>
          <w:sz w:val="28"/>
          <w:szCs w:val="28"/>
        </w:rPr>
      </w:pPr>
      <w:r>
        <w:rPr>
          <w:rFonts w:ascii="Times New Roman" w:hAnsi="Times New Roman"/>
          <w:sz w:val="28"/>
          <w:szCs w:val="28"/>
        </w:rPr>
        <w:t>Рисунок 2 – Схема прибора для объ</w:t>
      </w:r>
      <w:r w:rsidR="00693342">
        <w:rPr>
          <w:rFonts w:ascii="Times New Roman" w:hAnsi="Times New Roman"/>
          <w:sz w:val="28"/>
          <w:szCs w:val="28"/>
        </w:rPr>
        <w:t>ё</w:t>
      </w:r>
      <w:r>
        <w:rPr>
          <w:rFonts w:ascii="Times New Roman" w:hAnsi="Times New Roman"/>
          <w:sz w:val="28"/>
          <w:szCs w:val="28"/>
        </w:rPr>
        <w:t>много метода</w:t>
      </w:r>
    </w:p>
    <w:p w:rsidR="009D2567" w:rsidRDefault="009D2567" w:rsidP="009D2567">
      <w:pPr>
        <w:spacing w:after="0" w:line="240" w:lineRule="auto"/>
        <w:jc w:val="center"/>
        <w:rPr>
          <w:rFonts w:ascii="Times New Roman" w:hAnsi="Times New Roman"/>
          <w:sz w:val="28"/>
          <w:szCs w:val="28"/>
        </w:rPr>
      </w:pPr>
    </w:p>
    <w:p w:rsidR="007730D2" w:rsidRDefault="00817CE1" w:rsidP="009D2567">
      <w:pPr>
        <w:spacing w:after="0" w:line="360" w:lineRule="auto"/>
        <w:ind w:firstLine="709"/>
        <w:jc w:val="both"/>
        <w:rPr>
          <w:rFonts w:ascii="Times New Roman" w:hAnsi="Times New Roman"/>
          <w:sz w:val="28"/>
          <w:szCs w:val="28"/>
        </w:rPr>
      </w:pPr>
      <w:r>
        <w:rPr>
          <w:rFonts w:ascii="Times New Roman" w:hAnsi="Times New Roman"/>
          <w:sz w:val="28"/>
          <w:szCs w:val="28"/>
        </w:rPr>
        <w:t>Если принцип работы прибора требует измерения пустот (м</w:t>
      </w:r>
      <w:r w:rsidR="00693342">
        <w:rPr>
          <w:rFonts w:ascii="Times New Roman" w:hAnsi="Times New Roman"/>
          <w:sz w:val="28"/>
          <w:szCs w:val="28"/>
        </w:rPr>
        <w:t>ё</w:t>
      </w:r>
      <w:r>
        <w:rPr>
          <w:rFonts w:ascii="Times New Roman" w:hAnsi="Times New Roman"/>
          <w:sz w:val="28"/>
          <w:szCs w:val="28"/>
        </w:rPr>
        <w:t>ртвого объ</w:t>
      </w:r>
      <w:r w:rsidR="00693342">
        <w:rPr>
          <w:rFonts w:ascii="Times New Roman" w:hAnsi="Times New Roman"/>
          <w:sz w:val="28"/>
          <w:szCs w:val="28"/>
        </w:rPr>
        <w:t>ё</w:t>
      </w:r>
      <w:r>
        <w:rPr>
          <w:rFonts w:ascii="Times New Roman" w:hAnsi="Times New Roman"/>
          <w:sz w:val="28"/>
          <w:szCs w:val="28"/>
        </w:rPr>
        <w:t>ма) пробирки, например, пут</w:t>
      </w:r>
      <w:r w:rsidR="00693342">
        <w:rPr>
          <w:rFonts w:ascii="Times New Roman" w:hAnsi="Times New Roman"/>
          <w:sz w:val="28"/>
          <w:szCs w:val="28"/>
        </w:rPr>
        <w:t>ё</w:t>
      </w:r>
      <w:r>
        <w:rPr>
          <w:rFonts w:ascii="Times New Roman" w:hAnsi="Times New Roman"/>
          <w:sz w:val="28"/>
          <w:szCs w:val="28"/>
        </w:rPr>
        <w:t>м подачи неадсорб</w:t>
      </w:r>
      <w:r w:rsidR="00C74AB3">
        <w:rPr>
          <w:rFonts w:ascii="Times New Roman" w:hAnsi="Times New Roman"/>
          <w:sz w:val="28"/>
          <w:szCs w:val="28"/>
        </w:rPr>
        <w:t>ируемого газа, такого как гелий,</w:t>
      </w:r>
      <w:r>
        <w:rPr>
          <w:rFonts w:ascii="Times New Roman" w:hAnsi="Times New Roman"/>
          <w:sz w:val="28"/>
          <w:szCs w:val="28"/>
        </w:rPr>
        <w:t xml:space="preserve"> то данная операция выполняется после извлечения образца. Определение измерения пустот можно не проводить при использовании разности измерений, а именно, стандартной пробирки и пробирки с образцом, соедин</w:t>
      </w:r>
      <w:r w:rsidR="0043019A">
        <w:rPr>
          <w:rFonts w:ascii="Times New Roman" w:hAnsi="Times New Roman"/>
          <w:sz w:val="28"/>
          <w:szCs w:val="28"/>
        </w:rPr>
        <w:t>ё</w:t>
      </w:r>
      <w:r>
        <w:rPr>
          <w:rFonts w:ascii="Times New Roman" w:hAnsi="Times New Roman"/>
          <w:sz w:val="28"/>
          <w:szCs w:val="28"/>
        </w:rPr>
        <w:t>нных дифференциальным преобразователем. Затем измеряется адсорбция азота, как указано ниже.</w:t>
      </w:r>
    </w:p>
    <w:p w:rsidR="00817CE1" w:rsidRPr="00944C7E" w:rsidRDefault="00817CE1" w:rsidP="00817CE1">
      <w:pPr>
        <w:spacing w:after="0" w:line="360" w:lineRule="auto"/>
        <w:ind w:firstLine="709"/>
        <w:jc w:val="both"/>
        <w:rPr>
          <w:rFonts w:ascii="Times New Roman" w:hAnsi="Times New Roman"/>
          <w:sz w:val="28"/>
          <w:szCs w:val="28"/>
        </w:rPr>
      </w:pPr>
      <w:r w:rsidRPr="000A1792">
        <w:rPr>
          <w:rFonts w:ascii="Times New Roman" w:hAnsi="Times New Roman"/>
          <w:sz w:val="28"/>
          <w:szCs w:val="28"/>
        </w:rPr>
        <w:t>Поднимают сосуд Дьюара, содержащ</w:t>
      </w:r>
      <w:r w:rsidR="006069CF">
        <w:rPr>
          <w:rFonts w:ascii="Times New Roman" w:hAnsi="Times New Roman"/>
          <w:sz w:val="28"/>
          <w:szCs w:val="28"/>
        </w:rPr>
        <w:t xml:space="preserve">ий жидкий азот при температуре </w:t>
      </w:r>
      <w:r w:rsidRPr="000A1792">
        <w:rPr>
          <w:rFonts w:ascii="Times New Roman" w:hAnsi="Times New Roman"/>
          <w:sz w:val="28"/>
          <w:szCs w:val="28"/>
        </w:rPr>
        <w:t>–195,8 </w:t>
      </w:r>
      <w:r w:rsidR="006069CF" w:rsidRPr="006069CF">
        <w:rPr>
          <w:rStyle w:val="tlid-translation"/>
          <w:rFonts w:ascii="Times New Roman" w:hAnsi="Times New Roman"/>
          <w:sz w:val="28"/>
          <w:szCs w:val="28"/>
        </w:rPr>
        <w:t>°</w:t>
      </w:r>
      <w:r w:rsidRPr="000A1792">
        <w:rPr>
          <w:rFonts w:ascii="Times New Roman" w:hAnsi="Times New Roman"/>
          <w:sz w:val="28"/>
          <w:szCs w:val="28"/>
        </w:rPr>
        <w:t>С, до определ</w:t>
      </w:r>
      <w:r w:rsidR="00693342">
        <w:rPr>
          <w:rFonts w:ascii="Times New Roman" w:hAnsi="Times New Roman"/>
          <w:sz w:val="28"/>
          <w:szCs w:val="28"/>
        </w:rPr>
        <w:t>ё</w:t>
      </w:r>
      <w:r w:rsidRPr="000A1792">
        <w:rPr>
          <w:rFonts w:ascii="Times New Roman" w:hAnsi="Times New Roman"/>
          <w:sz w:val="28"/>
          <w:szCs w:val="28"/>
        </w:rPr>
        <w:t>нной точки</w:t>
      </w:r>
      <w:r>
        <w:rPr>
          <w:rFonts w:ascii="Times New Roman" w:hAnsi="Times New Roman"/>
          <w:sz w:val="28"/>
          <w:szCs w:val="28"/>
        </w:rPr>
        <w:t xml:space="preserve"> испытуемой ячейки. Добавляют необходимое количество азота до обеспечения самой низкой величины относительного давления. Измеряют адсорбированный </w:t>
      </w:r>
      <w:r w:rsidR="00E15B01">
        <w:rPr>
          <w:rFonts w:ascii="Times New Roman" w:hAnsi="Times New Roman"/>
          <w:sz w:val="28"/>
          <w:szCs w:val="28"/>
        </w:rPr>
        <w:t>объём</w:t>
      </w:r>
      <w:r>
        <w:rPr>
          <w:rFonts w:ascii="Times New Roman" w:hAnsi="Times New Roman"/>
          <w:sz w:val="28"/>
          <w:szCs w:val="28"/>
        </w:rPr>
        <w:t xml:space="preserve"> </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a</w:t>
      </w:r>
      <w:r>
        <w:rPr>
          <w:rFonts w:ascii="Times New Roman" w:hAnsi="Times New Roman"/>
          <w:sz w:val="28"/>
          <w:szCs w:val="28"/>
        </w:rPr>
        <w:t xml:space="preserve">. Для многоточечных измерений повторяют измерение </w:t>
      </w:r>
      <w:r w:rsidR="000A1B42" w:rsidRPr="000A1B42">
        <w:rPr>
          <w:rFonts w:ascii="Times New Roman" w:hAnsi="Times New Roman"/>
          <w:i/>
          <w:sz w:val="28"/>
          <w:szCs w:val="28"/>
          <w:lang w:val="en-US"/>
        </w:rPr>
        <w:t>V</w:t>
      </w:r>
      <w:r w:rsidR="000A1B42" w:rsidRPr="000A1B42">
        <w:rPr>
          <w:rFonts w:ascii="Times New Roman" w:hAnsi="Times New Roman"/>
          <w:i/>
          <w:sz w:val="28"/>
          <w:szCs w:val="28"/>
          <w:vertAlign w:val="subscript"/>
          <w:lang w:val="en-US"/>
        </w:rPr>
        <w:t>a</w:t>
      </w:r>
      <w:r w:rsidRPr="006746F9">
        <w:rPr>
          <w:rFonts w:ascii="Times New Roman" w:hAnsi="Times New Roman"/>
          <w:sz w:val="28"/>
          <w:szCs w:val="28"/>
        </w:rPr>
        <w:t xml:space="preserve"> </w:t>
      </w:r>
      <w:r>
        <w:rPr>
          <w:rFonts w:ascii="Times New Roman" w:hAnsi="Times New Roman"/>
          <w:sz w:val="28"/>
          <w:szCs w:val="28"/>
        </w:rPr>
        <w:t xml:space="preserve">при последовательно больших значениях </w:t>
      </w:r>
      <w:r w:rsidR="000A1B42" w:rsidRPr="000A1B42">
        <w:rPr>
          <w:rFonts w:ascii="Times New Roman" w:hAnsi="Times New Roman"/>
          <w:i/>
          <w:sz w:val="28"/>
          <w:szCs w:val="28"/>
        </w:rPr>
        <w:t>Р/Р</w:t>
      </w:r>
      <w:r w:rsidR="000A1B42" w:rsidRPr="000A1B42">
        <w:rPr>
          <w:rFonts w:ascii="Times New Roman" w:hAnsi="Times New Roman"/>
          <w:i/>
          <w:sz w:val="28"/>
          <w:szCs w:val="28"/>
          <w:vertAlign w:val="subscript"/>
        </w:rPr>
        <w:t>о</w:t>
      </w:r>
      <w:r>
        <w:rPr>
          <w:rFonts w:ascii="Times New Roman" w:hAnsi="Times New Roman"/>
          <w:sz w:val="28"/>
          <w:szCs w:val="28"/>
        </w:rPr>
        <w:t xml:space="preserve">. При использовании в качестве адсорбируемого газа азота, обычно используют значения </w:t>
      </w:r>
      <w:r w:rsidR="000A1B42" w:rsidRPr="000A1B42">
        <w:rPr>
          <w:rFonts w:ascii="Times New Roman" w:hAnsi="Times New Roman"/>
          <w:i/>
          <w:sz w:val="28"/>
          <w:szCs w:val="28"/>
        </w:rPr>
        <w:t>Р/Р</w:t>
      </w:r>
      <w:r w:rsidR="000A1B42" w:rsidRPr="000A1B42">
        <w:rPr>
          <w:rFonts w:ascii="Times New Roman" w:hAnsi="Times New Roman"/>
          <w:i/>
          <w:sz w:val="28"/>
          <w:szCs w:val="28"/>
          <w:vertAlign w:val="subscript"/>
        </w:rPr>
        <w:t>о</w:t>
      </w:r>
      <w:r>
        <w:rPr>
          <w:rFonts w:ascii="Times New Roman" w:hAnsi="Times New Roman"/>
          <w:sz w:val="28"/>
          <w:szCs w:val="28"/>
        </w:rPr>
        <w:t>, равные 0,10, 0,20 и 0,30.</w:t>
      </w:r>
    </w:p>
    <w:p w:rsidR="0086470F" w:rsidRDefault="00817CE1">
      <w:pPr>
        <w:spacing w:after="0" w:line="360" w:lineRule="auto"/>
        <w:ind w:firstLine="709"/>
        <w:jc w:val="both"/>
        <w:rPr>
          <w:rFonts w:ascii="Times New Roman" w:hAnsi="Times New Roman"/>
          <w:color w:val="000000"/>
          <w:sz w:val="28"/>
          <w:szCs w:val="28"/>
        </w:rPr>
      </w:pPr>
      <w:r>
        <w:rPr>
          <w:rFonts w:ascii="Times New Roman" w:hAnsi="Times New Roman"/>
          <w:sz w:val="28"/>
          <w:szCs w:val="28"/>
        </w:rPr>
        <w:lastRenderedPageBreak/>
        <w:t>Периодически необходимо проверять работу прибора, используя соответствующие эталонные материалы с известной площадью поверхности, которые должны иметь удельную площадь поверхности, аналогичную площади поверхности испытуемого образца.</w:t>
      </w:r>
    </w:p>
    <w:sectPr w:rsidR="0086470F" w:rsidSect="00C74AB3">
      <w:headerReference w:type="default" r:id="rId12"/>
      <w:footerReference w:type="default" r:id="rId13"/>
      <w:footerReference w:type="first" r:id="rId14"/>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57" w:rsidRDefault="00D26957" w:rsidP="00D37ADF">
      <w:pPr>
        <w:spacing w:after="0" w:line="240" w:lineRule="auto"/>
      </w:pPr>
      <w:r>
        <w:separator/>
      </w:r>
    </w:p>
  </w:endnote>
  <w:endnote w:type="continuationSeparator" w:id="0">
    <w:p w:rsidR="00D26957" w:rsidRDefault="00D26957" w:rsidP="00D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252"/>
      <w:docPartObj>
        <w:docPartGallery w:val="Page Numbers (Bottom of Page)"/>
        <w:docPartUnique/>
      </w:docPartObj>
    </w:sdtPr>
    <w:sdtEndPr>
      <w:rPr>
        <w:rFonts w:ascii="Times New Roman" w:hAnsi="Times New Roman"/>
        <w:sz w:val="28"/>
        <w:szCs w:val="28"/>
      </w:rPr>
    </w:sdtEndPr>
    <w:sdtContent>
      <w:p w:rsidR="00D26957" w:rsidRPr="00DE73D7" w:rsidRDefault="00DF1D36">
        <w:pPr>
          <w:pStyle w:val="a9"/>
          <w:jc w:val="center"/>
          <w:rPr>
            <w:rFonts w:ascii="Times New Roman" w:hAnsi="Times New Roman"/>
            <w:sz w:val="28"/>
            <w:szCs w:val="28"/>
          </w:rPr>
        </w:pPr>
        <w:r w:rsidRPr="00DE73D7">
          <w:rPr>
            <w:rFonts w:ascii="Times New Roman" w:hAnsi="Times New Roman"/>
            <w:sz w:val="28"/>
            <w:szCs w:val="28"/>
          </w:rPr>
          <w:fldChar w:fldCharType="begin"/>
        </w:r>
        <w:r w:rsidR="00D26957" w:rsidRPr="00DE73D7">
          <w:rPr>
            <w:rFonts w:ascii="Times New Roman" w:hAnsi="Times New Roman"/>
            <w:sz w:val="28"/>
            <w:szCs w:val="28"/>
          </w:rPr>
          <w:instrText xml:space="preserve"> PAGE   \* MERGEFORMAT </w:instrText>
        </w:r>
        <w:r w:rsidRPr="00DE73D7">
          <w:rPr>
            <w:rFonts w:ascii="Times New Roman" w:hAnsi="Times New Roman"/>
            <w:sz w:val="28"/>
            <w:szCs w:val="28"/>
          </w:rPr>
          <w:fldChar w:fldCharType="separate"/>
        </w:r>
        <w:r w:rsidR="001E25DA">
          <w:rPr>
            <w:rFonts w:ascii="Times New Roman" w:hAnsi="Times New Roman"/>
            <w:noProof/>
            <w:sz w:val="28"/>
            <w:szCs w:val="28"/>
          </w:rPr>
          <w:t>2</w:t>
        </w:r>
        <w:r w:rsidRPr="00DE73D7">
          <w:rPr>
            <w:rFonts w:ascii="Times New Roman" w:hAnsi="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9B" w:rsidRPr="0013649B" w:rsidRDefault="0013649B" w:rsidP="0013649B">
    <w:pPr>
      <w:pStyle w:val="a9"/>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57" w:rsidRDefault="00D26957" w:rsidP="00D37ADF">
      <w:pPr>
        <w:spacing w:after="0" w:line="240" w:lineRule="auto"/>
      </w:pPr>
      <w:r>
        <w:separator/>
      </w:r>
    </w:p>
  </w:footnote>
  <w:footnote w:type="continuationSeparator" w:id="0">
    <w:p w:rsidR="00D26957" w:rsidRDefault="00D26957" w:rsidP="00D37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49B" w:rsidRPr="0013649B" w:rsidRDefault="0013649B" w:rsidP="0013649B">
    <w:pPr>
      <w:pStyle w:val="a7"/>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D6D"/>
    <w:multiLevelType w:val="hybridMultilevel"/>
    <w:tmpl w:val="1B1ED14E"/>
    <w:lvl w:ilvl="0" w:tplc="97D2CA86">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1DD4957"/>
    <w:multiLevelType w:val="hybridMultilevel"/>
    <w:tmpl w:val="0C6CD158"/>
    <w:lvl w:ilvl="0" w:tplc="A66A9E36">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85C1D19"/>
    <w:multiLevelType w:val="hybridMultilevel"/>
    <w:tmpl w:val="A45286E6"/>
    <w:lvl w:ilvl="0" w:tplc="C764EF9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150F9A"/>
    <w:multiLevelType w:val="hybridMultilevel"/>
    <w:tmpl w:val="CA8027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80CC6"/>
    <w:multiLevelType w:val="hybridMultilevel"/>
    <w:tmpl w:val="8DBCF4A8"/>
    <w:lvl w:ilvl="0" w:tplc="CD943A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564F17"/>
    <w:multiLevelType w:val="hybridMultilevel"/>
    <w:tmpl w:val="6D7463A6"/>
    <w:lvl w:ilvl="0" w:tplc="599C27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7755B3"/>
    <w:multiLevelType w:val="hybridMultilevel"/>
    <w:tmpl w:val="BDBA2836"/>
    <w:lvl w:ilvl="0" w:tplc="CEC87778">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7DA02E01"/>
    <w:multiLevelType w:val="hybridMultilevel"/>
    <w:tmpl w:val="AF0AC926"/>
    <w:lvl w:ilvl="0" w:tplc="C80CFD8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20775F"/>
    <w:multiLevelType w:val="hybridMultilevel"/>
    <w:tmpl w:val="37B46646"/>
    <w:lvl w:ilvl="0" w:tplc="689244B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5"/>
  </w:num>
  <w:num w:numId="3">
    <w:abstractNumId w:val="4"/>
  </w:num>
  <w:num w:numId="4">
    <w:abstractNumId w:val="2"/>
  </w:num>
  <w:num w:numId="5">
    <w:abstractNumId w:val="8"/>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D37ADF"/>
    <w:rsid w:val="000051D6"/>
    <w:rsid w:val="0000709B"/>
    <w:rsid w:val="00011BDC"/>
    <w:rsid w:val="00013882"/>
    <w:rsid w:val="00030DB4"/>
    <w:rsid w:val="00044297"/>
    <w:rsid w:val="00057B3A"/>
    <w:rsid w:val="00060DF7"/>
    <w:rsid w:val="00063FA5"/>
    <w:rsid w:val="00065E7F"/>
    <w:rsid w:val="00074C92"/>
    <w:rsid w:val="00081C51"/>
    <w:rsid w:val="000935AA"/>
    <w:rsid w:val="00095012"/>
    <w:rsid w:val="00097861"/>
    <w:rsid w:val="000A09AA"/>
    <w:rsid w:val="000A1792"/>
    <w:rsid w:val="000A1B42"/>
    <w:rsid w:val="000B263E"/>
    <w:rsid w:val="000C3FF8"/>
    <w:rsid w:val="000C651C"/>
    <w:rsid w:val="000D02D5"/>
    <w:rsid w:val="000D21B3"/>
    <w:rsid w:val="000D42D2"/>
    <w:rsid w:val="000E20C5"/>
    <w:rsid w:val="000E333B"/>
    <w:rsid w:val="000F4940"/>
    <w:rsid w:val="000F6E83"/>
    <w:rsid w:val="001041DF"/>
    <w:rsid w:val="00104C2F"/>
    <w:rsid w:val="00110D1A"/>
    <w:rsid w:val="00121054"/>
    <w:rsid w:val="001217D7"/>
    <w:rsid w:val="00125417"/>
    <w:rsid w:val="001275C4"/>
    <w:rsid w:val="0013649B"/>
    <w:rsid w:val="00136B25"/>
    <w:rsid w:val="00140204"/>
    <w:rsid w:val="00147D16"/>
    <w:rsid w:val="00150B6F"/>
    <w:rsid w:val="00153A5A"/>
    <w:rsid w:val="00155D86"/>
    <w:rsid w:val="00162305"/>
    <w:rsid w:val="00162C7C"/>
    <w:rsid w:val="00166125"/>
    <w:rsid w:val="0017069B"/>
    <w:rsid w:val="00176649"/>
    <w:rsid w:val="0017764D"/>
    <w:rsid w:val="00181B9F"/>
    <w:rsid w:val="00187A7B"/>
    <w:rsid w:val="001943CA"/>
    <w:rsid w:val="001B30A9"/>
    <w:rsid w:val="001B5FC6"/>
    <w:rsid w:val="001C1569"/>
    <w:rsid w:val="001C3491"/>
    <w:rsid w:val="001C5A02"/>
    <w:rsid w:val="001D19C7"/>
    <w:rsid w:val="001D333E"/>
    <w:rsid w:val="001D7A43"/>
    <w:rsid w:val="001E25DA"/>
    <w:rsid w:val="001F33D2"/>
    <w:rsid w:val="001F3DE2"/>
    <w:rsid w:val="001F7D5F"/>
    <w:rsid w:val="00207CEB"/>
    <w:rsid w:val="002167B8"/>
    <w:rsid w:val="002179DA"/>
    <w:rsid w:val="00241468"/>
    <w:rsid w:val="00242864"/>
    <w:rsid w:val="00243429"/>
    <w:rsid w:val="00256665"/>
    <w:rsid w:val="00257417"/>
    <w:rsid w:val="00273BA3"/>
    <w:rsid w:val="00275402"/>
    <w:rsid w:val="00275F28"/>
    <w:rsid w:val="00277B90"/>
    <w:rsid w:val="0028184E"/>
    <w:rsid w:val="00284698"/>
    <w:rsid w:val="00294715"/>
    <w:rsid w:val="002948C9"/>
    <w:rsid w:val="002C4456"/>
    <w:rsid w:val="002D04AA"/>
    <w:rsid w:val="002D2693"/>
    <w:rsid w:val="002D4F37"/>
    <w:rsid w:val="002D5F06"/>
    <w:rsid w:val="00300B67"/>
    <w:rsid w:val="003063E4"/>
    <w:rsid w:val="00317BDE"/>
    <w:rsid w:val="00335F95"/>
    <w:rsid w:val="0034325C"/>
    <w:rsid w:val="00344F81"/>
    <w:rsid w:val="0034704D"/>
    <w:rsid w:val="00350B43"/>
    <w:rsid w:val="0035353A"/>
    <w:rsid w:val="003574C0"/>
    <w:rsid w:val="00365C7E"/>
    <w:rsid w:val="00366005"/>
    <w:rsid w:val="00366A6E"/>
    <w:rsid w:val="00366BD5"/>
    <w:rsid w:val="003710E7"/>
    <w:rsid w:val="003713C5"/>
    <w:rsid w:val="00377223"/>
    <w:rsid w:val="00394F11"/>
    <w:rsid w:val="003B0BDC"/>
    <w:rsid w:val="003B0F1E"/>
    <w:rsid w:val="003B17BE"/>
    <w:rsid w:val="003B6412"/>
    <w:rsid w:val="003C0F58"/>
    <w:rsid w:val="003C1549"/>
    <w:rsid w:val="003D21E4"/>
    <w:rsid w:val="003D4A9F"/>
    <w:rsid w:val="003E69ED"/>
    <w:rsid w:val="003F5846"/>
    <w:rsid w:val="004062F7"/>
    <w:rsid w:val="00410A31"/>
    <w:rsid w:val="0041441F"/>
    <w:rsid w:val="00417851"/>
    <w:rsid w:val="00422561"/>
    <w:rsid w:val="0042376C"/>
    <w:rsid w:val="00427F78"/>
    <w:rsid w:val="0043019A"/>
    <w:rsid w:val="004329EE"/>
    <w:rsid w:val="00442935"/>
    <w:rsid w:val="00443493"/>
    <w:rsid w:val="00447A82"/>
    <w:rsid w:val="00463EBB"/>
    <w:rsid w:val="00464CB9"/>
    <w:rsid w:val="00464D6C"/>
    <w:rsid w:val="00464EDF"/>
    <w:rsid w:val="00474F94"/>
    <w:rsid w:val="004776CA"/>
    <w:rsid w:val="00481C9A"/>
    <w:rsid w:val="00485EE7"/>
    <w:rsid w:val="00486053"/>
    <w:rsid w:val="00494565"/>
    <w:rsid w:val="00496067"/>
    <w:rsid w:val="00496913"/>
    <w:rsid w:val="004A36C1"/>
    <w:rsid w:val="004A7B5C"/>
    <w:rsid w:val="004B40DE"/>
    <w:rsid w:val="004C4195"/>
    <w:rsid w:val="004C4EE0"/>
    <w:rsid w:val="004C67A9"/>
    <w:rsid w:val="004D7158"/>
    <w:rsid w:val="004E6333"/>
    <w:rsid w:val="004F15E2"/>
    <w:rsid w:val="004F5326"/>
    <w:rsid w:val="004F66DF"/>
    <w:rsid w:val="00502D0F"/>
    <w:rsid w:val="00503ADF"/>
    <w:rsid w:val="005059D6"/>
    <w:rsid w:val="0050681C"/>
    <w:rsid w:val="005143D0"/>
    <w:rsid w:val="00515178"/>
    <w:rsid w:val="00517905"/>
    <w:rsid w:val="0052279A"/>
    <w:rsid w:val="00523765"/>
    <w:rsid w:val="00540B58"/>
    <w:rsid w:val="0054518A"/>
    <w:rsid w:val="005541A5"/>
    <w:rsid w:val="00565611"/>
    <w:rsid w:val="00575B0F"/>
    <w:rsid w:val="00581FF2"/>
    <w:rsid w:val="00587EA4"/>
    <w:rsid w:val="00595B2C"/>
    <w:rsid w:val="0059718D"/>
    <w:rsid w:val="005A44C0"/>
    <w:rsid w:val="005B0F37"/>
    <w:rsid w:val="005B1F9F"/>
    <w:rsid w:val="005B2346"/>
    <w:rsid w:val="005B3B86"/>
    <w:rsid w:val="005B4AA7"/>
    <w:rsid w:val="005B62FC"/>
    <w:rsid w:val="005D14FC"/>
    <w:rsid w:val="005D5C72"/>
    <w:rsid w:val="005F0D9E"/>
    <w:rsid w:val="005F1615"/>
    <w:rsid w:val="005F2145"/>
    <w:rsid w:val="00601764"/>
    <w:rsid w:val="00602969"/>
    <w:rsid w:val="00603BD5"/>
    <w:rsid w:val="006069CF"/>
    <w:rsid w:val="00613C03"/>
    <w:rsid w:val="006146F4"/>
    <w:rsid w:val="00614AC1"/>
    <w:rsid w:val="00614BDA"/>
    <w:rsid w:val="006217E2"/>
    <w:rsid w:val="00630B4D"/>
    <w:rsid w:val="0063232D"/>
    <w:rsid w:val="006404C5"/>
    <w:rsid w:val="0064659D"/>
    <w:rsid w:val="00653250"/>
    <w:rsid w:val="00654E8A"/>
    <w:rsid w:val="00660554"/>
    <w:rsid w:val="00660825"/>
    <w:rsid w:val="00672927"/>
    <w:rsid w:val="00677FAC"/>
    <w:rsid w:val="00684571"/>
    <w:rsid w:val="00691992"/>
    <w:rsid w:val="00693342"/>
    <w:rsid w:val="00693B86"/>
    <w:rsid w:val="00694663"/>
    <w:rsid w:val="006A12C3"/>
    <w:rsid w:val="006A28E5"/>
    <w:rsid w:val="006C0799"/>
    <w:rsid w:val="006C13DC"/>
    <w:rsid w:val="006C44D5"/>
    <w:rsid w:val="006C6BD0"/>
    <w:rsid w:val="006D528A"/>
    <w:rsid w:val="006E7F58"/>
    <w:rsid w:val="006F3B9B"/>
    <w:rsid w:val="006F54DD"/>
    <w:rsid w:val="006F6542"/>
    <w:rsid w:val="00702649"/>
    <w:rsid w:val="00705521"/>
    <w:rsid w:val="00707944"/>
    <w:rsid w:val="00713589"/>
    <w:rsid w:val="0071687B"/>
    <w:rsid w:val="00716E2E"/>
    <w:rsid w:val="00726A8B"/>
    <w:rsid w:val="00727839"/>
    <w:rsid w:val="007358A4"/>
    <w:rsid w:val="00736882"/>
    <w:rsid w:val="0074296E"/>
    <w:rsid w:val="0074298B"/>
    <w:rsid w:val="0075470F"/>
    <w:rsid w:val="00765E94"/>
    <w:rsid w:val="00767409"/>
    <w:rsid w:val="007712CE"/>
    <w:rsid w:val="007730D2"/>
    <w:rsid w:val="00774B12"/>
    <w:rsid w:val="007835C8"/>
    <w:rsid w:val="007863CF"/>
    <w:rsid w:val="007879A4"/>
    <w:rsid w:val="00787C99"/>
    <w:rsid w:val="007908D8"/>
    <w:rsid w:val="00792A26"/>
    <w:rsid w:val="0079407F"/>
    <w:rsid w:val="007A44DB"/>
    <w:rsid w:val="007B5A11"/>
    <w:rsid w:val="007B5A92"/>
    <w:rsid w:val="007C0250"/>
    <w:rsid w:val="007C409D"/>
    <w:rsid w:val="007D3DC0"/>
    <w:rsid w:val="007E6440"/>
    <w:rsid w:val="007F15BA"/>
    <w:rsid w:val="007F3CBF"/>
    <w:rsid w:val="007F6E7F"/>
    <w:rsid w:val="007F7A0B"/>
    <w:rsid w:val="00800DD2"/>
    <w:rsid w:val="00804EE8"/>
    <w:rsid w:val="008051E9"/>
    <w:rsid w:val="00805BA1"/>
    <w:rsid w:val="00814289"/>
    <w:rsid w:val="00817CE1"/>
    <w:rsid w:val="00817F25"/>
    <w:rsid w:val="008254ED"/>
    <w:rsid w:val="0083218D"/>
    <w:rsid w:val="00833F51"/>
    <w:rsid w:val="00835A93"/>
    <w:rsid w:val="00843388"/>
    <w:rsid w:val="0084556F"/>
    <w:rsid w:val="008468CD"/>
    <w:rsid w:val="008557F9"/>
    <w:rsid w:val="008566C9"/>
    <w:rsid w:val="0086470F"/>
    <w:rsid w:val="008667C1"/>
    <w:rsid w:val="008670FB"/>
    <w:rsid w:val="00870B58"/>
    <w:rsid w:val="0087365B"/>
    <w:rsid w:val="0088149A"/>
    <w:rsid w:val="00885D27"/>
    <w:rsid w:val="0089062C"/>
    <w:rsid w:val="008954A0"/>
    <w:rsid w:val="008A3E25"/>
    <w:rsid w:val="008B5806"/>
    <w:rsid w:val="008C6658"/>
    <w:rsid w:val="008C7040"/>
    <w:rsid w:val="008D1861"/>
    <w:rsid w:val="008D4938"/>
    <w:rsid w:val="008D49F1"/>
    <w:rsid w:val="008D5F9A"/>
    <w:rsid w:val="008D7623"/>
    <w:rsid w:val="008E58B0"/>
    <w:rsid w:val="008E6AED"/>
    <w:rsid w:val="008F12D4"/>
    <w:rsid w:val="00910544"/>
    <w:rsid w:val="00912370"/>
    <w:rsid w:val="0092053E"/>
    <w:rsid w:val="00922E78"/>
    <w:rsid w:val="009235B4"/>
    <w:rsid w:val="00943567"/>
    <w:rsid w:val="009446AF"/>
    <w:rsid w:val="0095148F"/>
    <w:rsid w:val="00977DAA"/>
    <w:rsid w:val="00984BD0"/>
    <w:rsid w:val="0099133A"/>
    <w:rsid w:val="009949CA"/>
    <w:rsid w:val="009A1EA6"/>
    <w:rsid w:val="009A4A8D"/>
    <w:rsid w:val="009B0A92"/>
    <w:rsid w:val="009B6061"/>
    <w:rsid w:val="009B6761"/>
    <w:rsid w:val="009C1992"/>
    <w:rsid w:val="009C2F12"/>
    <w:rsid w:val="009D0D51"/>
    <w:rsid w:val="009D2567"/>
    <w:rsid w:val="009E52D7"/>
    <w:rsid w:val="009E68E1"/>
    <w:rsid w:val="009F2110"/>
    <w:rsid w:val="00A04DDD"/>
    <w:rsid w:val="00A16B4A"/>
    <w:rsid w:val="00A22F7F"/>
    <w:rsid w:val="00A2313A"/>
    <w:rsid w:val="00A4559C"/>
    <w:rsid w:val="00A45B1D"/>
    <w:rsid w:val="00A47CCE"/>
    <w:rsid w:val="00A518A2"/>
    <w:rsid w:val="00A52CC8"/>
    <w:rsid w:val="00A63062"/>
    <w:rsid w:val="00A65AF3"/>
    <w:rsid w:val="00A72FF9"/>
    <w:rsid w:val="00A730B8"/>
    <w:rsid w:val="00A77A62"/>
    <w:rsid w:val="00A9276D"/>
    <w:rsid w:val="00AA303F"/>
    <w:rsid w:val="00AA4853"/>
    <w:rsid w:val="00AB7EE4"/>
    <w:rsid w:val="00AC00D9"/>
    <w:rsid w:val="00AC3C89"/>
    <w:rsid w:val="00AD3492"/>
    <w:rsid w:val="00AE3ADA"/>
    <w:rsid w:val="00AE3E65"/>
    <w:rsid w:val="00B10209"/>
    <w:rsid w:val="00B317C5"/>
    <w:rsid w:val="00B33948"/>
    <w:rsid w:val="00B36224"/>
    <w:rsid w:val="00B364B6"/>
    <w:rsid w:val="00B367C1"/>
    <w:rsid w:val="00B4300F"/>
    <w:rsid w:val="00B46470"/>
    <w:rsid w:val="00B47BBF"/>
    <w:rsid w:val="00B5225A"/>
    <w:rsid w:val="00B60432"/>
    <w:rsid w:val="00B62ACA"/>
    <w:rsid w:val="00B647F9"/>
    <w:rsid w:val="00B65FB5"/>
    <w:rsid w:val="00B81124"/>
    <w:rsid w:val="00B91E1F"/>
    <w:rsid w:val="00B945E8"/>
    <w:rsid w:val="00BA5346"/>
    <w:rsid w:val="00BB16DB"/>
    <w:rsid w:val="00BB7680"/>
    <w:rsid w:val="00BE239C"/>
    <w:rsid w:val="00BE79F7"/>
    <w:rsid w:val="00BF198A"/>
    <w:rsid w:val="00BF3CC6"/>
    <w:rsid w:val="00BF7A8F"/>
    <w:rsid w:val="00C0201D"/>
    <w:rsid w:val="00C038E2"/>
    <w:rsid w:val="00C14FAF"/>
    <w:rsid w:val="00C208DF"/>
    <w:rsid w:val="00C343A6"/>
    <w:rsid w:val="00C47EAF"/>
    <w:rsid w:val="00C52C1D"/>
    <w:rsid w:val="00C52FB7"/>
    <w:rsid w:val="00C61342"/>
    <w:rsid w:val="00C65455"/>
    <w:rsid w:val="00C73BEA"/>
    <w:rsid w:val="00C74AB3"/>
    <w:rsid w:val="00C87E69"/>
    <w:rsid w:val="00C91648"/>
    <w:rsid w:val="00C91F0F"/>
    <w:rsid w:val="00C95563"/>
    <w:rsid w:val="00C9622D"/>
    <w:rsid w:val="00CA5DF3"/>
    <w:rsid w:val="00CB006A"/>
    <w:rsid w:val="00CC0067"/>
    <w:rsid w:val="00CC09F2"/>
    <w:rsid w:val="00CC16E0"/>
    <w:rsid w:val="00CD06DA"/>
    <w:rsid w:val="00CD09EC"/>
    <w:rsid w:val="00CD2B19"/>
    <w:rsid w:val="00CD31CD"/>
    <w:rsid w:val="00CD64D6"/>
    <w:rsid w:val="00CE4484"/>
    <w:rsid w:val="00CE618A"/>
    <w:rsid w:val="00CF63B8"/>
    <w:rsid w:val="00D20895"/>
    <w:rsid w:val="00D22A64"/>
    <w:rsid w:val="00D24865"/>
    <w:rsid w:val="00D24F26"/>
    <w:rsid w:val="00D26957"/>
    <w:rsid w:val="00D37ADF"/>
    <w:rsid w:val="00D442C1"/>
    <w:rsid w:val="00D55728"/>
    <w:rsid w:val="00D63AAE"/>
    <w:rsid w:val="00D70FF4"/>
    <w:rsid w:val="00D949D0"/>
    <w:rsid w:val="00DA1A66"/>
    <w:rsid w:val="00DC374C"/>
    <w:rsid w:val="00DC52E1"/>
    <w:rsid w:val="00DC5817"/>
    <w:rsid w:val="00DC6396"/>
    <w:rsid w:val="00DD3105"/>
    <w:rsid w:val="00DD3B80"/>
    <w:rsid w:val="00DD594A"/>
    <w:rsid w:val="00DD70AD"/>
    <w:rsid w:val="00DE1E1A"/>
    <w:rsid w:val="00DE73D7"/>
    <w:rsid w:val="00DF1D36"/>
    <w:rsid w:val="00DF2E03"/>
    <w:rsid w:val="00E01846"/>
    <w:rsid w:val="00E02428"/>
    <w:rsid w:val="00E0385D"/>
    <w:rsid w:val="00E076D1"/>
    <w:rsid w:val="00E15766"/>
    <w:rsid w:val="00E15B01"/>
    <w:rsid w:val="00E26AD7"/>
    <w:rsid w:val="00E306E1"/>
    <w:rsid w:val="00E328C0"/>
    <w:rsid w:val="00E4250B"/>
    <w:rsid w:val="00E42DC7"/>
    <w:rsid w:val="00E44EEB"/>
    <w:rsid w:val="00E456B4"/>
    <w:rsid w:val="00E45F63"/>
    <w:rsid w:val="00E64D06"/>
    <w:rsid w:val="00E75573"/>
    <w:rsid w:val="00E915E1"/>
    <w:rsid w:val="00E93994"/>
    <w:rsid w:val="00EA6A8E"/>
    <w:rsid w:val="00EB02DD"/>
    <w:rsid w:val="00EB2E9A"/>
    <w:rsid w:val="00EB465F"/>
    <w:rsid w:val="00EB7E99"/>
    <w:rsid w:val="00EC3DA9"/>
    <w:rsid w:val="00EC7CD9"/>
    <w:rsid w:val="00EF02C3"/>
    <w:rsid w:val="00EF38A0"/>
    <w:rsid w:val="00EF540F"/>
    <w:rsid w:val="00F11811"/>
    <w:rsid w:val="00F22A75"/>
    <w:rsid w:val="00F25E10"/>
    <w:rsid w:val="00F315C6"/>
    <w:rsid w:val="00F41D00"/>
    <w:rsid w:val="00F46C2D"/>
    <w:rsid w:val="00F551E2"/>
    <w:rsid w:val="00F56137"/>
    <w:rsid w:val="00F64420"/>
    <w:rsid w:val="00F73AA6"/>
    <w:rsid w:val="00F751D7"/>
    <w:rsid w:val="00F75CE3"/>
    <w:rsid w:val="00F8359F"/>
    <w:rsid w:val="00F8575F"/>
    <w:rsid w:val="00F90AE0"/>
    <w:rsid w:val="00F92456"/>
    <w:rsid w:val="00FA3F4B"/>
    <w:rsid w:val="00FA6977"/>
    <w:rsid w:val="00FA721C"/>
    <w:rsid w:val="00FB0E26"/>
    <w:rsid w:val="00FC0284"/>
    <w:rsid w:val="00FC42C9"/>
    <w:rsid w:val="00FD22F3"/>
    <w:rsid w:val="00FD2357"/>
    <w:rsid w:val="00FE0482"/>
    <w:rsid w:val="00FE47CE"/>
    <w:rsid w:val="00FF1A2E"/>
    <w:rsid w:val="00FF29CF"/>
    <w:rsid w:val="00FF4F37"/>
    <w:rsid w:val="00FF676F"/>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455D392D-0FE3-40EF-87C6-0754068B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37ADF"/>
    <w:pPr>
      <w:spacing w:after="0" w:line="240" w:lineRule="auto"/>
    </w:pPr>
    <w:rPr>
      <w:rFonts w:ascii="Times New Roman CYR" w:eastAsia="Times New Roman" w:hAnsi="Times New Roman CYR"/>
      <w:b/>
      <w:sz w:val="28"/>
      <w:szCs w:val="20"/>
      <w:lang w:eastAsia="ru-RU"/>
    </w:rPr>
  </w:style>
  <w:style w:type="character" w:customStyle="1" w:styleId="a5">
    <w:name w:val="Основной текст Знак"/>
    <w:basedOn w:val="a0"/>
    <w:link w:val="a4"/>
    <w:rsid w:val="00D37ADF"/>
    <w:rPr>
      <w:rFonts w:ascii="Times New Roman CYR" w:eastAsia="Times New Roman" w:hAnsi="Times New Roman CYR" w:cs="Times New Roman"/>
      <w:b/>
      <w:sz w:val="28"/>
      <w:szCs w:val="20"/>
      <w:lang w:eastAsia="ru-RU"/>
    </w:rPr>
  </w:style>
  <w:style w:type="table" w:styleId="a3">
    <w:name w:val="Table Grid"/>
    <w:basedOn w:val="a1"/>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0"/>
    <w:rsid w:val="00D37ADF"/>
    <w:rPr>
      <w:rFonts w:ascii="Times New Roman" w:eastAsia="Times New Roman" w:hAnsi="Times New Roman" w:cs="Times New Roman"/>
      <w:sz w:val="25"/>
      <w:szCs w:val="25"/>
      <w:shd w:val="clear" w:color="auto" w:fill="FFFFFF"/>
    </w:rPr>
  </w:style>
  <w:style w:type="character" w:customStyle="1" w:styleId="105pt">
    <w:name w:val="Основной текст + 10;5 pt"/>
    <w:basedOn w:val="a6"/>
    <w:rsid w:val="00D37ADF"/>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0">
    <w:name w:val="Основной текст1"/>
    <w:basedOn w:val="a"/>
    <w:link w:val="a6"/>
    <w:rsid w:val="00D37ADF"/>
    <w:pPr>
      <w:widowControl w:val="0"/>
      <w:shd w:val="clear" w:color="auto" w:fill="FFFFFF"/>
      <w:spacing w:before="720" w:after="0" w:line="461" w:lineRule="exact"/>
      <w:jc w:val="both"/>
    </w:pPr>
    <w:rPr>
      <w:rFonts w:ascii="Times New Roman" w:eastAsia="Times New Roman" w:hAnsi="Times New Roman"/>
      <w:sz w:val="25"/>
      <w:szCs w:val="25"/>
    </w:rPr>
  </w:style>
  <w:style w:type="paragraph" w:styleId="a7">
    <w:name w:val="header"/>
    <w:basedOn w:val="a"/>
    <w:link w:val="a8"/>
    <w:uiPriority w:val="99"/>
    <w:unhideWhenUsed/>
    <w:rsid w:val="00D37A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7ADF"/>
    <w:rPr>
      <w:rFonts w:ascii="Calibri" w:eastAsia="Calibri" w:hAnsi="Calibri" w:cs="Times New Roman"/>
    </w:rPr>
  </w:style>
  <w:style w:type="paragraph" w:styleId="a9">
    <w:name w:val="footer"/>
    <w:basedOn w:val="a"/>
    <w:link w:val="aa"/>
    <w:uiPriority w:val="99"/>
    <w:unhideWhenUsed/>
    <w:rsid w:val="00D37A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7ADF"/>
    <w:rPr>
      <w:rFonts w:ascii="Calibri" w:eastAsia="Calibri" w:hAnsi="Calibri" w:cs="Times New Roman"/>
    </w:rPr>
  </w:style>
  <w:style w:type="paragraph" w:customStyle="1" w:styleId="Default">
    <w:name w:val="Default"/>
    <w:rsid w:val="0069199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2D5F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F06"/>
    <w:rPr>
      <w:rFonts w:ascii="Tahoma" w:eastAsia="Calibri" w:hAnsi="Tahoma" w:cs="Tahoma"/>
      <w:sz w:val="16"/>
      <w:szCs w:val="16"/>
    </w:rPr>
  </w:style>
  <w:style w:type="paragraph" w:styleId="ad">
    <w:name w:val="List Paragraph"/>
    <w:basedOn w:val="a"/>
    <w:uiPriority w:val="34"/>
    <w:qFormat/>
    <w:rsid w:val="00C208DF"/>
    <w:pPr>
      <w:ind w:left="720"/>
      <w:contextualSpacing/>
    </w:pPr>
  </w:style>
  <w:style w:type="paragraph" w:styleId="ae">
    <w:name w:val="No Spacing"/>
    <w:uiPriority w:val="1"/>
    <w:qFormat/>
    <w:rsid w:val="00110D1A"/>
    <w:pPr>
      <w:spacing w:after="0" w:line="240" w:lineRule="auto"/>
    </w:pPr>
    <w:rPr>
      <w:rFonts w:ascii="Calibri" w:eastAsia="Calibri" w:hAnsi="Calibri" w:cs="Times New Roman"/>
    </w:rPr>
  </w:style>
  <w:style w:type="table" w:customStyle="1" w:styleId="2">
    <w:name w:val="Сетка таблицы2"/>
    <w:basedOn w:val="a1"/>
    <w:next w:val="a3"/>
    <w:uiPriority w:val="59"/>
    <w:rsid w:val="00B364B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Document Map"/>
    <w:basedOn w:val="a"/>
    <w:link w:val="af0"/>
    <w:uiPriority w:val="99"/>
    <w:semiHidden/>
    <w:unhideWhenUsed/>
    <w:rsid w:val="00B364B6"/>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364B6"/>
    <w:rPr>
      <w:rFonts w:ascii="Tahoma" w:eastAsia="Calibri" w:hAnsi="Tahoma" w:cs="Tahoma"/>
      <w:sz w:val="16"/>
      <w:szCs w:val="16"/>
    </w:rPr>
  </w:style>
  <w:style w:type="character" w:customStyle="1" w:styleId="tlid-translation">
    <w:name w:val="tlid-translation"/>
    <w:basedOn w:val="a0"/>
    <w:rsid w:val="001C3491"/>
  </w:style>
  <w:style w:type="paragraph" w:styleId="af1">
    <w:name w:val="Body Text Indent"/>
    <w:basedOn w:val="a"/>
    <w:link w:val="af2"/>
    <w:rsid w:val="009E52D7"/>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9E52D7"/>
    <w:rPr>
      <w:rFonts w:ascii="Times New Roman" w:eastAsia="Times New Roman" w:hAnsi="Times New Roman" w:cs="Times New Roman"/>
      <w:sz w:val="24"/>
      <w:szCs w:val="24"/>
      <w:lang w:eastAsia="ru-RU"/>
    </w:rPr>
  </w:style>
  <w:style w:type="paragraph" w:styleId="af3">
    <w:name w:val="Plain Text"/>
    <w:aliases w:val="Plain Text Char"/>
    <w:basedOn w:val="a"/>
    <w:link w:val="af4"/>
    <w:rsid w:val="009E52D7"/>
    <w:pPr>
      <w:spacing w:after="0" w:line="240" w:lineRule="auto"/>
    </w:pPr>
    <w:rPr>
      <w:rFonts w:ascii="Courier New" w:eastAsia="Times New Roman" w:hAnsi="Courier New"/>
      <w:sz w:val="20"/>
      <w:szCs w:val="20"/>
      <w:lang w:eastAsia="ru-RU"/>
    </w:rPr>
  </w:style>
  <w:style w:type="character" w:customStyle="1" w:styleId="af4">
    <w:name w:val="Текст Знак"/>
    <w:aliases w:val="Plain Text Char Знак"/>
    <w:basedOn w:val="a0"/>
    <w:link w:val="af3"/>
    <w:rsid w:val="009E52D7"/>
    <w:rPr>
      <w:rFonts w:ascii="Courier New" w:eastAsia="Times New Roman" w:hAnsi="Courier New" w:cs="Times New Roman"/>
      <w:sz w:val="20"/>
      <w:szCs w:val="20"/>
      <w:lang w:eastAsia="ru-RU"/>
    </w:rPr>
  </w:style>
  <w:style w:type="character" w:customStyle="1" w:styleId="FontStyle18">
    <w:name w:val="Font Style18"/>
    <w:uiPriority w:val="99"/>
    <w:rsid w:val="009E52D7"/>
    <w:rPr>
      <w:rFonts w:ascii="Times New Roman" w:hAnsi="Times New Roman" w:cs="Times New Roman"/>
      <w:b/>
      <w:bCs/>
      <w:sz w:val="24"/>
      <w:szCs w:val="24"/>
    </w:rPr>
  </w:style>
  <w:style w:type="character" w:customStyle="1" w:styleId="FontStyle31">
    <w:name w:val="Font Style31"/>
    <w:rsid w:val="00912370"/>
    <w:rPr>
      <w:rFonts w:ascii="Times New Roman" w:hAnsi="Times New Roman" w:cs="Times New Roman" w:hint="default"/>
      <w:sz w:val="22"/>
      <w:szCs w:val="22"/>
    </w:rPr>
  </w:style>
  <w:style w:type="character" w:styleId="af5">
    <w:name w:val="annotation reference"/>
    <w:basedOn w:val="a0"/>
    <w:uiPriority w:val="99"/>
    <w:semiHidden/>
    <w:unhideWhenUsed/>
    <w:rsid w:val="00502D0F"/>
    <w:rPr>
      <w:sz w:val="16"/>
      <w:szCs w:val="16"/>
    </w:rPr>
  </w:style>
  <w:style w:type="paragraph" w:styleId="af6">
    <w:name w:val="annotation text"/>
    <w:basedOn w:val="a"/>
    <w:link w:val="af7"/>
    <w:uiPriority w:val="99"/>
    <w:semiHidden/>
    <w:unhideWhenUsed/>
    <w:rsid w:val="00502D0F"/>
    <w:pPr>
      <w:spacing w:line="240" w:lineRule="auto"/>
    </w:pPr>
    <w:rPr>
      <w:sz w:val="20"/>
      <w:szCs w:val="20"/>
    </w:rPr>
  </w:style>
  <w:style w:type="character" w:customStyle="1" w:styleId="af7">
    <w:name w:val="Текст примечания Знак"/>
    <w:basedOn w:val="a0"/>
    <w:link w:val="af6"/>
    <w:uiPriority w:val="99"/>
    <w:semiHidden/>
    <w:rsid w:val="00502D0F"/>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502D0F"/>
    <w:rPr>
      <w:b/>
      <w:bCs/>
    </w:rPr>
  </w:style>
  <w:style w:type="character" w:customStyle="1" w:styleId="af9">
    <w:name w:val="Тема примечания Знак"/>
    <w:basedOn w:val="af7"/>
    <w:link w:val="af8"/>
    <w:uiPriority w:val="99"/>
    <w:semiHidden/>
    <w:rsid w:val="00502D0F"/>
    <w:rPr>
      <w:rFonts w:ascii="Calibri" w:eastAsia="Calibri" w:hAnsi="Calibri" w:cs="Times New Roman"/>
      <w:b/>
      <w:bCs/>
      <w:sz w:val="20"/>
      <w:szCs w:val="20"/>
    </w:rPr>
  </w:style>
  <w:style w:type="character" w:styleId="afa">
    <w:name w:val="Placeholder Text"/>
    <w:basedOn w:val="a0"/>
    <w:uiPriority w:val="99"/>
    <w:semiHidden/>
    <w:rsid w:val="00BE2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6C80E-6805-4709-9028-4885FFAC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Borovikts</dc:creator>
  <cp:lastModifiedBy>Болобан Екатерина Александровна</cp:lastModifiedBy>
  <cp:revision>41</cp:revision>
  <cp:lastPrinted>2023-07-10T08:47:00Z</cp:lastPrinted>
  <dcterms:created xsi:type="dcterms:W3CDTF">2022-08-23T12:29:00Z</dcterms:created>
  <dcterms:modified xsi:type="dcterms:W3CDTF">2023-07-12T06:34:00Z</dcterms:modified>
</cp:coreProperties>
</file>