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CC" w:rsidRPr="00D912BE" w:rsidRDefault="00EF58CC" w:rsidP="00EF58CC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EF58CC" w:rsidRPr="00D912BE" w:rsidRDefault="00EF58CC" w:rsidP="00EF58C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8CC" w:rsidRPr="00D912BE" w:rsidRDefault="00EF58CC" w:rsidP="00EF58C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8CC" w:rsidRPr="00D912BE" w:rsidRDefault="00EF58CC" w:rsidP="00EF58CC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58CC" w:rsidRPr="00EE0AD5" w:rsidRDefault="00EF58CC" w:rsidP="00EF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A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EF58CC" w:rsidRPr="00D912BE" w:rsidTr="00CB448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7D9" w:rsidRDefault="001A37D9" w:rsidP="001A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58CC" w:rsidRPr="00D912BE" w:rsidRDefault="00EF58CC" w:rsidP="00EF58C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EF58CC" w:rsidRPr="00D912BE" w:rsidTr="00CB4480">
        <w:trPr>
          <w:trHeight w:val="397"/>
        </w:trPr>
        <w:tc>
          <w:tcPr>
            <w:tcW w:w="5920" w:type="dxa"/>
          </w:tcPr>
          <w:p w:rsidR="001A37D9" w:rsidRDefault="00EF58CC" w:rsidP="003473B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Определение удельной площади поверхности методом воздухопроницаемости</w:t>
            </w:r>
          </w:p>
        </w:tc>
        <w:tc>
          <w:tcPr>
            <w:tcW w:w="460" w:type="dxa"/>
          </w:tcPr>
          <w:p w:rsidR="00EF58CC" w:rsidRPr="00D912BE" w:rsidRDefault="00EF58CC" w:rsidP="003473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A37D9" w:rsidRDefault="00EF58CC" w:rsidP="003473B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735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.1.1.1</w:t>
            </w:r>
            <w:bookmarkStart w:id="0" w:name="_GoBack"/>
            <w:bookmarkEnd w:id="0"/>
            <w:r w:rsidR="00A23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.0008</w:t>
            </w:r>
          </w:p>
        </w:tc>
      </w:tr>
      <w:tr w:rsidR="00EF58CC" w:rsidRPr="00D912BE" w:rsidTr="00CB4480">
        <w:trPr>
          <w:trHeight w:val="397"/>
        </w:trPr>
        <w:tc>
          <w:tcPr>
            <w:tcW w:w="5920" w:type="dxa"/>
          </w:tcPr>
          <w:p w:rsidR="001A37D9" w:rsidRDefault="001A37D9" w:rsidP="003473B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EF58CC" w:rsidRPr="00D912BE" w:rsidRDefault="00EF58CC" w:rsidP="003473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A37D9" w:rsidRDefault="00EF58CC" w:rsidP="003473B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EF58CC" w:rsidRPr="00D912BE" w:rsidRDefault="00EF58CC" w:rsidP="00EF58CC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EF58CC" w:rsidRPr="00D912BE" w:rsidTr="00CB448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7D9" w:rsidRDefault="001A37D9" w:rsidP="001A3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37D9" w:rsidRDefault="001A37D9" w:rsidP="003473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AA" w:rsidRPr="002A73AA" w:rsidRDefault="00EF58CC" w:rsidP="003473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общая фармакопейная статья распространяется на метод</w:t>
      </w:r>
      <w:r w:rsidR="002A73AA" w:rsidRPr="007E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3AA" w:rsidRPr="007E2365">
        <w:rPr>
          <w:rFonts w:ascii="Times New Roman" w:eastAsia="Calibri" w:hAnsi="Times New Roman" w:cs="Times New Roman"/>
          <w:sz w:val="28"/>
          <w:szCs w:val="28"/>
        </w:rPr>
        <w:t>определения удельной площади поверхности сухих порошков, прошедших сквозь сито.</w:t>
      </w:r>
    </w:p>
    <w:p w:rsidR="002A73AA" w:rsidRPr="002A73AA" w:rsidRDefault="002A73AA" w:rsidP="003473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Удельная поверхность порошка образована внешней поверхностью всех частиц порошка и внутренней поверхностью открытых пор.</w:t>
      </w:r>
    </w:p>
    <w:p w:rsidR="002A73AA" w:rsidRPr="002A73AA" w:rsidRDefault="002A73AA" w:rsidP="003473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Удельная площадь поверхности порошков – это общая площа</w:t>
      </w:r>
      <w:r w:rsidR="00F2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поверхности раздела между твё</w:t>
      </w:r>
      <w:r w:rsidRPr="002A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рдой и газообразной фазами в порошке, приходящаяся на 1 </w:t>
      </w:r>
      <w:r w:rsidR="0046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твё</w:t>
      </w:r>
      <w:r w:rsidRPr="002A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рдой фазы; единица измерения удельной площади поверхности – </w:t>
      </w:r>
      <w:r w:rsidRPr="002A73AA">
        <w:rPr>
          <w:rFonts w:ascii="Times New Roman" w:eastAsia="Calibri" w:hAnsi="Times New Roman" w:cs="Times New Roman"/>
          <w:sz w:val="28"/>
          <w:szCs w:val="28"/>
        </w:rPr>
        <w:t>м</w:t>
      </w:r>
      <w:r w:rsidRPr="002A73A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A73AA">
        <w:rPr>
          <w:rFonts w:ascii="Times New Roman" w:eastAsia="Calibri" w:hAnsi="Times New Roman" w:cs="Times New Roman"/>
          <w:sz w:val="28"/>
          <w:szCs w:val="28"/>
        </w:rPr>
        <w:t>/г.</w:t>
      </w:r>
    </w:p>
    <w:p w:rsidR="002A73AA" w:rsidRPr="002A73AA" w:rsidRDefault="002A73AA" w:rsidP="003473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В основе определения удельной площади поверхности методом воздухопроницаемости лежит измерение сопротивления, оказываемого дисперсной </w:t>
      </w:r>
      <w:r w:rsidR="00CF6943">
        <w:rPr>
          <w:rFonts w:ascii="Times New Roman" w:eastAsia="Calibri" w:hAnsi="Times New Roman" w:cs="Times New Roman"/>
          <w:sz w:val="28"/>
          <w:szCs w:val="28"/>
        </w:rPr>
        <w:t>фазой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протеканию воздуха (газа), который либо разреж</w:t>
      </w:r>
      <w:r w:rsidR="006602EC">
        <w:rPr>
          <w:rFonts w:ascii="Times New Roman" w:eastAsia="Calibri" w:hAnsi="Times New Roman" w:cs="Times New Roman"/>
          <w:sz w:val="28"/>
          <w:szCs w:val="28"/>
        </w:rPr>
        <w:t>ё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н, либо находится под атмосферным давлением. Чем меньше размер частиц порошка, </w:t>
      </w:r>
      <w:r w:rsidR="00D1617E" w:rsidRPr="002A73AA">
        <w:rPr>
          <w:rFonts w:ascii="Times New Roman" w:eastAsia="Calibri" w:hAnsi="Times New Roman" w:cs="Times New Roman"/>
          <w:sz w:val="28"/>
          <w:szCs w:val="28"/>
        </w:rPr>
        <w:t>тем больше величина удельной площади поверхности порошка</w:t>
      </w:r>
      <w:r w:rsidR="00D1617E">
        <w:rPr>
          <w:rFonts w:ascii="Times New Roman" w:eastAsia="Calibri" w:hAnsi="Times New Roman" w:cs="Times New Roman"/>
          <w:sz w:val="28"/>
          <w:szCs w:val="28"/>
        </w:rPr>
        <w:t>,</w:t>
      </w:r>
      <w:r w:rsidR="00D1617E" w:rsidRPr="002A7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3AA">
        <w:rPr>
          <w:rFonts w:ascii="Times New Roman" w:eastAsia="Calibri" w:hAnsi="Times New Roman" w:cs="Times New Roman"/>
          <w:sz w:val="28"/>
          <w:szCs w:val="28"/>
        </w:rPr>
        <w:t>тем выше оказываемое сопротив</w:t>
      </w:r>
      <w:r w:rsidR="00D1617E">
        <w:rPr>
          <w:rFonts w:ascii="Times New Roman" w:eastAsia="Calibri" w:hAnsi="Times New Roman" w:cs="Times New Roman"/>
          <w:sz w:val="28"/>
          <w:szCs w:val="28"/>
        </w:rPr>
        <w:t>ление протеканию воздуха (газа)</w:t>
      </w:r>
      <w:r w:rsidRPr="002A73AA">
        <w:rPr>
          <w:rFonts w:ascii="Times New Roman" w:eastAsia="Calibri" w:hAnsi="Times New Roman" w:cs="Times New Roman"/>
          <w:sz w:val="28"/>
          <w:szCs w:val="28"/>
        </w:rPr>
        <w:t>. Молекулярный поток, который может повлиять на результаты испытания порошков, размеры частиц которых составляют несколько микрометров, не</w:t>
      </w:r>
      <w:r w:rsidR="00F273B4">
        <w:rPr>
          <w:rFonts w:ascii="Times New Roman" w:eastAsia="Calibri" w:hAnsi="Times New Roman" w:cs="Times New Roman"/>
          <w:sz w:val="28"/>
          <w:szCs w:val="28"/>
        </w:rPr>
        <w:t xml:space="preserve"> учитывают в уравнении, используемом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в настоящей общей фармакопейной статье </w:t>
      </w:r>
      <w:r w:rsidR="0087434B">
        <w:rPr>
          <w:rFonts w:ascii="Times New Roman" w:eastAsia="Calibri" w:hAnsi="Times New Roman" w:cs="Times New Roman"/>
          <w:sz w:val="28"/>
          <w:szCs w:val="28"/>
        </w:rPr>
        <w:t>для расчё</w:t>
      </w:r>
      <w:r w:rsidRPr="002A73AA">
        <w:rPr>
          <w:rFonts w:ascii="Times New Roman" w:eastAsia="Calibri" w:hAnsi="Times New Roman" w:cs="Times New Roman"/>
          <w:sz w:val="28"/>
          <w:szCs w:val="28"/>
        </w:rPr>
        <w:t>та удельной площади поверхности.</w:t>
      </w:r>
    </w:p>
    <w:p w:rsidR="001A37D9" w:rsidRDefault="002A73AA" w:rsidP="001A37D9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73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Оборудование</w:t>
      </w:r>
    </w:p>
    <w:p w:rsidR="002A73AA" w:rsidRPr="002A73AA" w:rsidRDefault="001D27A8" w:rsidP="002A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частями</w:t>
      </w:r>
      <w:r w:rsidR="002A73AA" w:rsidRPr="002A73AA">
        <w:rPr>
          <w:rFonts w:ascii="Times New Roman" w:eastAsia="Calibri" w:hAnsi="Times New Roman" w:cs="Times New Roman"/>
          <w:sz w:val="28"/>
          <w:szCs w:val="28"/>
        </w:rPr>
        <w:t xml:space="preserve"> прибора для определения удельной площади поверхности методом воздухопроницаемости </w:t>
      </w:r>
      <w:r>
        <w:rPr>
          <w:rFonts w:ascii="Times New Roman" w:eastAsia="Calibri" w:hAnsi="Times New Roman" w:cs="Times New Roman"/>
          <w:sz w:val="28"/>
          <w:szCs w:val="28"/>
        </w:rPr>
        <w:t>являются пропускная камера, поршень и манометр</w:t>
      </w:r>
      <w:r w:rsidR="002A73AA" w:rsidRPr="002A73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3AA" w:rsidRPr="002A73AA" w:rsidRDefault="002A73AA" w:rsidP="002A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>Пропускная камера (ячейка проницаемости, кювета) (рис</w:t>
      </w:r>
      <w:r w:rsidR="0087434B">
        <w:rPr>
          <w:rFonts w:ascii="Times New Roman" w:eastAsia="Calibri" w:hAnsi="Times New Roman" w:cs="Times New Roman"/>
          <w:sz w:val="28"/>
          <w:szCs w:val="28"/>
        </w:rPr>
        <w:t>.</w:t>
      </w:r>
      <w:r w:rsidR="00520FC4">
        <w:rPr>
          <w:rFonts w:ascii="Times New Roman" w:eastAsia="Calibri" w:hAnsi="Times New Roman" w:cs="Times New Roman"/>
          <w:sz w:val="28"/>
          <w:szCs w:val="28"/>
        </w:rPr>
        <w:t xml:space="preserve"> 1)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состоит из цилиндра с внутренним диаметром 12,6±0,1 мм (А), изготовленного из стекла</w:t>
      </w:r>
      <w:r w:rsidR="00C00F5F">
        <w:rPr>
          <w:rFonts w:ascii="Times New Roman" w:eastAsia="Calibri" w:hAnsi="Times New Roman" w:cs="Times New Roman"/>
          <w:sz w:val="28"/>
          <w:szCs w:val="28"/>
        </w:rPr>
        <w:t>,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или нержавеющего </w:t>
      </w:r>
      <w:r w:rsidR="00C00F5F">
        <w:rPr>
          <w:rFonts w:ascii="Times New Roman" w:eastAsia="Calibri" w:hAnsi="Times New Roman" w:cs="Times New Roman"/>
          <w:sz w:val="28"/>
          <w:szCs w:val="28"/>
        </w:rPr>
        <w:t>материала, или нержавеющего сплава, или нержавеющей стали</w:t>
      </w:r>
      <w:r w:rsidRPr="002A73AA">
        <w:rPr>
          <w:rFonts w:ascii="Times New Roman" w:eastAsia="Calibri" w:hAnsi="Times New Roman" w:cs="Times New Roman"/>
          <w:sz w:val="28"/>
          <w:szCs w:val="28"/>
        </w:rPr>
        <w:t>. Нижняя часть камеры образует герметичное соединение</w:t>
      </w:r>
      <w:r w:rsidR="00874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3AA">
        <w:rPr>
          <w:rFonts w:ascii="Times New Roman" w:eastAsia="Calibri" w:hAnsi="Times New Roman" w:cs="Times New Roman"/>
          <w:sz w:val="28"/>
          <w:szCs w:val="28"/>
        </w:rPr>
        <w:t>(например, через адаптер) с манометром (рис</w:t>
      </w:r>
      <w:r w:rsidR="0087434B">
        <w:rPr>
          <w:rFonts w:ascii="Times New Roman" w:eastAsia="Calibri" w:hAnsi="Times New Roman" w:cs="Times New Roman"/>
          <w:sz w:val="28"/>
          <w:szCs w:val="28"/>
        </w:rPr>
        <w:t>.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2). На расстоянии 50±15 мм от верхней части ка</w:t>
      </w:r>
      <w:r w:rsidR="00CF6346">
        <w:rPr>
          <w:rFonts w:ascii="Times New Roman" w:eastAsia="Calibri" w:hAnsi="Times New Roman" w:cs="Times New Roman"/>
          <w:sz w:val="28"/>
          <w:szCs w:val="28"/>
        </w:rPr>
        <w:t>меры имеется выступ шириной 0,5–</w:t>
      </w:r>
      <w:r w:rsidRPr="002A73AA">
        <w:rPr>
          <w:rFonts w:ascii="Times New Roman" w:eastAsia="Calibri" w:hAnsi="Times New Roman" w:cs="Times New Roman"/>
          <w:sz w:val="28"/>
          <w:szCs w:val="28"/>
        </w:rPr>
        <w:t>1 мм, который является неотъемлемой частью</w:t>
      </w:r>
      <w:r w:rsidR="00B95B83">
        <w:rPr>
          <w:rFonts w:ascii="Times New Roman" w:eastAsia="Calibri" w:hAnsi="Times New Roman" w:cs="Times New Roman"/>
          <w:sz w:val="28"/>
          <w:szCs w:val="28"/>
        </w:rPr>
        <w:t xml:space="preserve"> камеры или герметично прикреплё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 к ней. Выступ фиксирует перфорированный металлический диск (Б), выполненный из н</w:t>
      </w:r>
      <w:r w:rsidR="005E415E">
        <w:rPr>
          <w:rFonts w:ascii="Times New Roman" w:eastAsia="Calibri" w:hAnsi="Times New Roman" w:cs="Times New Roman"/>
          <w:sz w:val="28"/>
          <w:szCs w:val="28"/>
        </w:rPr>
        <w:t xml:space="preserve">ержавеющего металла, </w:t>
      </w:r>
      <w:r w:rsidRPr="002A73AA">
        <w:rPr>
          <w:rFonts w:ascii="Times New Roman" w:eastAsia="Calibri" w:hAnsi="Times New Roman" w:cs="Times New Roman"/>
          <w:sz w:val="28"/>
          <w:szCs w:val="28"/>
        </w:rPr>
        <w:t>толщи</w:t>
      </w:r>
      <w:r w:rsidR="005E415E">
        <w:rPr>
          <w:rFonts w:ascii="Times New Roman" w:eastAsia="Calibri" w:hAnsi="Times New Roman" w:cs="Times New Roman"/>
          <w:sz w:val="28"/>
          <w:szCs w:val="28"/>
        </w:rPr>
        <w:t xml:space="preserve">ной 0,9±0,1 мм с </w:t>
      </w:r>
      <w:r w:rsidR="00FC116C">
        <w:rPr>
          <w:rFonts w:ascii="Times New Roman" w:eastAsia="Calibri" w:hAnsi="Times New Roman" w:cs="Times New Roman"/>
          <w:sz w:val="28"/>
          <w:szCs w:val="28"/>
        </w:rPr>
        <w:t>30–</w:t>
      </w:r>
      <w:r w:rsidRPr="002A73AA">
        <w:rPr>
          <w:rFonts w:ascii="Times New Roman" w:eastAsia="Calibri" w:hAnsi="Times New Roman" w:cs="Times New Roman"/>
          <w:sz w:val="28"/>
          <w:szCs w:val="28"/>
        </w:rPr>
        <w:t>40 отверстиями диаме</w:t>
      </w:r>
      <w:r w:rsidR="00FC116C">
        <w:rPr>
          <w:rFonts w:ascii="Times New Roman" w:eastAsia="Calibri" w:hAnsi="Times New Roman" w:cs="Times New Roman"/>
          <w:sz w:val="28"/>
          <w:szCs w:val="28"/>
        </w:rPr>
        <w:t>тром 1 мм, равномерно распределё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нными по всей поверхности.</w:t>
      </w:r>
    </w:p>
    <w:p w:rsidR="002A73AA" w:rsidRPr="002A73AA" w:rsidRDefault="002A73AA" w:rsidP="002A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>Поршень (плунжер) (В) изготовлен из нержавеющего металла и плотно входит в камеру с зазором не более 0,1 мм. Нижняя часть поршня имеет острые квадратные кромки под прямым углом по отношению к центральной оси. На одной стороне поршня имеется воздушный канал длиной 3 мм и глубиной 0,3 мм. Верхняя часть поршня имеет воротник, который при погружении поршня в камеру соприкасается с верхом перфорированного диска (Б). Расстояние между нижней частью</w:t>
      </w:r>
      <w:r w:rsidR="003A7218">
        <w:rPr>
          <w:rFonts w:ascii="Times New Roman" w:eastAsia="Calibri" w:hAnsi="Times New Roman" w:cs="Times New Roman"/>
          <w:sz w:val="28"/>
          <w:szCs w:val="28"/>
        </w:rPr>
        <w:t xml:space="preserve"> поршня и верхом перфорированного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диска (Б) составляет 15±1 мм.</w:t>
      </w:r>
    </w:p>
    <w:p w:rsidR="002A73AA" w:rsidRPr="002A73AA" w:rsidRDefault="004C0DC6" w:rsidP="002A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Диски из фильтроваль</w:t>
      </w:r>
      <w:r w:rsidR="002A73AA" w:rsidRPr="002A73AA">
        <w:rPr>
          <w:rFonts w:ascii="Times New Roman" w:eastAsia="Calibri" w:hAnsi="Times New Roman" w:cs="Times New Roman"/>
          <w:sz w:val="28"/>
          <w:szCs w:val="28"/>
        </w:rPr>
        <w:t>ной бумаги (Г) имеют мягкие края и диаметр, совпадающий с внутренним диаметром камеры.</w:t>
      </w:r>
    </w:p>
    <w:p w:rsidR="001A37D9" w:rsidRDefault="002A73AA" w:rsidP="001A37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900" cy="27051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D9" w:rsidRDefault="002A73AA" w:rsidP="001A37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373380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AA" w:rsidRPr="002A73AA" w:rsidRDefault="002A73AA" w:rsidP="002A73A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37D9" w:rsidRDefault="002A73AA" w:rsidP="001A3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>Рисунок 1 – Пропускная камера</w:t>
      </w:r>
    </w:p>
    <w:p w:rsidR="001A37D9" w:rsidRPr="00C75CC6" w:rsidRDefault="001A37D9" w:rsidP="001A37D9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2A9A">
        <w:rPr>
          <w:rFonts w:ascii="Times New Roman" w:eastAsia="Calibri" w:hAnsi="Times New Roman" w:cs="Times New Roman"/>
          <w:sz w:val="24"/>
          <w:szCs w:val="24"/>
        </w:rPr>
        <w:t>Размеры указаны в мм</w:t>
      </w:r>
      <w:r w:rsidR="003473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3AA" w:rsidRPr="002A73AA" w:rsidRDefault="002A73AA" w:rsidP="002A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="00437F1B">
        <w:rPr>
          <w:rFonts w:ascii="Times New Roman" w:eastAsia="Calibri" w:hAnsi="Times New Roman" w:cs="Times New Roman"/>
          <w:sz w:val="28"/>
          <w:szCs w:val="28"/>
        </w:rPr>
        <w:t>-образный манометр (Д) (рис.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2) изготовлен из стеклянной трубки с внешним диаметром 9 мм и внутренним диаметром 7 мм. Верхняя часть одного плеча манометра герметично соединена с пропускной камерой </w:t>
      </w:r>
      <w:r w:rsidR="00955C9A">
        <w:rPr>
          <w:rFonts w:ascii="Times New Roman" w:eastAsia="Calibri" w:hAnsi="Times New Roman" w:cs="Times New Roman"/>
          <w:sz w:val="28"/>
          <w:szCs w:val="28"/>
        </w:rPr>
        <w:t>(Е). На плечо манометра, соединё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нное с пропускной камеро</w:t>
      </w:r>
      <w:r w:rsidR="0091734F">
        <w:rPr>
          <w:rFonts w:ascii="Times New Roman" w:eastAsia="Calibri" w:hAnsi="Times New Roman" w:cs="Times New Roman"/>
          <w:sz w:val="28"/>
          <w:szCs w:val="28"/>
        </w:rPr>
        <w:t>й, нанесена линия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на 125–145 мм ниже верхней части бок</w:t>
      </w:r>
      <w:r w:rsidR="0091734F">
        <w:rPr>
          <w:rFonts w:ascii="Times New Roman" w:eastAsia="Calibri" w:hAnsi="Times New Roman" w:cs="Times New Roman"/>
          <w:sz w:val="28"/>
          <w:szCs w:val="28"/>
        </w:rPr>
        <w:t>ового выпускного отверстия и трё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х других линий, расположенных на 15 мм, 70 мм и 110 мм выше этой </w:t>
      </w:r>
      <w:r w:rsidRPr="002A73AA">
        <w:rPr>
          <w:rFonts w:ascii="Times New Roman" w:eastAsia="Calibri" w:hAnsi="Times New Roman" w:cs="Times New Roman"/>
          <w:sz w:val="28"/>
          <w:szCs w:val="28"/>
        </w:rPr>
        <w:lastRenderedPageBreak/>
        <w:t>линии</w:t>
      </w:r>
      <w:r w:rsidR="003473B5">
        <w:rPr>
          <w:rFonts w:ascii="Times New Roman" w:eastAsia="Calibri" w:hAnsi="Times New Roman" w:cs="Times New Roman"/>
          <w:sz w:val="28"/>
          <w:szCs w:val="28"/>
        </w:rPr>
        <w:t> 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(Ж). Боковое выпускное </w:t>
      </w:r>
      <w:r w:rsidR="0091734F">
        <w:rPr>
          <w:rFonts w:ascii="Times New Roman" w:eastAsia="Calibri" w:hAnsi="Times New Roman" w:cs="Times New Roman"/>
          <w:sz w:val="28"/>
          <w:szCs w:val="28"/>
        </w:rPr>
        <w:t>отверстие, расположенное на 250–</w:t>
      </w:r>
      <w:r w:rsidRPr="002A73AA">
        <w:rPr>
          <w:rFonts w:ascii="Times New Roman" w:eastAsia="Calibri" w:hAnsi="Times New Roman" w:cs="Times New Roman"/>
          <w:sz w:val="28"/>
          <w:szCs w:val="28"/>
        </w:rPr>
        <w:t>305 мм выше дна манометра, используется для освоб</w:t>
      </w:r>
      <w:r w:rsidR="0091734F">
        <w:rPr>
          <w:rFonts w:ascii="Times New Roman" w:eastAsia="Calibri" w:hAnsi="Times New Roman" w:cs="Times New Roman"/>
          <w:sz w:val="28"/>
          <w:szCs w:val="28"/>
        </w:rPr>
        <w:t>ождения плеча манометра, соединё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нного с пропускной камерой. Кран бокового выпускного отверстия располагается на расстоянии не более 50 мм от плеча манометра.</w:t>
      </w:r>
    </w:p>
    <w:p w:rsidR="002A73AA" w:rsidRPr="002A73AA" w:rsidRDefault="002A73AA" w:rsidP="002A73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Манометр установлен таким образом, чтобы его плечи были расположены вертикально. Он заполнен до самой нижней отметки окрашенной жидкостью, рекомендованной производителем оборудования, или </w:t>
      </w:r>
      <w:r w:rsidR="00D56186">
        <w:rPr>
          <w:rFonts w:ascii="Times New Roman" w:eastAsia="Calibri" w:hAnsi="Times New Roman" w:cs="Times New Roman"/>
          <w:sz w:val="28"/>
          <w:szCs w:val="28"/>
        </w:rPr>
        <w:t xml:space="preserve">окрашенной </w:t>
      </w:r>
      <w:r w:rsidRPr="002A73AA">
        <w:rPr>
          <w:rFonts w:ascii="Times New Roman" w:eastAsia="Calibri" w:hAnsi="Times New Roman" w:cs="Times New Roman"/>
          <w:sz w:val="28"/>
          <w:szCs w:val="28"/>
        </w:rPr>
        <w:t>водой.</w:t>
      </w:r>
    </w:p>
    <w:p w:rsidR="002A73AA" w:rsidRPr="002A73AA" w:rsidRDefault="002A73AA" w:rsidP="00955C9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438150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D9" w:rsidRDefault="002A73AA" w:rsidP="001A37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>Рисунок 2 – Манометр</w:t>
      </w:r>
    </w:p>
    <w:p w:rsidR="001A37D9" w:rsidRDefault="001A37D9" w:rsidP="003473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88C">
        <w:rPr>
          <w:rFonts w:ascii="Times New Roman" w:eastAsia="Calibri" w:hAnsi="Times New Roman" w:cs="Times New Roman"/>
          <w:sz w:val="24"/>
          <w:szCs w:val="24"/>
        </w:rPr>
        <w:t>Размеры указаны в мм</w:t>
      </w:r>
      <w:r w:rsidR="003473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37D9" w:rsidRDefault="00675AFE" w:rsidP="001A37D9">
      <w:pPr>
        <w:keepNext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Калибровка</w:t>
      </w:r>
      <w:r w:rsidRPr="002A73AA">
        <w:rPr>
          <w:rFonts w:ascii="Times New Roman" w:eastAsia="Calibri" w:hAnsi="Times New Roman" w:cs="Times New Roman"/>
          <w:b/>
          <w:sz w:val="28"/>
          <w:szCs w:val="28"/>
        </w:rPr>
        <w:t xml:space="preserve"> прибора</w:t>
      </w:r>
    </w:p>
    <w:p w:rsidR="00675AFE" w:rsidRPr="002A73AA" w:rsidRDefault="00675AFE" w:rsidP="00675A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Насыпной объём уплотнё</w:t>
      </w:r>
      <w:r w:rsidRPr="002A73AA">
        <w:rPr>
          <w:rFonts w:ascii="Times New Roman" w:eastAsia="Calibri" w:hAnsi="Times New Roman" w:cs="Times New Roman"/>
          <w:b/>
          <w:i/>
          <w:sz w:val="28"/>
          <w:szCs w:val="28"/>
        </w:rPr>
        <w:t>нного слоя порошка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определяют методом ртутного смещ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ения: два диска из фильтровальной бумаги помещают в пропускную камеру, придавливая края стержнем, имеющим немного меньший диаметр, чем диаметр ячейки, до тех пор, пока диски из фильтровальной бумаги не станут плоскими на перфорированном </w:t>
      </w:r>
      <w:r w:rsidRPr="002A73AA">
        <w:rPr>
          <w:rFonts w:ascii="Times New Roman" w:eastAsia="Calibri" w:hAnsi="Times New Roman" w:cs="Times New Roman"/>
          <w:sz w:val="28"/>
          <w:szCs w:val="28"/>
        </w:rPr>
        <w:lastRenderedPageBreak/>
        <w:t>металлическом диске. Заполняют камеру ртуть</w:t>
      </w:r>
      <w:r w:rsidR="0068217B">
        <w:rPr>
          <w:rFonts w:ascii="Times New Roman" w:eastAsia="Calibri" w:hAnsi="Times New Roman" w:cs="Times New Roman"/>
          <w:sz w:val="28"/>
          <w:szCs w:val="28"/>
        </w:rPr>
        <w:t xml:space="preserve">ю, удаляя со стенок камеры </w:t>
      </w:r>
      <w:r w:rsidRPr="002A73AA">
        <w:rPr>
          <w:rFonts w:ascii="Times New Roman" w:eastAsia="Calibri" w:hAnsi="Times New Roman" w:cs="Times New Roman"/>
          <w:sz w:val="28"/>
          <w:szCs w:val="28"/>
        </w:rPr>
        <w:t>пузырьки воздуха и, при необходимости, убирая избыток ртути, чтобы поверхность ртути в верхней части камеры была плоской. Если камера изготовлена из материала, который взаимодействует с ртутью, предварительно смазывают камеру и металлический диск тонким слоем жидкого парафина</w:t>
      </w:r>
      <w:r w:rsidR="0068217B">
        <w:rPr>
          <w:rFonts w:ascii="Times New Roman" w:eastAsia="Calibri" w:hAnsi="Times New Roman" w:cs="Times New Roman"/>
          <w:sz w:val="28"/>
          <w:szCs w:val="28"/>
        </w:rPr>
        <w:t xml:space="preserve"> (вазелинового масла)</w:t>
      </w:r>
      <w:r w:rsidRPr="002A73AA">
        <w:rPr>
          <w:rFonts w:ascii="Times New Roman" w:eastAsia="Calibri" w:hAnsi="Times New Roman" w:cs="Times New Roman"/>
          <w:sz w:val="28"/>
          <w:szCs w:val="28"/>
        </w:rPr>
        <w:t>. Сливают ртуть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предварительно взвешенный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стакан и определяют массу (</w:t>
      </w:r>
      <w:r w:rsidRPr="00A42747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A42747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А</w:t>
      </w:r>
      <w:r w:rsidRPr="002A73AA">
        <w:rPr>
          <w:rFonts w:ascii="Times New Roman" w:eastAsia="Calibri" w:hAnsi="Times New Roman" w:cs="Times New Roman"/>
          <w:sz w:val="28"/>
          <w:szCs w:val="28"/>
        </w:rPr>
        <w:t>) и температуру ртути.</w:t>
      </w:r>
    </w:p>
    <w:p w:rsidR="00675AFE" w:rsidRPr="002A73AA" w:rsidRDefault="00675AFE" w:rsidP="00675A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Формируют уплотнё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нный слой из порошка, используемого в качестве стандарт</w:t>
      </w:r>
      <w:r>
        <w:rPr>
          <w:rFonts w:ascii="Times New Roman" w:eastAsia="Calibri" w:hAnsi="Times New Roman" w:cs="Times New Roman"/>
          <w:sz w:val="28"/>
          <w:szCs w:val="28"/>
        </w:rPr>
        <w:t>ного (контрольного), и снова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наполняют камеру ртутью до получения плоской поверхности в верхней части камеры. Сливают ртуть в предварительно взвешенный стакан и измеряют массу (</w:t>
      </w:r>
      <w:r w:rsidRPr="00E02617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E02617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ртути.</w:t>
      </w:r>
    </w:p>
    <w:p w:rsidR="00675AFE" w:rsidRDefault="00675AFE" w:rsidP="00675A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Рассчитывают </w:t>
      </w:r>
      <w:r>
        <w:rPr>
          <w:rFonts w:ascii="Times New Roman" w:eastAsia="Calibri" w:hAnsi="Times New Roman" w:cs="Times New Roman"/>
          <w:sz w:val="28"/>
          <w:szCs w:val="28"/>
        </w:rPr>
        <w:t>насыпной объё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м (</w:t>
      </w:r>
      <w:r w:rsidRPr="00093030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уплотнё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нного слоя порошка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5AFE" w:rsidTr="003473B5">
        <w:tc>
          <w:tcPr>
            <w:tcW w:w="3190" w:type="dxa"/>
          </w:tcPr>
          <w:p w:rsidR="00675AFE" w:rsidRDefault="00675AFE" w:rsidP="003473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37D9" w:rsidRPr="001A37D9" w:rsidRDefault="0052369B" w:rsidP="001A37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V=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Hg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675AFE" w:rsidRDefault="0072075A" w:rsidP="003473B5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</w:t>
            </w:r>
            <w:r w:rsidR="00675AF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W w:w="101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83"/>
        <w:gridCol w:w="8043"/>
      </w:tblGrid>
      <w:tr w:rsidR="00675AFE" w:rsidRPr="00845852" w:rsidTr="003473B5">
        <w:trPr>
          <w:cantSplit/>
        </w:trPr>
        <w:tc>
          <w:tcPr>
            <w:tcW w:w="709" w:type="dxa"/>
            <w:shd w:val="clear" w:color="auto" w:fill="auto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lang w:val="en-US"/>
              </w:rPr>
            </w:pPr>
            <w:r w:rsidRPr="007D7861">
              <w:rPr>
                <w:rFonts w:ascii="Cambria Math" w:hAnsi="Cambria Math" w:cs="Times New Roman"/>
                <w:i/>
                <w:sz w:val="28"/>
                <w:lang w:val="en-US"/>
              </w:rPr>
              <w:t>M</w:t>
            </w:r>
            <w:r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  <w:t>A</w:t>
            </w: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–M</w:t>
            </w:r>
            <w:r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  <w:t>B</w:t>
            </w:r>
          </w:p>
        </w:tc>
        <w:tc>
          <w:tcPr>
            <w:tcW w:w="283" w:type="dxa"/>
            <w:shd w:val="clear" w:color="auto" w:fill="auto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  <w:shd w:val="clear" w:color="auto" w:fill="auto"/>
          </w:tcPr>
          <w:p w:rsidR="00675AFE" w:rsidRPr="00845852" w:rsidRDefault="00675AFE" w:rsidP="003473B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разность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измеренных масс ртути,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675AFE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1A37D9" w:rsidRPr="001A37D9" w:rsidRDefault="001A37D9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i/>
                <w:sz w:val="28"/>
                <w:vertAlign w:val="subscript"/>
              </w:rPr>
            </w:pPr>
            <w:r>
              <w:rPr>
                <w:rFonts w:ascii="Cambria Math" w:hAnsi="Cambria Math" w:cs="Times New Roman" w:hint="eastAsia"/>
                <w:i/>
                <w:sz w:val="28"/>
                <w:lang w:val="en-US"/>
              </w:rPr>
              <w:t>ρ</w:t>
            </w:r>
            <w:r w:rsidRPr="001A37D9">
              <w:rPr>
                <w:rFonts w:ascii="Cambria Math" w:hAnsi="Cambria Math" w:cs="Times New Roman"/>
                <w:i/>
                <w:sz w:val="28"/>
                <w:vertAlign w:val="subscript"/>
                <w:lang w:val="en-US"/>
              </w:rPr>
              <w:t>Hg</w:t>
            </w:r>
          </w:p>
        </w:tc>
        <w:tc>
          <w:tcPr>
            <w:tcW w:w="283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675AFE" w:rsidRPr="00E04620" w:rsidRDefault="00675AFE" w:rsidP="003473B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ртути при определё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нной температуре, г/мл.</w:t>
            </w:r>
          </w:p>
        </w:tc>
      </w:tr>
    </w:tbl>
    <w:p w:rsidR="00675AFE" w:rsidRPr="002A73AA" w:rsidRDefault="00675AFE" w:rsidP="003473B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Измерения повторяют ещё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дважды с различными порциями стандартного порошка. Диап</w:t>
      </w:r>
      <w:r>
        <w:rPr>
          <w:rFonts w:ascii="Times New Roman" w:eastAsia="Calibri" w:hAnsi="Times New Roman" w:cs="Times New Roman"/>
          <w:sz w:val="28"/>
          <w:szCs w:val="28"/>
        </w:rPr>
        <w:t>азон значений рассчитанного объё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ма (</w:t>
      </w:r>
      <w:r w:rsidRPr="0090619D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Pr="002A73AA">
        <w:rPr>
          <w:rFonts w:ascii="Times New Roman" w:eastAsia="Calibri" w:hAnsi="Times New Roman" w:cs="Times New Roman"/>
          <w:sz w:val="28"/>
          <w:szCs w:val="28"/>
        </w:rPr>
        <w:t>) стандартного порошка не должен быть более 0,01 мл.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Используют среднее значение трёх рассчитанных объё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мов.</w:t>
      </w:r>
    </w:p>
    <w:p w:rsidR="00675AFE" w:rsidRPr="002A73AA" w:rsidRDefault="00675AFE" w:rsidP="00675A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Константу прибора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2A73AA">
        <w:rPr>
          <w:rFonts w:ascii="Times New Roman" w:eastAsia="Calibri" w:hAnsi="Times New Roman" w:cs="Times New Roman"/>
          <w:b/>
          <w:i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определяют с помощью стандартного порошка с известной удельной площадью поверхности и плотностью. Рассчитывают необходимое количество 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дартного </w:t>
      </w:r>
      <w:r w:rsidRPr="00FB2A9A">
        <w:rPr>
          <w:rFonts w:ascii="Times New Roman" w:eastAsia="Calibri" w:hAnsi="Times New Roman" w:cs="Times New Roman"/>
          <w:sz w:val="28"/>
          <w:szCs w:val="28"/>
        </w:rPr>
        <w:t xml:space="preserve">порошка по формуле </w:t>
      </w:r>
      <w:r w:rsidR="0072075A" w:rsidRPr="00FB2A9A">
        <w:rPr>
          <w:rFonts w:ascii="Times New Roman" w:eastAsia="Calibri" w:hAnsi="Times New Roman" w:cs="Times New Roman"/>
          <w:sz w:val="28"/>
          <w:szCs w:val="28"/>
        </w:rPr>
        <w:t>3</w:t>
      </w:r>
      <w:r w:rsidRPr="00FB2A9A">
        <w:rPr>
          <w:rFonts w:ascii="Times New Roman" w:eastAsia="Calibri" w:hAnsi="Times New Roman" w:cs="Times New Roman"/>
          <w:sz w:val="28"/>
          <w:szCs w:val="28"/>
        </w:rPr>
        <w:t>, используя известную плотность и объём уплотнённого слоя стандартного по</w:t>
      </w:r>
      <w:r w:rsidR="0072075A" w:rsidRPr="00FB2A9A">
        <w:rPr>
          <w:rFonts w:ascii="Times New Roman" w:eastAsia="Calibri" w:hAnsi="Times New Roman" w:cs="Times New Roman"/>
          <w:sz w:val="28"/>
          <w:szCs w:val="28"/>
        </w:rPr>
        <w:t>рошка, рассчитанный по формуле 1</w:t>
      </w:r>
      <w:r w:rsidRPr="00FB2A9A">
        <w:rPr>
          <w:rFonts w:ascii="Times New Roman" w:eastAsia="Calibri" w:hAnsi="Times New Roman" w:cs="Times New Roman"/>
          <w:sz w:val="28"/>
          <w:szCs w:val="28"/>
        </w:rPr>
        <w:t>. Гомогенизируют и разрыхляют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порошок, встряхивая его в течение 2 мин в контейнере вмес</w:t>
      </w:r>
      <w:r>
        <w:rPr>
          <w:rFonts w:ascii="Times New Roman" w:eastAsia="Calibri" w:hAnsi="Times New Roman" w:cs="Times New Roman"/>
          <w:sz w:val="28"/>
          <w:szCs w:val="28"/>
        </w:rPr>
        <w:t>тимостью 100 мл. Готовят уплотнё</w:t>
      </w:r>
      <w:r w:rsidRPr="002A73AA">
        <w:rPr>
          <w:rFonts w:ascii="Times New Roman" w:eastAsia="Calibri" w:hAnsi="Times New Roman" w:cs="Times New Roman"/>
          <w:sz w:val="28"/>
          <w:szCs w:val="28"/>
        </w:rPr>
        <w:t>нный слой стандартного порошка и измеряют время, необходимое для опускания столбика жидк</w:t>
      </w:r>
      <w:r>
        <w:rPr>
          <w:rFonts w:ascii="Times New Roman" w:eastAsia="Calibri" w:hAnsi="Times New Roman" w:cs="Times New Roman"/>
          <w:sz w:val="28"/>
          <w:szCs w:val="28"/>
        </w:rPr>
        <w:t>ости со второй до третьей метки</w:t>
      </w:r>
      <w:r w:rsidRPr="002A73AA">
        <w:rPr>
          <w:rFonts w:ascii="Times New Roman" w:eastAsia="Calibri" w:hAnsi="Times New Roman" w:cs="Times New Roman"/>
          <w:sz w:val="28"/>
          <w:szCs w:val="28"/>
        </w:rPr>
        <w:t>, как описано ранее.</w:t>
      </w:r>
    </w:p>
    <w:p w:rsidR="00675AFE" w:rsidRDefault="00675AFE" w:rsidP="00675A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lastRenderedPageBreak/>
        <w:t>Константу прибора (</w:t>
      </w:r>
      <w:r w:rsidRPr="00A63AC9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2A73AA">
        <w:rPr>
          <w:rFonts w:ascii="Times New Roman" w:eastAsia="Calibri" w:hAnsi="Times New Roman" w:cs="Times New Roman"/>
          <w:sz w:val="28"/>
          <w:szCs w:val="28"/>
        </w:rPr>
        <w:t>) рассчитывают по формуле:</w:t>
      </w: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509"/>
      </w:tblGrid>
      <w:tr w:rsidR="00675AFE" w:rsidTr="00361ED5">
        <w:tc>
          <w:tcPr>
            <w:tcW w:w="3082" w:type="dxa"/>
          </w:tcPr>
          <w:p w:rsidR="001A37D9" w:rsidRDefault="001A37D9" w:rsidP="001A37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37D9" w:rsidRDefault="00675AFE" w:rsidP="001A37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S·ρ·(1-ε)·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η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·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509" w:type="dxa"/>
          </w:tcPr>
          <w:p w:rsidR="00675AFE" w:rsidRDefault="0072075A" w:rsidP="00361ED5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</w:t>
            </w:r>
            <w:r w:rsidR="00675AF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W w:w="9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83"/>
        <w:gridCol w:w="8043"/>
      </w:tblGrid>
      <w:tr w:rsidR="00675AFE" w:rsidRPr="00845852" w:rsidTr="003473B5">
        <w:trPr>
          <w:cantSplit/>
        </w:trPr>
        <w:tc>
          <w:tcPr>
            <w:tcW w:w="709" w:type="dxa"/>
            <w:shd w:val="clear" w:color="auto" w:fill="auto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S</w:t>
            </w:r>
          </w:p>
        </w:tc>
        <w:tc>
          <w:tcPr>
            <w:tcW w:w="283" w:type="dxa"/>
            <w:shd w:val="clear" w:color="auto" w:fill="auto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  <w:shd w:val="clear" w:color="auto" w:fill="auto"/>
          </w:tcPr>
          <w:p w:rsidR="00675AFE" w:rsidRPr="00845852" w:rsidRDefault="00675AFE" w:rsidP="003473B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известная удельная площадь поверхности стандартного порошка;</w:t>
            </w:r>
          </w:p>
        </w:tc>
      </w:tr>
      <w:tr w:rsidR="00675AFE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ρ</w:t>
            </w:r>
          </w:p>
        </w:tc>
        <w:tc>
          <w:tcPr>
            <w:tcW w:w="283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675AFE" w:rsidRPr="00E04620" w:rsidRDefault="00675AFE" w:rsidP="003473B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испытуемого вещества, г/мл;</w:t>
            </w:r>
          </w:p>
        </w:tc>
      </w:tr>
      <w:tr w:rsidR="00675AFE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ε</w:t>
            </w:r>
          </w:p>
        </w:tc>
        <w:tc>
          <w:tcPr>
            <w:tcW w:w="283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675AFE" w:rsidRPr="000A721B" w:rsidRDefault="00675AFE" w:rsidP="003473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пористость уплотнё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нного слоя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порошка;</w:t>
            </w:r>
          </w:p>
        </w:tc>
      </w:tr>
      <w:tr w:rsidR="00675AFE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t</w:t>
            </w:r>
          </w:p>
        </w:tc>
        <w:tc>
          <w:tcPr>
            <w:tcW w:w="283" w:type="dxa"/>
          </w:tcPr>
          <w:p w:rsidR="001A37D9" w:rsidRDefault="00675AFE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</w:tcPr>
          <w:p w:rsidR="00675AFE" w:rsidRPr="00845852" w:rsidRDefault="00675AFE" w:rsidP="003473B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необходимое для опускания столбика жидкости со второй до третьей метки, с;</w:t>
            </w:r>
          </w:p>
        </w:tc>
      </w:tr>
      <w:tr w:rsidR="00675AFE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η</w:t>
            </w:r>
          </w:p>
        </w:tc>
        <w:tc>
          <w:tcPr>
            <w:tcW w:w="283" w:type="dxa"/>
          </w:tcPr>
          <w:p w:rsidR="001A37D9" w:rsidRDefault="00675AFE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675AFE" w:rsidRPr="00D47011" w:rsidRDefault="00675AFE" w:rsidP="003473B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динамическая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вязкость воздуха, мПа·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(таблица).</w:t>
            </w:r>
          </w:p>
        </w:tc>
      </w:tr>
    </w:tbl>
    <w:p w:rsidR="001A37D9" w:rsidRDefault="00675AFE" w:rsidP="003473B5">
      <w:pPr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3473B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Плотность ртути и вязкость воздуха при различных температурах</w:t>
      </w: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5AFE" w:rsidRPr="002A73AA" w:rsidTr="003473B5">
        <w:trPr>
          <w:cantSplit/>
          <w:tblHeader/>
        </w:trPr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Температура, °С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ртути, г/мл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Вязкость воздуха (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η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), мПа·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93" w:type="dxa"/>
          </w:tcPr>
          <w:p w:rsidR="001A37D9" w:rsidRDefault="00735102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η</m:t>
                    </m:r>
                  </m:e>
                </m:rad>
              </m:oMath>
            </m:oMathPara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0,01800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0,1342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0,01805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0,1344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13,55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0,01810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0,1345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13,55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0,01815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0,1347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13,55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0,01819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0,1349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0,01824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0,1351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0,01829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0,1353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0,01834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0,1354</w:t>
            </w:r>
          </w:p>
        </w:tc>
      </w:tr>
      <w:tr w:rsidR="00675AFE" w:rsidRPr="002A73AA" w:rsidTr="003473B5">
        <w:tc>
          <w:tcPr>
            <w:tcW w:w="2392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13,54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0,01839</w:t>
            </w:r>
          </w:p>
        </w:tc>
        <w:tc>
          <w:tcPr>
            <w:tcW w:w="2393" w:type="dxa"/>
          </w:tcPr>
          <w:p w:rsidR="001A37D9" w:rsidRDefault="00675AFE" w:rsidP="001A37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0,1356</w:t>
            </w:r>
          </w:p>
        </w:tc>
      </w:tr>
    </w:tbl>
    <w:p w:rsidR="001A37D9" w:rsidRDefault="00C24ADA" w:rsidP="001A37D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A9A">
        <w:rPr>
          <w:rFonts w:ascii="Times New Roman" w:eastAsia="Calibri" w:hAnsi="Times New Roman" w:cs="Times New Roman"/>
          <w:sz w:val="24"/>
          <w:szCs w:val="24"/>
        </w:rPr>
        <w:t>Примечание</w:t>
      </w:r>
      <w:r w:rsidR="003473B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B2A9A">
        <w:rPr>
          <w:rFonts w:ascii="Times New Roman" w:eastAsia="Calibri" w:hAnsi="Times New Roman" w:cs="Times New Roman"/>
          <w:sz w:val="24"/>
          <w:szCs w:val="24"/>
        </w:rPr>
        <w:t xml:space="preserve"> Приобрести</w:t>
      </w:r>
      <w:r w:rsidRPr="00C24ADA">
        <w:rPr>
          <w:rFonts w:ascii="Times New Roman" w:eastAsia="Calibri" w:hAnsi="Times New Roman" w:cs="Times New Roman"/>
          <w:sz w:val="24"/>
          <w:szCs w:val="24"/>
        </w:rPr>
        <w:t xml:space="preserve"> ртуть металлическую ГОСТ 4658-73 могут организации и предприятия, имеющие разрешительный документ </w:t>
      </w:r>
      <w:r>
        <w:rPr>
          <w:rFonts w:ascii="Times New Roman" w:eastAsia="Calibri" w:hAnsi="Times New Roman" w:cs="Times New Roman"/>
          <w:sz w:val="24"/>
          <w:szCs w:val="24"/>
        </w:rPr>
        <w:t>на работу с опасными веществами</w:t>
      </w:r>
      <w:r w:rsidRPr="00C24ADA">
        <w:rPr>
          <w:rFonts w:ascii="Times New Roman" w:eastAsia="Calibri" w:hAnsi="Times New Roman" w:cs="Times New Roman"/>
          <w:sz w:val="24"/>
          <w:szCs w:val="24"/>
        </w:rPr>
        <w:t>. Ртуть по степени воздействия на организм человека относится к 1-му классу опасности в соответствии с требованиями ГОСТ 12.1.005 Система стандартов безопасности труда. ОБЩИЕ САНИТАРНО-ГИГИЕНИЧЕСКИЕ ТРЕБОВАНИЯ К ВОЗДУХУ РАБОЧЕЙ ЗОНЫ и ГОСТ 12.1.007. Система стандартов безопасности труда. ВРЕДНЫЕ ВЕЩЕСТВА.</w:t>
      </w:r>
    </w:p>
    <w:p w:rsidR="000810BF" w:rsidRPr="002A73AA" w:rsidRDefault="002A73AA" w:rsidP="003473B5">
      <w:pPr>
        <w:keepNext/>
        <w:keepLines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A9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Методика</w:t>
      </w:r>
      <w:r w:rsidR="00D524E5" w:rsidRPr="00FB2A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B2A9A">
        <w:rPr>
          <w:rFonts w:ascii="Times New Roman" w:eastAsia="Calibri" w:hAnsi="Times New Roman" w:cs="Times New Roman"/>
          <w:sz w:val="28"/>
          <w:szCs w:val="28"/>
        </w:rPr>
        <w:t>Испытуемый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порошок необходимо предварительно высушить</w:t>
      </w:r>
      <w:r w:rsidR="00574821">
        <w:rPr>
          <w:rFonts w:ascii="Times New Roman" w:eastAsia="Calibri" w:hAnsi="Times New Roman" w:cs="Times New Roman"/>
          <w:sz w:val="28"/>
          <w:szCs w:val="28"/>
        </w:rPr>
        <w:t xml:space="preserve"> до постоянной массы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и просеять через соответствующее сито (например, № 125</w:t>
      </w:r>
      <w:r w:rsidR="00B54C02">
        <w:rPr>
          <w:rFonts w:ascii="Times New Roman" w:eastAsia="Calibri" w:hAnsi="Times New Roman" w:cs="Times New Roman"/>
          <w:sz w:val="28"/>
          <w:szCs w:val="28"/>
        </w:rPr>
        <w:t>,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ОФС</w:t>
      </w:r>
      <w:r w:rsidR="00234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3AA">
        <w:rPr>
          <w:rFonts w:ascii="Times New Roman" w:eastAsia="Calibri" w:hAnsi="Times New Roman" w:cs="Times New Roman"/>
          <w:sz w:val="28"/>
          <w:szCs w:val="28"/>
        </w:rPr>
        <w:t>«</w:t>
      </w:r>
      <w:r w:rsidR="005C5EAA">
        <w:rPr>
          <w:rFonts w:ascii="Times New Roman" w:eastAsia="Calibri" w:hAnsi="Times New Roman" w:cs="Times New Roman"/>
          <w:sz w:val="28"/>
          <w:szCs w:val="28"/>
        </w:rPr>
        <w:t>Сита</w:t>
      </w:r>
      <w:r w:rsidRPr="002A73AA">
        <w:rPr>
          <w:rFonts w:ascii="Times New Roman" w:eastAsia="Calibri" w:hAnsi="Times New Roman" w:cs="Times New Roman"/>
          <w:sz w:val="28"/>
          <w:szCs w:val="28"/>
        </w:rPr>
        <w:t>») для разрушения агломератов. Массу порошка (</w:t>
      </w:r>
      <w:r w:rsidRPr="00500136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2A73AA">
        <w:rPr>
          <w:rFonts w:ascii="Times New Roman" w:eastAsia="Calibri" w:hAnsi="Times New Roman" w:cs="Times New Roman"/>
          <w:sz w:val="28"/>
          <w:szCs w:val="28"/>
        </w:rPr>
        <w:t>), необходимую для выполнения испытания, рассчитывают по формуле:</w:t>
      </w: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509"/>
      </w:tblGrid>
      <w:tr w:rsidR="000810BF" w:rsidTr="002A0E7D">
        <w:tc>
          <w:tcPr>
            <w:tcW w:w="3082" w:type="dxa"/>
          </w:tcPr>
          <w:p w:rsidR="000810BF" w:rsidRDefault="000810BF" w:rsidP="002A73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810BF" w:rsidRDefault="000810BF" w:rsidP="000810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M=V·ρ·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1-ε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509" w:type="dxa"/>
          </w:tcPr>
          <w:p w:rsidR="000810BF" w:rsidRPr="000810BF" w:rsidRDefault="0072075A" w:rsidP="000810B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810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tbl>
      <w:tblPr>
        <w:tblW w:w="9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83"/>
        <w:gridCol w:w="8043"/>
      </w:tblGrid>
      <w:tr w:rsidR="000810BF" w:rsidRPr="00E04620" w:rsidTr="003473B5">
        <w:trPr>
          <w:cantSplit/>
        </w:trPr>
        <w:tc>
          <w:tcPr>
            <w:tcW w:w="709" w:type="dxa"/>
            <w:shd w:val="clear" w:color="auto" w:fill="auto"/>
          </w:tcPr>
          <w:p w:rsidR="001A37D9" w:rsidRDefault="000810BF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1A37D9" w:rsidRDefault="00845852" w:rsidP="001A37D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1A37D9" w:rsidRDefault="000810BF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  <w:shd w:val="clear" w:color="auto" w:fill="auto"/>
          </w:tcPr>
          <w:p w:rsidR="000810BF" w:rsidRPr="00845852" w:rsidRDefault="00845852" w:rsidP="003473B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насыпной объём уплотнё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нного слоя порошка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0810BF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845852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ρ</w:t>
            </w:r>
          </w:p>
        </w:tc>
        <w:tc>
          <w:tcPr>
            <w:tcW w:w="283" w:type="dxa"/>
          </w:tcPr>
          <w:p w:rsidR="001A37D9" w:rsidRDefault="000810BF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0810BF" w:rsidRPr="00E04620" w:rsidRDefault="00845852" w:rsidP="003473B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испытуемого вещества, г/мл;</w:t>
            </w:r>
          </w:p>
        </w:tc>
      </w:tr>
      <w:tr w:rsidR="000810BF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845852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ε</w:t>
            </w:r>
          </w:p>
        </w:tc>
        <w:tc>
          <w:tcPr>
            <w:tcW w:w="283" w:type="dxa"/>
          </w:tcPr>
          <w:p w:rsidR="001A37D9" w:rsidRDefault="000810BF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0810BF" w:rsidRPr="00E04620" w:rsidRDefault="008437CD" w:rsidP="003473B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пористость уплотнё</w:t>
            </w:r>
            <w:r w:rsidR="00845852"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нного слоя</w:t>
            </w:r>
            <w:r w:rsidR="008458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порошка.</w:t>
            </w:r>
          </w:p>
        </w:tc>
      </w:tr>
    </w:tbl>
    <w:p w:rsidR="000B527C" w:rsidRPr="002A73AA" w:rsidRDefault="002A73AA" w:rsidP="003473B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Изначально пористость принимают </w:t>
      </w:r>
      <w:r w:rsidR="00CB0933">
        <w:rPr>
          <w:rFonts w:ascii="Times New Roman" w:eastAsia="Calibri" w:hAnsi="Times New Roman" w:cs="Times New Roman"/>
          <w:sz w:val="28"/>
          <w:szCs w:val="28"/>
        </w:rPr>
        <w:t>равной 0,5 и учитывают при расчё</w:t>
      </w:r>
      <w:r w:rsidRPr="002A73AA">
        <w:rPr>
          <w:rFonts w:ascii="Times New Roman" w:eastAsia="Calibri" w:hAnsi="Times New Roman" w:cs="Times New Roman"/>
          <w:sz w:val="28"/>
          <w:szCs w:val="28"/>
        </w:rPr>
        <w:t>те массы (</w:t>
      </w:r>
      <w:r w:rsidRPr="005A35D1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2A73AA">
        <w:rPr>
          <w:rFonts w:ascii="Times New Roman" w:eastAsia="Calibri" w:hAnsi="Times New Roman" w:cs="Times New Roman"/>
          <w:sz w:val="28"/>
          <w:szCs w:val="28"/>
        </w:rPr>
        <w:t>) и</w:t>
      </w:r>
      <w:r w:rsidR="008B0031">
        <w:rPr>
          <w:rFonts w:ascii="Times New Roman" w:eastAsia="Calibri" w:hAnsi="Times New Roman" w:cs="Times New Roman"/>
          <w:sz w:val="28"/>
          <w:szCs w:val="28"/>
        </w:rPr>
        <w:t xml:space="preserve">спытуемого порошка по </w:t>
      </w:r>
      <w:r w:rsidR="008B0031" w:rsidRPr="00FB2A9A">
        <w:rPr>
          <w:rFonts w:ascii="Times New Roman" w:eastAsia="Calibri" w:hAnsi="Times New Roman" w:cs="Times New Roman"/>
          <w:sz w:val="28"/>
          <w:szCs w:val="28"/>
        </w:rPr>
        <w:t>формуле 3</w:t>
      </w:r>
      <w:r w:rsidRPr="00FB2A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3AA" w:rsidRPr="002A73AA" w:rsidRDefault="002A73AA" w:rsidP="002A73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>Диск из фильтровальной бумаги помещают поверх перфорированного металлического диска (Б). Взвешивают необходимое количество испытуемого порошка (</w:t>
      </w:r>
      <w:r w:rsidRPr="00CD7493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2A73AA">
        <w:rPr>
          <w:rFonts w:ascii="Times New Roman" w:eastAsia="Calibri" w:hAnsi="Times New Roman" w:cs="Times New Roman"/>
          <w:sz w:val="28"/>
          <w:szCs w:val="28"/>
        </w:rPr>
        <w:t>) с точностью до 1 мг. Аккуратно помещают порошок в чисту</w:t>
      </w:r>
      <w:r w:rsidR="00C77C10">
        <w:rPr>
          <w:rFonts w:ascii="Times New Roman" w:eastAsia="Calibri" w:hAnsi="Times New Roman" w:cs="Times New Roman"/>
          <w:sz w:val="28"/>
          <w:szCs w:val="28"/>
        </w:rPr>
        <w:t>ю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взвешенную пропускную камеру, осторожно заполняют камеру, постукивая по ней при необходимости так, чтобы поверхность слоя порошка была ровной, накрывают слой порошка вторым диском из фильтровальной бумаги. Медленно уплотняют порошок с помощью поршня, избегая вращательных движений. Надавливают на поршень до тех пор, пока он полностью не погрузится в пропускную камеру. Если это невозможно, следует уменьшить количество порошка, взятого для испытания. Если, напротив, сопротивление недостаточное, следует увеличить количество порошка. В этом случае</w:t>
      </w:r>
      <w:r w:rsidR="00B65103">
        <w:rPr>
          <w:rFonts w:ascii="Times New Roman" w:eastAsia="Calibri" w:hAnsi="Times New Roman" w:cs="Times New Roman"/>
          <w:sz w:val="28"/>
          <w:szCs w:val="28"/>
        </w:rPr>
        <w:t xml:space="preserve"> пористость нужно рассчитать ещё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раз. Через 10 с поршень удаляют.</w:t>
      </w:r>
    </w:p>
    <w:p w:rsidR="002A73AA" w:rsidRPr="002A73AA" w:rsidRDefault="002A73AA" w:rsidP="002A73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Пропускную камеру соединяют с манометром через герметичный патрубок. Удаляют из манометра воздух с помощью резиновой груши до тех пор, пока уровень окрашенной жидкости не достигнет уровня самой высокой отметки. Перекрывают кран и проверяют герметичность прибора, закрыв конец камеры, например, резиновой пробкой. Удаляют пробку и с помощью </w:t>
      </w:r>
      <w:r w:rsidRPr="002A73AA">
        <w:rPr>
          <w:rFonts w:ascii="Times New Roman" w:eastAsia="Calibri" w:hAnsi="Times New Roman" w:cs="Times New Roman"/>
          <w:sz w:val="28"/>
          <w:szCs w:val="28"/>
        </w:rPr>
        <w:lastRenderedPageBreak/>
        <w:t>таймера замеряют время, необходимое для того, чтобы столбик жидкости упал со второй до третьей отметки.</w:t>
      </w:r>
    </w:p>
    <w:p w:rsidR="002A73AA" w:rsidRDefault="002A73AA" w:rsidP="002A73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3AA">
        <w:rPr>
          <w:rFonts w:ascii="Times New Roman" w:eastAsia="Calibri" w:hAnsi="Times New Roman" w:cs="Times New Roman"/>
          <w:sz w:val="28"/>
          <w:szCs w:val="28"/>
        </w:rPr>
        <w:t>Используя измеренное время потока</w:t>
      </w:r>
      <w:r w:rsidR="00452343">
        <w:rPr>
          <w:rFonts w:ascii="Times New Roman" w:eastAsia="Calibri" w:hAnsi="Times New Roman" w:cs="Times New Roman"/>
          <w:sz w:val="28"/>
          <w:szCs w:val="28"/>
        </w:rPr>
        <w:t>,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рассчитывают удельную площадь поверхности (</w:t>
      </w:r>
      <w:r w:rsidRPr="00452343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2A73AA">
        <w:rPr>
          <w:rFonts w:ascii="Times New Roman" w:eastAsia="Calibri" w:hAnsi="Times New Roman" w:cs="Times New Roman"/>
          <w:sz w:val="28"/>
          <w:szCs w:val="28"/>
        </w:rPr>
        <w:t>) в м</w:t>
      </w:r>
      <w:r w:rsidRPr="002A73A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6D4201">
        <w:rPr>
          <w:rFonts w:ascii="Times New Roman" w:eastAsia="Calibri" w:hAnsi="Times New Roman" w:cs="Times New Roman"/>
          <w:sz w:val="28"/>
          <w:szCs w:val="28"/>
        </w:rPr>
        <w:t>/г</w:t>
      </w:r>
      <w:r w:rsidRPr="002A73AA"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tbl>
      <w:tblPr>
        <w:tblStyle w:val="a9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509"/>
      </w:tblGrid>
      <w:tr w:rsidR="0065056C" w:rsidTr="002A0E7D">
        <w:tc>
          <w:tcPr>
            <w:tcW w:w="3082" w:type="dxa"/>
          </w:tcPr>
          <w:p w:rsidR="0065056C" w:rsidRDefault="0065056C" w:rsidP="002A73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A37D9" w:rsidRDefault="0065056C" w:rsidP="001A37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S=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K·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ε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·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ρ·(1-ε)·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η</m:t>
                        </m:r>
                      </m:e>
                    </m:rad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509" w:type="dxa"/>
          </w:tcPr>
          <w:p w:rsidR="0065056C" w:rsidRDefault="0072075A" w:rsidP="0065056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</w:t>
            </w:r>
            <w:r w:rsidR="0065056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W w:w="97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83"/>
        <w:gridCol w:w="8043"/>
      </w:tblGrid>
      <w:tr w:rsidR="00D55830" w:rsidRPr="00845852" w:rsidTr="003473B5">
        <w:trPr>
          <w:cantSplit/>
        </w:trPr>
        <w:tc>
          <w:tcPr>
            <w:tcW w:w="709" w:type="dxa"/>
            <w:shd w:val="clear" w:color="auto" w:fill="auto"/>
          </w:tcPr>
          <w:p w:rsidR="001A37D9" w:rsidRDefault="00D55830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1A37D9" w:rsidRDefault="00D55830" w:rsidP="001A37D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  <w:lang w:val="en-US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t</w:t>
            </w:r>
          </w:p>
        </w:tc>
        <w:tc>
          <w:tcPr>
            <w:tcW w:w="283" w:type="dxa"/>
            <w:shd w:val="clear" w:color="auto" w:fill="auto"/>
          </w:tcPr>
          <w:p w:rsidR="001A37D9" w:rsidRDefault="00D55830" w:rsidP="001A37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8043" w:type="dxa"/>
            <w:shd w:val="clear" w:color="auto" w:fill="auto"/>
          </w:tcPr>
          <w:p w:rsidR="00D55830" w:rsidRPr="00845852" w:rsidRDefault="00D55830" w:rsidP="002A0E7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необходимое для опускания столбика жидкости со второй до третьей метки, с;</w:t>
            </w:r>
          </w:p>
        </w:tc>
      </w:tr>
      <w:tr w:rsidR="00D55830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D55830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η</w:t>
            </w:r>
          </w:p>
        </w:tc>
        <w:tc>
          <w:tcPr>
            <w:tcW w:w="283" w:type="dxa"/>
          </w:tcPr>
          <w:p w:rsidR="001A37D9" w:rsidRDefault="00D55830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D55830" w:rsidRPr="00E04620" w:rsidRDefault="00D55830" w:rsidP="002A0E7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динамическая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вязкость воздуха, мПа·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(таблица</w:t>
            </w:r>
            <w:r w:rsidR="005C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:rsidR="00D55830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D55830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K</w:t>
            </w:r>
          </w:p>
        </w:tc>
        <w:tc>
          <w:tcPr>
            <w:tcW w:w="283" w:type="dxa"/>
          </w:tcPr>
          <w:p w:rsidR="001A37D9" w:rsidRDefault="00D55830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D55830" w:rsidRPr="00E04620" w:rsidRDefault="00D55830" w:rsidP="002A0E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константа прибора, кото</w:t>
            </w:r>
            <w:r w:rsidR="008B0031">
              <w:rPr>
                <w:rFonts w:ascii="Times New Roman" w:eastAsia="Calibri" w:hAnsi="Times New Roman" w:cs="Times New Roman"/>
                <w:sz w:val="28"/>
                <w:szCs w:val="28"/>
              </w:rPr>
              <w:t>рая рассчитывается по формуле (2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  <w:tr w:rsidR="006C03DC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6C03DC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ρ</w:t>
            </w:r>
          </w:p>
        </w:tc>
        <w:tc>
          <w:tcPr>
            <w:tcW w:w="283" w:type="dxa"/>
          </w:tcPr>
          <w:p w:rsidR="001A37D9" w:rsidRDefault="006C03DC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6C03DC" w:rsidRPr="00E04620" w:rsidRDefault="006C03DC" w:rsidP="002A0E7D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плотность испытуемого вещества, г/мл;</w:t>
            </w:r>
          </w:p>
        </w:tc>
      </w:tr>
      <w:tr w:rsidR="006C03DC" w:rsidRPr="00E04620" w:rsidTr="003473B5">
        <w:trPr>
          <w:cantSplit/>
        </w:trPr>
        <w:tc>
          <w:tcPr>
            <w:tcW w:w="709" w:type="dxa"/>
          </w:tcPr>
          <w:p w:rsidR="001A37D9" w:rsidRDefault="001A37D9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A37D9" w:rsidRDefault="006C03DC" w:rsidP="001A37D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 w:cs="Times New Roman"/>
                <w:sz w:val="28"/>
                <w:vertAlign w:val="subscript"/>
              </w:rPr>
            </w:pPr>
            <w:r>
              <w:rPr>
                <w:rFonts w:ascii="Cambria Math" w:hAnsi="Cambria Math" w:cs="Times New Roman"/>
                <w:i/>
                <w:sz w:val="28"/>
                <w:lang w:val="en-US"/>
              </w:rPr>
              <w:t>ε</w:t>
            </w:r>
          </w:p>
        </w:tc>
        <w:tc>
          <w:tcPr>
            <w:tcW w:w="283" w:type="dxa"/>
          </w:tcPr>
          <w:p w:rsidR="001A37D9" w:rsidRDefault="006C03DC" w:rsidP="001A37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8043" w:type="dxa"/>
          </w:tcPr>
          <w:p w:rsidR="006C03DC" w:rsidRPr="00E04620" w:rsidRDefault="006C03DC" w:rsidP="002A0E7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пористость уплотнё</w:t>
            </w:r>
            <w:r w:rsidRPr="002A73AA">
              <w:rPr>
                <w:rFonts w:ascii="Times New Roman" w:eastAsia="Calibri" w:hAnsi="Times New Roman" w:cs="Times New Roman"/>
                <w:sz w:val="28"/>
                <w:szCs w:val="28"/>
              </w:rPr>
              <w:t>нного слоя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порошка.</w:t>
            </w:r>
          </w:p>
        </w:tc>
      </w:tr>
    </w:tbl>
    <w:p w:rsidR="00364CF2" w:rsidRPr="00686A84" w:rsidRDefault="00364CF2" w:rsidP="00EF5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CF2" w:rsidRPr="00686A84" w:rsidSect="00CB4480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B5" w:rsidRDefault="003473B5" w:rsidP="00686A84">
      <w:pPr>
        <w:spacing w:after="0" w:line="240" w:lineRule="auto"/>
      </w:pPr>
      <w:r>
        <w:separator/>
      </w:r>
    </w:p>
  </w:endnote>
  <w:endnote w:type="continuationSeparator" w:id="0">
    <w:p w:rsidR="003473B5" w:rsidRDefault="003473B5" w:rsidP="0068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9800"/>
      <w:docPartObj>
        <w:docPartGallery w:val="Page Numbers (Bottom of Page)"/>
        <w:docPartUnique/>
      </w:docPartObj>
    </w:sdtPr>
    <w:sdtEndPr/>
    <w:sdtContent>
      <w:p w:rsidR="003473B5" w:rsidRDefault="00196935">
        <w:pPr>
          <w:pStyle w:val="a5"/>
          <w:jc w:val="center"/>
        </w:pPr>
        <w:r w:rsidRPr="00FC11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73B5" w:rsidRPr="00FC116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11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51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11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B5" w:rsidRDefault="003473B5" w:rsidP="00686A84">
      <w:pPr>
        <w:spacing w:after="0" w:line="240" w:lineRule="auto"/>
      </w:pPr>
      <w:r>
        <w:separator/>
      </w:r>
    </w:p>
  </w:footnote>
  <w:footnote w:type="continuationSeparator" w:id="0">
    <w:p w:rsidR="003473B5" w:rsidRDefault="003473B5" w:rsidP="00686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A84"/>
    <w:rsid w:val="00010F12"/>
    <w:rsid w:val="00015F9A"/>
    <w:rsid w:val="0003748C"/>
    <w:rsid w:val="00056DD0"/>
    <w:rsid w:val="000734DE"/>
    <w:rsid w:val="0007792B"/>
    <w:rsid w:val="000810BF"/>
    <w:rsid w:val="00093030"/>
    <w:rsid w:val="000A721B"/>
    <w:rsid w:val="000B527C"/>
    <w:rsid w:val="000F21C6"/>
    <w:rsid w:val="00130AA1"/>
    <w:rsid w:val="0015529B"/>
    <w:rsid w:val="00196935"/>
    <w:rsid w:val="001A37D9"/>
    <w:rsid w:val="001D27A8"/>
    <w:rsid w:val="001E10DF"/>
    <w:rsid w:val="002010EC"/>
    <w:rsid w:val="002339DF"/>
    <w:rsid w:val="002348F7"/>
    <w:rsid w:val="0024682D"/>
    <w:rsid w:val="00247B4F"/>
    <w:rsid w:val="00273A65"/>
    <w:rsid w:val="002A0E7D"/>
    <w:rsid w:val="002A4884"/>
    <w:rsid w:val="002A73AA"/>
    <w:rsid w:val="002E43B0"/>
    <w:rsid w:val="00313A29"/>
    <w:rsid w:val="00316AC3"/>
    <w:rsid w:val="00317CCF"/>
    <w:rsid w:val="003473B5"/>
    <w:rsid w:val="003602A0"/>
    <w:rsid w:val="00361ED5"/>
    <w:rsid w:val="00364CF2"/>
    <w:rsid w:val="003A7218"/>
    <w:rsid w:val="003E5F19"/>
    <w:rsid w:val="003F3289"/>
    <w:rsid w:val="003F4040"/>
    <w:rsid w:val="00437F1B"/>
    <w:rsid w:val="00452343"/>
    <w:rsid w:val="00460334"/>
    <w:rsid w:val="00492FA9"/>
    <w:rsid w:val="004A053A"/>
    <w:rsid w:val="004B0DBC"/>
    <w:rsid w:val="004B1CAC"/>
    <w:rsid w:val="004C0DC6"/>
    <w:rsid w:val="004C2DFB"/>
    <w:rsid w:val="00500136"/>
    <w:rsid w:val="00520FC4"/>
    <w:rsid w:val="0052369B"/>
    <w:rsid w:val="005414EA"/>
    <w:rsid w:val="00547D2C"/>
    <w:rsid w:val="005566DD"/>
    <w:rsid w:val="00574821"/>
    <w:rsid w:val="005A35D1"/>
    <w:rsid w:val="005C37E2"/>
    <w:rsid w:val="005C5EAA"/>
    <w:rsid w:val="005E415E"/>
    <w:rsid w:val="00602C09"/>
    <w:rsid w:val="006240DA"/>
    <w:rsid w:val="00637983"/>
    <w:rsid w:val="0064629F"/>
    <w:rsid w:val="0065056C"/>
    <w:rsid w:val="006602EC"/>
    <w:rsid w:val="00673997"/>
    <w:rsid w:val="00675AFE"/>
    <w:rsid w:val="0068217B"/>
    <w:rsid w:val="00686A84"/>
    <w:rsid w:val="0069100C"/>
    <w:rsid w:val="006927FC"/>
    <w:rsid w:val="006C03DC"/>
    <w:rsid w:val="006D4201"/>
    <w:rsid w:val="006E30CD"/>
    <w:rsid w:val="006F6426"/>
    <w:rsid w:val="0072075A"/>
    <w:rsid w:val="00735102"/>
    <w:rsid w:val="0073695A"/>
    <w:rsid w:val="0078711D"/>
    <w:rsid w:val="007A17BB"/>
    <w:rsid w:val="007A2C77"/>
    <w:rsid w:val="007A6FD8"/>
    <w:rsid w:val="007C2284"/>
    <w:rsid w:val="007D7861"/>
    <w:rsid w:val="007E2365"/>
    <w:rsid w:val="00800E0A"/>
    <w:rsid w:val="00820003"/>
    <w:rsid w:val="0082335B"/>
    <w:rsid w:val="008437CD"/>
    <w:rsid w:val="00845852"/>
    <w:rsid w:val="00850342"/>
    <w:rsid w:val="0087434B"/>
    <w:rsid w:val="008A0B0E"/>
    <w:rsid w:val="008B0031"/>
    <w:rsid w:val="00900C8E"/>
    <w:rsid w:val="00902D09"/>
    <w:rsid w:val="0090619D"/>
    <w:rsid w:val="009137A7"/>
    <w:rsid w:val="0091734F"/>
    <w:rsid w:val="00951C23"/>
    <w:rsid w:val="00955C9A"/>
    <w:rsid w:val="00973836"/>
    <w:rsid w:val="009B2E11"/>
    <w:rsid w:val="009C34D1"/>
    <w:rsid w:val="009C4B4D"/>
    <w:rsid w:val="009C4FF2"/>
    <w:rsid w:val="00A04486"/>
    <w:rsid w:val="00A22A7B"/>
    <w:rsid w:val="00A2302C"/>
    <w:rsid w:val="00A42747"/>
    <w:rsid w:val="00A437FA"/>
    <w:rsid w:val="00A472C1"/>
    <w:rsid w:val="00A63AC9"/>
    <w:rsid w:val="00A804AC"/>
    <w:rsid w:val="00AA645C"/>
    <w:rsid w:val="00B00022"/>
    <w:rsid w:val="00B54C02"/>
    <w:rsid w:val="00B6437C"/>
    <w:rsid w:val="00B65103"/>
    <w:rsid w:val="00B9288C"/>
    <w:rsid w:val="00B95B83"/>
    <w:rsid w:val="00BD3B30"/>
    <w:rsid w:val="00BE1D6E"/>
    <w:rsid w:val="00C00F5F"/>
    <w:rsid w:val="00C24ADA"/>
    <w:rsid w:val="00C6453A"/>
    <w:rsid w:val="00C75CC6"/>
    <w:rsid w:val="00C77C10"/>
    <w:rsid w:val="00CA103C"/>
    <w:rsid w:val="00CA1D7C"/>
    <w:rsid w:val="00CB0933"/>
    <w:rsid w:val="00CB4480"/>
    <w:rsid w:val="00CD7493"/>
    <w:rsid w:val="00CF6346"/>
    <w:rsid w:val="00CF6943"/>
    <w:rsid w:val="00CF6FC6"/>
    <w:rsid w:val="00D042DF"/>
    <w:rsid w:val="00D1617E"/>
    <w:rsid w:val="00D47011"/>
    <w:rsid w:val="00D524E5"/>
    <w:rsid w:val="00D55830"/>
    <w:rsid w:val="00D56186"/>
    <w:rsid w:val="00D650C4"/>
    <w:rsid w:val="00D80C03"/>
    <w:rsid w:val="00DA3D93"/>
    <w:rsid w:val="00DF5AC6"/>
    <w:rsid w:val="00E02617"/>
    <w:rsid w:val="00E31F83"/>
    <w:rsid w:val="00E62D19"/>
    <w:rsid w:val="00E72327"/>
    <w:rsid w:val="00E86489"/>
    <w:rsid w:val="00EF58CC"/>
    <w:rsid w:val="00F017E9"/>
    <w:rsid w:val="00F05673"/>
    <w:rsid w:val="00F1397A"/>
    <w:rsid w:val="00F2553E"/>
    <w:rsid w:val="00F271FE"/>
    <w:rsid w:val="00F273B4"/>
    <w:rsid w:val="00FB2A9A"/>
    <w:rsid w:val="00FC116C"/>
    <w:rsid w:val="00FD0DAA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8522DA-6685-4497-B575-946FA49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A84"/>
  </w:style>
  <w:style w:type="paragraph" w:styleId="a5">
    <w:name w:val="footer"/>
    <w:basedOn w:val="a"/>
    <w:link w:val="a6"/>
    <w:uiPriority w:val="99"/>
    <w:unhideWhenUsed/>
    <w:rsid w:val="0068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A84"/>
  </w:style>
  <w:style w:type="paragraph" w:styleId="a7">
    <w:name w:val="Balloon Text"/>
    <w:basedOn w:val="a"/>
    <w:link w:val="a8"/>
    <w:uiPriority w:val="99"/>
    <w:semiHidden/>
    <w:unhideWhenUsed/>
    <w:rsid w:val="002A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3A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1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081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BD0E-1A3A-47ED-8BF3-E0DBDA2F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131</cp:revision>
  <dcterms:created xsi:type="dcterms:W3CDTF">2022-03-16T11:58:00Z</dcterms:created>
  <dcterms:modified xsi:type="dcterms:W3CDTF">2023-07-12T06:33:00Z</dcterms:modified>
</cp:coreProperties>
</file>