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220301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514302" w:rsidRDefault="00514302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220301" w:rsidRPr="00743D21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283"/>
        <w:gridCol w:w="3793"/>
      </w:tblGrid>
      <w:tr w:rsidR="00341DC8" w:rsidRPr="00C64DC5" w:rsidTr="00514302">
        <w:tc>
          <w:tcPr>
            <w:tcW w:w="5495" w:type="dxa"/>
          </w:tcPr>
          <w:p w:rsidR="00341DC8" w:rsidRPr="00C64DC5" w:rsidRDefault="008A5355" w:rsidP="00BB63E7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Определение содержания </w:t>
            </w:r>
            <w:r w:rsidRPr="0016148A">
              <w:rPr>
                <w:rFonts w:ascii="Times New Roman" w:hAnsi="Times New Roman"/>
                <w:b/>
                <w:sz w:val="28"/>
                <w:szCs w:val="28"/>
              </w:rPr>
              <w:t>жирных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B63E7" w:rsidRPr="0016148A">
              <w:rPr>
                <w:rFonts w:ascii="Times New Roman" w:hAnsi="Times New Roman"/>
                <w:b/>
                <w:sz w:val="28"/>
                <w:szCs w:val="28"/>
              </w:rPr>
              <w:t>масел</w:t>
            </w:r>
            <w:r w:rsidR="00BB63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лекарственном растительном сырье и лекарственных </w:t>
            </w:r>
            <w:r w:rsidRPr="0056088D">
              <w:rPr>
                <w:rFonts w:ascii="Times New Roman" w:hAnsi="Times New Roman"/>
                <w:b/>
                <w:sz w:val="28"/>
                <w:szCs w:val="28"/>
              </w:rPr>
              <w:t>средствах растительного происхождения</w:t>
            </w:r>
          </w:p>
        </w:tc>
        <w:tc>
          <w:tcPr>
            <w:tcW w:w="283" w:type="dxa"/>
          </w:tcPr>
          <w:p w:rsidR="00341DC8" w:rsidRPr="00C64DC5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C64DC5" w:rsidRDefault="00341DC8" w:rsidP="00341DC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805E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.1.5.3.0014</w:t>
            </w:r>
          </w:p>
        </w:tc>
      </w:tr>
      <w:tr w:rsidR="00434FC4" w:rsidRPr="00836D9A" w:rsidTr="00514302">
        <w:tc>
          <w:tcPr>
            <w:tcW w:w="5495" w:type="dxa"/>
          </w:tcPr>
          <w:p w:rsidR="00434FC4" w:rsidRPr="00836D9A" w:rsidRDefault="00434FC4" w:rsidP="008A5355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434FC4" w:rsidRPr="00836D9A" w:rsidRDefault="00434FC4" w:rsidP="009736E0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34FC4" w:rsidRPr="008A5355" w:rsidRDefault="008A5355" w:rsidP="008A5355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Вводится впервые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B65ECE" w:rsidRDefault="00B65ECE" w:rsidP="00341DC8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E97FCF" w:rsidRDefault="00E97FCF" w:rsidP="009B18BC">
      <w:pPr>
        <w:spacing w:after="0" w:line="360" w:lineRule="auto"/>
        <w:ind w:firstLine="709"/>
        <w:rPr>
          <w:rFonts w:ascii="Times New Roman" w:hAnsi="Times New Roman"/>
          <w:color w:val="7030A0"/>
          <w:sz w:val="28"/>
          <w:szCs w:val="28"/>
        </w:rPr>
      </w:pPr>
    </w:p>
    <w:p w:rsidR="008A5355" w:rsidRPr="0056088D" w:rsidRDefault="008A5355" w:rsidP="008A5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88D">
        <w:rPr>
          <w:rFonts w:ascii="Times New Roman" w:hAnsi="Times New Roman"/>
          <w:sz w:val="28"/>
          <w:szCs w:val="28"/>
        </w:rPr>
        <w:t xml:space="preserve">Настоящая общая фармакопейная статья </w:t>
      </w:r>
      <w:r>
        <w:rPr>
          <w:rFonts w:ascii="Times New Roman" w:hAnsi="Times New Roman"/>
          <w:sz w:val="28"/>
          <w:szCs w:val="28"/>
        </w:rPr>
        <w:t xml:space="preserve">предназначена для </w:t>
      </w:r>
      <w:r w:rsidRPr="0056088D">
        <w:rPr>
          <w:rFonts w:ascii="Times New Roman" w:hAnsi="Times New Roman"/>
          <w:sz w:val="28"/>
          <w:szCs w:val="28"/>
        </w:rPr>
        <w:t xml:space="preserve">определения </w:t>
      </w:r>
      <w:r>
        <w:rPr>
          <w:rFonts w:ascii="Times New Roman" w:hAnsi="Times New Roman"/>
          <w:sz w:val="28"/>
          <w:szCs w:val="28"/>
        </w:rPr>
        <w:t xml:space="preserve">содержания </w:t>
      </w:r>
      <w:r w:rsidRPr="0056088D">
        <w:rPr>
          <w:rFonts w:ascii="Times New Roman" w:hAnsi="Times New Roman"/>
          <w:sz w:val="28"/>
          <w:szCs w:val="28"/>
        </w:rPr>
        <w:t>жирных масел (липидов)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088D">
        <w:rPr>
          <w:rFonts w:ascii="Times New Roman" w:hAnsi="Times New Roman"/>
          <w:sz w:val="28"/>
          <w:szCs w:val="28"/>
        </w:rPr>
        <w:t>Испытание позволяет</w:t>
      </w:r>
      <w:r>
        <w:rPr>
          <w:rFonts w:ascii="Times New Roman" w:hAnsi="Times New Roman"/>
          <w:sz w:val="28"/>
          <w:szCs w:val="28"/>
        </w:rPr>
        <w:t xml:space="preserve"> выделить и</w:t>
      </w:r>
      <w:r w:rsidRPr="0056088D">
        <w:rPr>
          <w:rFonts w:ascii="Times New Roman" w:hAnsi="Times New Roman"/>
          <w:sz w:val="28"/>
          <w:szCs w:val="28"/>
        </w:rPr>
        <w:t xml:space="preserve"> количественно определить содерж</w:t>
      </w:r>
      <w:bookmarkStart w:id="0" w:name="_GoBack"/>
      <w:bookmarkEnd w:id="0"/>
      <w:r w:rsidRPr="0056088D">
        <w:rPr>
          <w:rFonts w:ascii="Times New Roman" w:hAnsi="Times New Roman"/>
          <w:sz w:val="28"/>
          <w:szCs w:val="28"/>
        </w:rPr>
        <w:t>ание жирных масел (липидов) в лекарственном растительном сырье и лекарственных средствах растительного происхождения, в том числе, и лекарственных растительных препаратах.</w:t>
      </w:r>
    </w:p>
    <w:p w:rsidR="008A5355" w:rsidRDefault="008A5355" w:rsidP="008A5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7BF">
        <w:rPr>
          <w:rFonts w:ascii="Times New Roman" w:hAnsi="Times New Roman"/>
          <w:sz w:val="28"/>
          <w:szCs w:val="28"/>
        </w:rPr>
        <w:t xml:space="preserve">Определение содержания жирного масла </w:t>
      </w:r>
      <w:r>
        <w:rPr>
          <w:rFonts w:ascii="Times New Roman" w:hAnsi="Times New Roman"/>
          <w:sz w:val="28"/>
          <w:szCs w:val="28"/>
        </w:rPr>
        <w:t>(липидов)</w:t>
      </w:r>
      <w:r w:rsidRPr="001F57BF">
        <w:rPr>
          <w:rFonts w:ascii="Times New Roman" w:hAnsi="Times New Roman"/>
          <w:sz w:val="28"/>
          <w:szCs w:val="28"/>
        </w:rPr>
        <w:t xml:space="preserve"> проводят пут</w:t>
      </w:r>
      <w:r>
        <w:rPr>
          <w:rFonts w:ascii="Times New Roman" w:hAnsi="Times New Roman"/>
          <w:sz w:val="28"/>
          <w:szCs w:val="28"/>
        </w:rPr>
        <w:t>ё</w:t>
      </w:r>
      <w:r w:rsidRPr="001F57BF">
        <w:rPr>
          <w:rFonts w:ascii="Times New Roman" w:hAnsi="Times New Roman"/>
          <w:sz w:val="28"/>
          <w:szCs w:val="28"/>
        </w:rPr>
        <w:t>м его экстракции с помощью неполярного(</w:t>
      </w:r>
      <w:proofErr w:type="spellStart"/>
      <w:r w:rsidRPr="001F57BF">
        <w:rPr>
          <w:rFonts w:ascii="Times New Roman" w:hAnsi="Times New Roman"/>
          <w:sz w:val="28"/>
          <w:szCs w:val="28"/>
        </w:rPr>
        <w:t>ых</w:t>
      </w:r>
      <w:proofErr w:type="spellEnd"/>
      <w:r w:rsidRPr="001F57BF">
        <w:rPr>
          <w:rFonts w:ascii="Times New Roman" w:hAnsi="Times New Roman"/>
          <w:sz w:val="28"/>
          <w:szCs w:val="28"/>
        </w:rPr>
        <w:t>) органического(их) растворителя(ей), с последующим гравиметрическим определением.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D32">
        <w:rPr>
          <w:rFonts w:ascii="Times New Roman" w:hAnsi="Times New Roman"/>
          <w:sz w:val="28"/>
          <w:szCs w:val="28"/>
        </w:rPr>
        <w:t xml:space="preserve">Навеска сырья или препарата, его </w:t>
      </w:r>
      <w:proofErr w:type="spellStart"/>
      <w:r w:rsidRPr="00883D32">
        <w:rPr>
          <w:rFonts w:ascii="Times New Roman" w:hAnsi="Times New Roman"/>
          <w:sz w:val="28"/>
          <w:szCs w:val="28"/>
        </w:rPr>
        <w:t>измельч</w:t>
      </w:r>
      <w:r>
        <w:rPr>
          <w:rFonts w:ascii="Times New Roman" w:hAnsi="Times New Roman"/>
          <w:sz w:val="28"/>
          <w:szCs w:val="28"/>
        </w:rPr>
        <w:t>ё</w:t>
      </w:r>
      <w:r w:rsidRPr="00883D32">
        <w:rPr>
          <w:rFonts w:ascii="Times New Roman" w:hAnsi="Times New Roman"/>
          <w:sz w:val="28"/>
          <w:szCs w:val="28"/>
        </w:rPr>
        <w:t>нность</w:t>
      </w:r>
      <w:proofErr w:type="spellEnd"/>
      <w:r w:rsidRPr="00883D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D32">
        <w:rPr>
          <w:rFonts w:ascii="Times New Roman" w:hAnsi="Times New Roman"/>
          <w:sz w:val="28"/>
          <w:szCs w:val="28"/>
        </w:rPr>
        <w:t>экстрагент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петролейный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эфир, хлороформ, эфир </w:t>
      </w:r>
      <w:proofErr w:type="spellStart"/>
      <w:r>
        <w:rPr>
          <w:rFonts w:ascii="Times New Roman" w:hAnsi="Times New Roman"/>
          <w:sz w:val="28"/>
          <w:szCs w:val="28"/>
        </w:rPr>
        <w:t>диэтиловый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другой неполярный органический растворитель или их смесь) </w:t>
      </w:r>
      <w:r w:rsidRPr="00883D32">
        <w:rPr>
          <w:rFonts w:ascii="Times New Roman" w:hAnsi="Times New Roman"/>
          <w:sz w:val="28"/>
          <w:szCs w:val="28"/>
        </w:rPr>
        <w:t>и его объ</w:t>
      </w:r>
      <w:r>
        <w:rPr>
          <w:rFonts w:ascii="Times New Roman" w:hAnsi="Times New Roman"/>
          <w:sz w:val="28"/>
          <w:szCs w:val="28"/>
        </w:rPr>
        <w:t>ё</w:t>
      </w:r>
      <w:r w:rsidRPr="00883D32">
        <w:rPr>
          <w:rFonts w:ascii="Times New Roman" w:hAnsi="Times New Roman"/>
          <w:sz w:val="28"/>
          <w:szCs w:val="28"/>
        </w:rPr>
        <w:t>м или его отношение к объ</w:t>
      </w:r>
      <w:r>
        <w:rPr>
          <w:rFonts w:ascii="Times New Roman" w:hAnsi="Times New Roman"/>
          <w:sz w:val="28"/>
          <w:szCs w:val="28"/>
        </w:rPr>
        <w:t>ё</w:t>
      </w:r>
      <w:r w:rsidRPr="00883D32">
        <w:rPr>
          <w:rFonts w:ascii="Times New Roman" w:hAnsi="Times New Roman"/>
          <w:sz w:val="28"/>
          <w:szCs w:val="28"/>
        </w:rPr>
        <w:t xml:space="preserve">му экстрактора в аппарате </w:t>
      </w:r>
      <w:proofErr w:type="spellStart"/>
      <w:r w:rsidRPr="00883D32">
        <w:rPr>
          <w:rFonts w:ascii="Times New Roman" w:hAnsi="Times New Roman"/>
          <w:sz w:val="28"/>
          <w:szCs w:val="28"/>
        </w:rPr>
        <w:t>Сокслета</w:t>
      </w:r>
      <w:proofErr w:type="spellEnd"/>
      <w:r>
        <w:rPr>
          <w:rFonts w:ascii="Times New Roman" w:hAnsi="Times New Roman"/>
          <w:sz w:val="28"/>
          <w:szCs w:val="28"/>
        </w:rPr>
        <w:t xml:space="preserve"> (как правило, равный 2 объёмам экстрактора)</w:t>
      </w:r>
      <w:r w:rsidRPr="00883D32">
        <w:rPr>
          <w:rFonts w:ascii="Times New Roman" w:hAnsi="Times New Roman"/>
          <w:sz w:val="28"/>
          <w:szCs w:val="28"/>
        </w:rPr>
        <w:t>, время перегонки</w:t>
      </w:r>
      <w:r>
        <w:rPr>
          <w:rFonts w:ascii="Times New Roman" w:hAnsi="Times New Roman"/>
          <w:sz w:val="28"/>
          <w:szCs w:val="28"/>
        </w:rPr>
        <w:t>, температура водяной бан</w:t>
      </w:r>
      <w:r w:rsidRPr="00A3584B">
        <w:rPr>
          <w:rFonts w:ascii="Times New Roman" w:hAnsi="Times New Roman"/>
          <w:sz w:val="28"/>
          <w:szCs w:val="28"/>
        </w:rPr>
        <w:t>и</w:t>
      </w:r>
      <w:r w:rsidRPr="00883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сушильного шкафа </w:t>
      </w:r>
      <w:r w:rsidRPr="00883D32">
        <w:rPr>
          <w:rFonts w:ascii="Times New Roman" w:hAnsi="Times New Roman"/>
          <w:sz w:val="28"/>
          <w:szCs w:val="28"/>
        </w:rPr>
        <w:t>должны быть указаны в соответствующей фармакопейной статье на лекарственное растительное сырь</w:t>
      </w:r>
      <w:r>
        <w:rPr>
          <w:rFonts w:ascii="Times New Roman" w:hAnsi="Times New Roman"/>
          <w:sz w:val="28"/>
          <w:szCs w:val="28"/>
        </w:rPr>
        <w:t>ё</w:t>
      </w:r>
      <w:r w:rsidRPr="00883D32">
        <w:rPr>
          <w:rFonts w:ascii="Times New Roman" w:hAnsi="Times New Roman"/>
          <w:sz w:val="28"/>
          <w:szCs w:val="28"/>
        </w:rPr>
        <w:t>/препарат.</w:t>
      </w:r>
    </w:p>
    <w:p w:rsidR="008A5355" w:rsidRDefault="008A5355" w:rsidP="00540049">
      <w:pPr>
        <w:keepNext/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41DC3">
        <w:rPr>
          <w:rFonts w:ascii="Times New Roman" w:hAnsi="Times New Roman"/>
          <w:b/>
          <w:sz w:val="28"/>
          <w:szCs w:val="28"/>
        </w:rPr>
        <w:lastRenderedPageBreak/>
        <w:t>Методика 1.</w:t>
      </w:r>
    </w:p>
    <w:p w:rsidR="008A5355" w:rsidRDefault="008A5355" w:rsidP="008A535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D32">
        <w:rPr>
          <w:rFonts w:ascii="Times New Roman" w:hAnsi="Times New Roman"/>
          <w:sz w:val="28"/>
          <w:szCs w:val="28"/>
        </w:rPr>
        <w:t xml:space="preserve">Патрон (пакет) из фильтровальной бумаги, предварительно обезжиренной, с точной навеской </w:t>
      </w:r>
      <w:r>
        <w:rPr>
          <w:rFonts w:ascii="Times New Roman" w:hAnsi="Times New Roman"/>
          <w:sz w:val="28"/>
          <w:szCs w:val="28"/>
        </w:rPr>
        <w:t>испытуемого образца</w:t>
      </w:r>
      <w:r w:rsidRPr="006873AF">
        <w:rPr>
          <w:rFonts w:ascii="Times New Roman" w:hAnsi="Times New Roman"/>
          <w:sz w:val="28"/>
          <w:szCs w:val="28"/>
        </w:rPr>
        <w:t xml:space="preserve"> </w:t>
      </w:r>
      <w:r w:rsidRPr="00883D32">
        <w:rPr>
          <w:rFonts w:ascii="Times New Roman" w:hAnsi="Times New Roman"/>
          <w:sz w:val="28"/>
          <w:szCs w:val="28"/>
        </w:rPr>
        <w:t xml:space="preserve">переносят </w:t>
      </w:r>
      <w:r w:rsidRPr="006873AF">
        <w:rPr>
          <w:rFonts w:ascii="Times New Roman" w:hAnsi="Times New Roman"/>
          <w:sz w:val="28"/>
          <w:szCs w:val="28"/>
        </w:rPr>
        <w:t>в</w:t>
      </w:r>
      <w:r w:rsidRPr="00883D32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 xml:space="preserve">кстрактор </w:t>
      </w:r>
      <w:r w:rsidRPr="00883D32">
        <w:rPr>
          <w:rFonts w:ascii="Times New Roman" w:hAnsi="Times New Roman"/>
          <w:sz w:val="28"/>
          <w:szCs w:val="28"/>
        </w:rPr>
        <w:t>аппарат</w:t>
      </w:r>
      <w:r>
        <w:rPr>
          <w:rFonts w:ascii="Times New Roman" w:hAnsi="Times New Roman"/>
          <w:sz w:val="28"/>
          <w:szCs w:val="28"/>
        </w:rPr>
        <w:t>а</w:t>
      </w:r>
      <w:r w:rsidRPr="00883D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D32">
        <w:rPr>
          <w:rFonts w:ascii="Times New Roman" w:hAnsi="Times New Roman"/>
          <w:sz w:val="28"/>
          <w:szCs w:val="28"/>
        </w:rPr>
        <w:t>Сокслета</w:t>
      </w:r>
      <w:proofErr w:type="spellEnd"/>
      <w:r>
        <w:rPr>
          <w:rFonts w:ascii="Times New Roman" w:hAnsi="Times New Roman"/>
          <w:sz w:val="28"/>
          <w:szCs w:val="28"/>
        </w:rPr>
        <w:t xml:space="preserve"> (рис.1)</w:t>
      </w:r>
      <w:r w:rsidRPr="00883D32">
        <w:rPr>
          <w:rFonts w:ascii="Times New Roman" w:hAnsi="Times New Roman"/>
          <w:sz w:val="28"/>
          <w:szCs w:val="28"/>
        </w:rPr>
        <w:t xml:space="preserve">. Аппарат </w:t>
      </w:r>
      <w:proofErr w:type="spellStart"/>
      <w:r w:rsidRPr="00883D32">
        <w:rPr>
          <w:rFonts w:ascii="Times New Roman" w:hAnsi="Times New Roman"/>
          <w:sz w:val="28"/>
          <w:szCs w:val="28"/>
        </w:rPr>
        <w:t>Сокслета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883D32">
        <w:rPr>
          <w:rFonts w:ascii="Times New Roman" w:hAnsi="Times New Roman"/>
          <w:sz w:val="28"/>
          <w:szCs w:val="28"/>
        </w:rPr>
        <w:t xml:space="preserve"> предварительно </w:t>
      </w:r>
      <w:r>
        <w:rPr>
          <w:rFonts w:ascii="Times New Roman" w:hAnsi="Times New Roman"/>
          <w:sz w:val="28"/>
          <w:szCs w:val="28"/>
        </w:rPr>
        <w:t>высушенный</w:t>
      </w:r>
      <w:r w:rsidRPr="00883D32">
        <w:rPr>
          <w:rFonts w:ascii="Times New Roman" w:hAnsi="Times New Roman"/>
          <w:sz w:val="28"/>
          <w:szCs w:val="28"/>
        </w:rPr>
        <w:t xml:space="preserve"> в сушильном шкафу до постоянно</w:t>
      </w:r>
      <w:r>
        <w:rPr>
          <w:rFonts w:ascii="Times New Roman" w:hAnsi="Times New Roman"/>
          <w:sz w:val="28"/>
          <w:szCs w:val="28"/>
        </w:rPr>
        <w:t>й</w:t>
      </w:r>
      <w:r w:rsidRPr="00883D32">
        <w:rPr>
          <w:rFonts w:ascii="Times New Roman" w:hAnsi="Times New Roman"/>
          <w:sz w:val="28"/>
          <w:szCs w:val="28"/>
        </w:rPr>
        <w:t xml:space="preserve"> </w:t>
      </w:r>
      <w:r w:rsidRPr="006873AF">
        <w:rPr>
          <w:rFonts w:ascii="Times New Roman" w:hAnsi="Times New Roman"/>
          <w:sz w:val="28"/>
          <w:szCs w:val="28"/>
        </w:rPr>
        <w:t>массы,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D32">
        <w:rPr>
          <w:rFonts w:ascii="Times New Roman" w:hAnsi="Times New Roman"/>
          <w:sz w:val="28"/>
          <w:szCs w:val="28"/>
        </w:rPr>
        <w:t xml:space="preserve">присоединяют к </w:t>
      </w:r>
      <w:proofErr w:type="spellStart"/>
      <w:r w:rsidRPr="00883D32">
        <w:rPr>
          <w:rFonts w:ascii="Times New Roman" w:hAnsi="Times New Roman"/>
          <w:sz w:val="28"/>
          <w:szCs w:val="28"/>
        </w:rPr>
        <w:t>круглодонной</w:t>
      </w:r>
      <w:proofErr w:type="spellEnd"/>
      <w:r w:rsidRPr="00883D32">
        <w:rPr>
          <w:rFonts w:ascii="Times New Roman" w:hAnsi="Times New Roman"/>
          <w:sz w:val="28"/>
          <w:szCs w:val="28"/>
        </w:rPr>
        <w:t xml:space="preserve"> колбе со шлифом</w:t>
      </w:r>
      <w:r>
        <w:rPr>
          <w:rFonts w:ascii="Times New Roman" w:hAnsi="Times New Roman"/>
          <w:sz w:val="28"/>
          <w:szCs w:val="28"/>
        </w:rPr>
        <w:t xml:space="preserve"> (объёмом равным 2 объёмам экстрактора)</w:t>
      </w:r>
      <w:r w:rsidRPr="00883D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помещают </w:t>
      </w:r>
      <w:r w:rsidRPr="006873A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водяную баню</w:t>
      </w:r>
      <w:r w:rsidRPr="00883D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D32">
        <w:rPr>
          <w:rFonts w:ascii="Times New Roman" w:hAnsi="Times New Roman"/>
          <w:sz w:val="28"/>
          <w:szCs w:val="28"/>
        </w:rPr>
        <w:t xml:space="preserve">Экстрагируют до полного обесцвечивания извлечения в экстракторе. По окончании процесса экстракции растворитель отгоняют на роторном испарителе при температуре кипения </w:t>
      </w:r>
      <w:proofErr w:type="spellStart"/>
      <w:r w:rsidRPr="00883D32">
        <w:rPr>
          <w:rFonts w:ascii="Times New Roman" w:hAnsi="Times New Roman"/>
          <w:sz w:val="28"/>
          <w:szCs w:val="28"/>
        </w:rPr>
        <w:t>экстрагента</w:t>
      </w:r>
      <w:proofErr w:type="spellEnd"/>
      <w:r w:rsidRPr="00883D32">
        <w:rPr>
          <w:rFonts w:ascii="Times New Roman" w:hAnsi="Times New Roman"/>
          <w:sz w:val="28"/>
          <w:szCs w:val="28"/>
        </w:rPr>
        <w:t xml:space="preserve"> и высушивают полученный комплекс </w:t>
      </w:r>
      <w:proofErr w:type="spellStart"/>
      <w:r w:rsidRPr="00883D32">
        <w:rPr>
          <w:rFonts w:ascii="Times New Roman" w:hAnsi="Times New Roman"/>
          <w:sz w:val="28"/>
          <w:szCs w:val="28"/>
        </w:rPr>
        <w:t>липофиль</w:t>
      </w:r>
      <w:r w:rsidR="00514302">
        <w:rPr>
          <w:rFonts w:ascii="Times New Roman" w:hAnsi="Times New Roman"/>
          <w:sz w:val="28"/>
          <w:szCs w:val="28"/>
        </w:rPr>
        <w:t>ных</w:t>
      </w:r>
      <w:proofErr w:type="spellEnd"/>
      <w:r w:rsidR="00514302">
        <w:rPr>
          <w:rFonts w:ascii="Times New Roman" w:hAnsi="Times New Roman"/>
          <w:sz w:val="28"/>
          <w:szCs w:val="28"/>
        </w:rPr>
        <w:t xml:space="preserve"> веществ при температуре 100–</w:t>
      </w:r>
      <w:r w:rsidRPr="00883D32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> </w:t>
      </w:r>
      <w:r w:rsidRPr="00B23F73">
        <w:rPr>
          <w:rFonts w:ascii="Times New Roman" w:hAnsi="Times New Roman"/>
          <w:sz w:val="28"/>
          <w:szCs w:val="28"/>
        </w:rPr>
        <w:sym w:font="Symbol" w:char="F0B0"/>
      </w:r>
      <w:r w:rsidRPr="00883D32">
        <w:rPr>
          <w:rFonts w:ascii="Times New Roman" w:hAnsi="Times New Roman"/>
          <w:sz w:val="28"/>
          <w:szCs w:val="28"/>
        </w:rPr>
        <w:t xml:space="preserve">С </w:t>
      </w:r>
      <w:r w:rsidRPr="006873AF">
        <w:rPr>
          <w:rFonts w:ascii="Times New Roman" w:hAnsi="Times New Roman"/>
          <w:sz w:val="28"/>
          <w:szCs w:val="28"/>
        </w:rPr>
        <w:t>до</w:t>
      </w:r>
      <w:r w:rsidRPr="00883D32">
        <w:rPr>
          <w:rFonts w:ascii="Times New Roman" w:hAnsi="Times New Roman"/>
          <w:sz w:val="28"/>
          <w:szCs w:val="28"/>
        </w:rPr>
        <w:t xml:space="preserve"> постоянной массы.</w:t>
      </w:r>
      <w:r>
        <w:rPr>
          <w:rFonts w:ascii="Times New Roman" w:hAnsi="Times New Roman"/>
          <w:sz w:val="28"/>
          <w:szCs w:val="28"/>
        </w:rPr>
        <w:t xml:space="preserve"> Колбу с сухим остатком после охлаждения взвешивают.</w:t>
      </w:r>
    </w:p>
    <w:p w:rsidR="008A5355" w:rsidRDefault="008A5355" w:rsidP="008A5355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3268" cy="3667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68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355" w:rsidRDefault="008A5355" w:rsidP="008A5355">
      <w:pPr>
        <w:pStyle w:val="af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Рисунок 1 – Прибор (аппарат)</w:t>
      </w:r>
      <w:r w:rsidRPr="00883D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D32">
        <w:rPr>
          <w:rFonts w:ascii="Times New Roman" w:hAnsi="Times New Roman"/>
          <w:sz w:val="28"/>
          <w:szCs w:val="28"/>
        </w:rPr>
        <w:t>Сокслета</w:t>
      </w:r>
      <w:proofErr w:type="spellEnd"/>
    </w:p>
    <w:p w:rsidR="008A5355" w:rsidRPr="00514302" w:rsidRDefault="008A5355" w:rsidP="008A53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4302">
        <w:rPr>
          <w:rFonts w:ascii="Times New Roman" w:eastAsia="Times New Roman" w:hAnsi="Times New Roman"/>
          <w:sz w:val="24"/>
          <w:szCs w:val="24"/>
        </w:rPr>
        <w:t xml:space="preserve">1 – холодильник, 2 – экстрактор, 3 – патрон с испытуемым образцом, </w:t>
      </w:r>
    </w:p>
    <w:p w:rsidR="008A5355" w:rsidRPr="00514302" w:rsidRDefault="008A5355" w:rsidP="00514302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514302">
        <w:rPr>
          <w:rFonts w:ascii="Times New Roman" w:eastAsia="Times New Roman" w:hAnsi="Times New Roman"/>
          <w:sz w:val="24"/>
          <w:szCs w:val="24"/>
        </w:rPr>
        <w:t>4 – растворитель</w:t>
      </w:r>
      <w:r w:rsidR="00514302">
        <w:rPr>
          <w:rFonts w:ascii="Times New Roman" w:eastAsia="Times New Roman" w:hAnsi="Times New Roman"/>
          <w:sz w:val="24"/>
          <w:szCs w:val="24"/>
        </w:rPr>
        <w:t>.</w:t>
      </w:r>
    </w:p>
    <w:p w:rsidR="008A5355" w:rsidRDefault="008A5355" w:rsidP="008A5355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DC3">
        <w:rPr>
          <w:rFonts w:ascii="Times New Roman" w:hAnsi="Times New Roman"/>
          <w:b/>
          <w:i/>
          <w:sz w:val="28"/>
          <w:szCs w:val="28"/>
        </w:rPr>
        <w:t>Обработка результатов.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D32">
        <w:rPr>
          <w:rFonts w:ascii="Times New Roman" w:hAnsi="Times New Roman"/>
          <w:sz w:val="28"/>
          <w:szCs w:val="28"/>
        </w:rPr>
        <w:t>Содержание жирного масла</w:t>
      </w:r>
      <w:r>
        <w:rPr>
          <w:rFonts w:ascii="Times New Roman" w:hAnsi="Times New Roman"/>
          <w:sz w:val="28"/>
          <w:szCs w:val="28"/>
        </w:rPr>
        <w:t xml:space="preserve"> (липидов)</w:t>
      </w:r>
      <w:r w:rsidRPr="00883D32">
        <w:rPr>
          <w:rFonts w:ascii="Times New Roman" w:hAnsi="Times New Roman"/>
          <w:sz w:val="28"/>
          <w:szCs w:val="28"/>
        </w:rPr>
        <w:t xml:space="preserve"> в абсолютно сухом </w:t>
      </w:r>
      <w:r>
        <w:rPr>
          <w:rFonts w:ascii="Times New Roman" w:hAnsi="Times New Roman"/>
          <w:sz w:val="28"/>
          <w:szCs w:val="28"/>
        </w:rPr>
        <w:t>испытуемом образце</w:t>
      </w:r>
      <w:r w:rsidRPr="006873AF">
        <w:rPr>
          <w:rFonts w:ascii="Times New Roman" w:hAnsi="Times New Roman"/>
          <w:sz w:val="28"/>
          <w:szCs w:val="28"/>
        </w:rPr>
        <w:t xml:space="preserve"> </w:t>
      </w:r>
      <w:r w:rsidRPr="00883D32">
        <w:rPr>
          <w:rFonts w:ascii="Times New Roman" w:hAnsi="Times New Roman"/>
          <w:sz w:val="28"/>
          <w:szCs w:val="28"/>
        </w:rPr>
        <w:t>в процентах (</w:t>
      </w:r>
      <w:r w:rsidRPr="00883D32">
        <w:rPr>
          <w:rFonts w:ascii="Times New Roman" w:hAnsi="Times New Roman"/>
          <w:i/>
          <w:sz w:val="28"/>
          <w:szCs w:val="28"/>
        </w:rPr>
        <w:t>Х</w:t>
      </w:r>
      <w:r w:rsidRPr="006C566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883D32">
        <w:rPr>
          <w:rFonts w:ascii="Times New Roman" w:hAnsi="Times New Roman"/>
          <w:sz w:val="28"/>
          <w:szCs w:val="28"/>
        </w:rPr>
        <w:t>) вычисляют по формуле: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566"/>
        <w:gridCol w:w="426"/>
        <w:gridCol w:w="567"/>
        <w:gridCol w:w="5953"/>
        <w:gridCol w:w="1383"/>
      </w:tblGrid>
      <w:tr w:rsidR="008A5355" w:rsidTr="00F41DC3">
        <w:tc>
          <w:tcPr>
            <w:tcW w:w="1242" w:type="dxa"/>
            <w:gridSpan w:val="2"/>
          </w:tcPr>
          <w:p w:rsidR="008A5355" w:rsidRDefault="008A5355" w:rsidP="00F41DC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8A5355" w:rsidRPr="00824762" w:rsidRDefault="006D5A31" w:rsidP="00F41DC3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)·100·100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·(100-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W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1383" w:type="dxa"/>
          </w:tcPr>
          <w:p w:rsidR="008A5355" w:rsidRDefault="008A5355" w:rsidP="00F41DC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  <w:tr w:rsidR="008A5355" w:rsidTr="00F41DC3">
        <w:tc>
          <w:tcPr>
            <w:tcW w:w="676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</w:tc>
        <w:tc>
          <w:tcPr>
            <w:tcW w:w="992" w:type="dxa"/>
            <w:gridSpan w:val="2"/>
          </w:tcPr>
          <w:p w:rsidR="008A5355" w:rsidRPr="008A5355" w:rsidRDefault="006D5A31" w:rsidP="00F41DC3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36" w:type="dxa"/>
            <w:gridSpan w:val="2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колбы с сухим остатком, г;</w:t>
            </w:r>
          </w:p>
        </w:tc>
      </w:tr>
      <w:tr w:rsidR="008A5355" w:rsidTr="00F41DC3">
        <w:tc>
          <w:tcPr>
            <w:tcW w:w="676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5355" w:rsidRDefault="006D5A31" w:rsidP="00F41DC3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Theme="majorHAns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Theme="majorHAnsi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36" w:type="dxa"/>
            <w:gridSpan w:val="2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колбы, г;</w:t>
            </w:r>
          </w:p>
        </w:tc>
      </w:tr>
      <w:tr w:rsidR="008A5355" w:rsidTr="00F41DC3">
        <w:tc>
          <w:tcPr>
            <w:tcW w:w="676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5355" w:rsidRDefault="008A5355" w:rsidP="00F41DC3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4682D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36" w:type="dxa"/>
            <w:gridSpan w:val="2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73AF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>испытуемого образца</w:t>
            </w:r>
            <w:r w:rsidRPr="006873AF">
              <w:rPr>
                <w:rFonts w:ascii="Times New Roman" w:hAnsi="Times New Roman"/>
                <w:sz w:val="28"/>
                <w:szCs w:val="28"/>
              </w:rPr>
              <w:t>, г;</w:t>
            </w:r>
          </w:p>
        </w:tc>
      </w:tr>
      <w:tr w:rsidR="008A5355" w:rsidTr="00F41DC3">
        <w:tc>
          <w:tcPr>
            <w:tcW w:w="676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5355" w:rsidRDefault="008A5355" w:rsidP="00F41DC3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4682D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336" w:type="dxa"/>
            <w:gridSpan w:val="2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73AF">
              <w:rPr>
                <w:rFonts w:ascii="Times New Roman" w:hAnsi="Times New Roman"/>
                <w:sz w:val="28"/>
                <w:szCs w:val="28"/>
              </w:rPr>
              <w:t xml:space="preserve">влажность </w:t>
            </w:r>
            <w:r>
              <w:rPr>
                <w:rFonts w:ascii="Times New Roman" w:hAnsi="Times New Roman"/>
                <w:sz w:val="28"/>
                <w:szCs w:val="28"/>
              </w:rPr>
              <w:t>испытуемого образца</w:t>
            </w:r>
            <w:r w:rsidRPr="006873AF">
              <w:rPr>
                <w:rFonts w:ascii="Times New Roman" w:hAnsi="Times New Roman"/>
                <w:sz w:val="28"/>
                <w:szCs w:val="28"/>
              </w:rPr>
              <w:t>, %.</w:t>
            </w:r>
          </w:p>
        </w:tc>
      </w:tr>
    </w:tbl>
    <w:p w:rsidR="008A5355" w:rsidRPr="00F41DC3" w:rsidRDefault="008A5355" w:rsidP="00540049">
      <w:pPr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41DC3">
        <w:rPr>
          <w:rFonts w:ascii="Times New Roman" w:hAnsi="Times New Roman"/>
          <w:b/>
          <w:sz w:val="28"/>
          <w:szCs w:val="28"/>
        </w:rPr>
        <w:t>Методика 2.</w:t>
      </w:r>
    </w:p>
    <w:p w:rsidR="008A5355" w:rsidRDefault="008A5355" w:rsidP="008A5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D32">
        <w:rPr>
          <w:rFonts w:ascii="Times New Roman" w:hAnsi="Times New Roman"/>
          <w:sz w:val="28"/>
          <w:szCs w:val="28"/>
        </w:rPr>
        <w:t>Патрон (пакет) из фильтровальной бумаги, предварительно обезжиренн</w:t>
      </w:r>
      <w:r>
        <w:rPr>
          <w:rFonts w:ascii="Times New Roman" w:hAnsi="Times New Roman"/>
          <w:sz w:val="28"/>
          <w:szCs w:val="28"/>
        </w:rPr>
        <w:t>о</w:t>
      </w:r>
      <w:r w:rsidRPr="00883D3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высушенный в сушильном шкафу при температуре 80 </w:t>
      </w:r>
      <w:r w:rsidRPr="00B23F73">
        <w:rPr>
          <w:rFonts w:ascii="Times New Roman" w:hAnsi="Times New Roman"/>
          <w:sz w:val="28"/>
          <w:szCs w:val="28"/>
        </w:rPr>
        <w:sym w:font="Symbol" w:char="F0B0"/>
      </w:r>
      <w:r w:rsidRPr="00883D3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до постоянной массы</w:t>
      </w:r>
      <w:r w:rsidRPr="00883D32">
        <w:rPr>
          <w:rFonts w:ascii="Times New Roman" w:hAnsi="Times New Roman"/>
          <w:sz w:val="28"/>
          <w:szCs w:val="28"/>
        </w:rPr>
        <w:t xml:space="preserve">, с точной навеской </w:t>
      </w:r>
      <w:r>
        <w:rPr>
          <w:rFonts w:ascii="Times New Roman" w:hAnsi="Times New Roman"/>
          <w:sz w:val="28"/>
          <w:szCs w:val="28"/>
        </w:rPr>
        <w:t>испытуемого образца</w:t>
      </w:r>
      <w:r w:rsidRPr="006873AF">
        <w:rPr>
          <w:rFonts w:ascii="Times New Roman" w:hAnsi="Times New Roman"/>
          <w:sz w:val="28"/>
          <w:szCs w:val="28"/>
        </w:rPr>
        <w:t xml:space="preserve"> </w:t>
      </w:r>
      <w:r w:rsidRPr="00883D32">
        <w:rPr>
          <w:rFonts w:ascii="Times New Roman" w:hAnsi="Times New Roman"/>
          <w:sz w:val="28"/>
          <w:szCs w:val="28"/>
        </w:rPr>
        <w:t xml:space="preserve">переносят </w:t>
      </w:r>
      <w:r>
        <w:rPr>
          <w:rFonts w:ascii="Times New Roman" w:hAnsi="Times New Roman"/>
          <w:sz w:val="28"/>
          <w:szCs w:val="28"/>
        </w:rPr>
        <w:t>в</w:t>
      </w:r>
      <w:r w:rsidRPr="00883D32">
        <w:rPr>
          <w:rFonts w:ascii="Times New Roman" w:hAnsi="Times New Roman"/>
          <w:sz w:val="28"/>
          <w:szCs w:val="28"/>
        </w:rPr>
        <w:t xml:space="preserve"> аппарат </w:t>
      </w:r>
      <w:proofErr w:type="spellStart"/>
      <w:r w:rsidRPr="00883D32">
        <w:rPr>
          <w:rFonts w:ascii="Times New Roman" w:hAnsi="Times New Roman"/>
          <w:sz w:val="28"/>
          <w:szCs w:val="28"/>
        </w:rPr>
        <w:t>Сокслета</w:t>
      </w:r>
      <w:proofErr w:type="spellEnd"/>
      <w:r w:rsidRPr="00883D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D32">
        <w:rPr>
          <w:rFonts w:ascii="Times New Roman" w:hAnsi="Times New Roman"/>
          <w:sz w:val="28"/>
          <w:szCs w:val="28"/>
        </w:rPr>
        <w:t xml:space="preserve">Аппарат </w:t>
      </w:r>
      <w:proofErr w:type="spellStart"/>
      <w:r w:rsidRPr="00883D32">
        <w:rPr>
          <w:rFonts w:ascii="Times New Roman" w:hAnsi="Times New Roman"/>
          <w:sz w:val="28"/>
          <w:szCs w:val="28"/>
        </w:rPr>
        <w:t>Сокслета</w:t>
      </w:r>
      <w:proofErr w:type="spellEnd"/>
      <w:r w:rsidRPr="00883D32">
        <w:rPr>
          <w:rFonts w:ascii="Times New Roman" w:hAnsi="Times New Roman"/>
          <w:sz w:val="28"/>
          <w:szCs w:val="28"/>
        </w:rPr>
        <w:t xml:space="preserve"> присоединяют к </w:t>
      </w:r>
      <w:proofErr w:type="spellStart"/>
      <w:r w:rsidRPr="00883D32">
        <w:rPr>
          <w:rFonts w:ascii="Times New Roman" w:hAnsi="Times New Roman"/>
          <w:sz w:val="28"/>
          <w:szCs w:val="28"/>
        </w:rPr>
        <w:t>круглодонной</w:t>
      </w:r>
      <w:proofErr w:type="spellEnd"/>
      <w:r w:rsidRPr="00883D32">
        <w:rPr>
          <w:rFonts w:ascii="Times New Roman" w:hAnsi="Times New Roman"/>
          <w:sz w:val="28"/>
          <w:szCs w:val="28"/>
        </w:rPr>
        <w:t xml:space="preserve"> колбе со шлифом</w:t>
      </w:r>
      <w:r>
        <w:rPr>
          <w:rFonts w:ascii="Times New Roman" w:hAnsi="Times New Roman"/>
          <w:sz w:val="28"/>
          <w:szCs w:val="28"/>
        </w:rPr>
        <w:t>, э</w:t>
      </w:r>
      <w:r w:rsidRPr="00883D32">
        <w:rPr>
          <w:rFonts w:ascii="Times New Roman" w:hAnsi="Times New Roman"/>
          <w:sz w:val="28"/>
          <w:szCs w:val="28"/>
        </w:rPr>
        <w:t xml:space="preserve">кстрагируют </w:t>
      </w:r>
      <w:r w:rsidRPr="006873A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водяной бане </w:t>
      </w:r>
      <w:r w:rsidRPr="00883D32">
        <w:rPr>
          <w:rFonts w:ascii="Times New Roman" w:hAnsi="Times New Roman"/>
          <w:sz w:val="28"/>
          <w:szCs w:val="28"/>
        </w:rPr>
        <w:t xml:space="preserve">до полного обесцвечивания извлечения в экстракторе. </w:t>
      </w:r>
      <w:r>
        <w:rPr>
          <w:rFonts w:ascii="Times New Roman" w:hAnsi="Times New Roman"/>
          <w:sz w:val="28"/>
          <w:szCs w:val="28"/>
        </w:rPr>
        <w:t xml:space="preserve">Патрон (пакет) вынимают и оставляют в вытяжном шкафу до полного удаления </w:t>
      </w:r>
      <w:proofErr w:type="spellStart"/>
      <w:r>
        <w:rPr>
          <w:rFonts w:ascii="Times New Roman" w:hAnsi="Times New Roman"/>
          <w:sz w:val="28"/>
          <w:szCs w:val="28"/>
        </w:rPr>
        <w:t>экстрагента</w:t>
      </w:r>
      <w:proofErr w:type="spellEnd"/>
      <w:r>
        <w:rPr>
          <w:rFonts w:ascii="Times New Roman" w:hAnsi="Times New Roman"/>
          <w:sz w:val="28"/>
          <w:szCs w:val="28"/>
        </w:rPr>
        <w:t>, сушат в сушильном шкафу до постоянной массы, охлаждают и взвешивают.</w:t>
      </w:r>
    </w:p>
    <w:p w:rsidR="008A5355" w:rsidRDefault="008A5355" w:rsidP="008A5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F03">
        <w:rPr>
          <w:rFonts w:ascii="Times New Roman" w:hAnsi="Times New Roman"/>
          <w:sz w:val="28"/>
          <w:szCs w:val="28"/>
        </w:rPr>
        <w:t xml:space="preserve">В случае, если установить полноту экстракции по обесцвечиванию извлечения не представляется возможным (например, если </w:t>
      </w:r>
      <w:proofErr w:type="spellStart"/>
      <w:r w:rsidRPr="00785F03">
        <w:rPr>
          <w:rFonts w:ascii="Times New Roman" w:hAnsi="Times New Roman"/>
          <w:sz w:val="28"/>
          <w:szCs w:val="28"/>
        </w:rPr>
        <w:t>липофильная</w:t>
      </w:r>
      <w:proofErr w:type="spellEnd"/>
      <w:r w:rsidRPr="00785F03">
        <w:rPr>
          <w:rFonts w:ascii="Times New Roman" w:hAnsi="Times New Roman"/>
          <w:sz w:val="28"/>
          <w:szCs w:val="28"/>
        </w:rPr>
        <w:t xml:space="preserve"> фракция имеет слабую окраску), окончание экстракции возможно определить иным способом. Для этого на часовое стекло или шлиф колбы помещают каплю стекающего из экстрактора аппарата </w:t>
      </w:r>
      <w:proofErr w:type="spellStart"/>
      <w:r w:rsidRPr="00785F03">
        <w:rPr>
          <w:rFonts w:ascii="Times New Roman" w:hAnsi="Times New Roman"/>
          <w:sz w:val="28"/>
          <w:szCs w:val="28"/>
        </w:rPr>
        <w:t>Сокслета</w:t>
      </w:r>
      <w:proofErr w:type="spellEnd"/>
      <w:r w:rsidRPr="00785F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F03">
        <w:rPr>
          <w:rFonts w:ascii="Times New Roman" w:hAnsi="Times New Roman"/>
          <w:sz w:val="28"/>
          <w:szCs w:val="28"/>
        </w:rPr>
        <w:t>экстрагента</w:t>
      </w:r>
      <w:proofErr w:type="spellEnd"/>
      <w:r w:rsidRPr="00785F03">
        <w:rPr>
          <w:rFonts w:ascii="Times New Roman" w:hAnsi="Times New Roman"/>
          <w:sz w:val="28"/>
          <w:szCs w:val="28"/>
        </w:rPr>
        <w:t xml:space="preserve">. Если после испарения </w:t>
      </w:r>
      <w:proofErr w:type="spellStart"/>
      <w:r w:rsidRPr="00785F03">
        <w:rPr>
          <w:rFonts w:ascii="Times New Roman" w:hAnsi="Times New Roman"/>
          <w:sz w:val="28"/>
          <w:szCs w:val="28"/>
        </w:rPr>
        <w:t>экстрагента</w:t>
      </w:r>
      <w:proofErr w:type="spellEnd"/>
      <w:r w:rsidRPr="00785F03">
        <w:rPr>
          <w:rFonts w:ascii="Times New Roman" w:hAnsi="Times New Roman"/>
          <w:sz w:val="28"/>
          <w:szCs w:val="28"/>
        </w:rPr>
        <w:t xml:space="preserve"> на часовом стекле или шлифе колбы не останется жирного масла, то экстракция считается проведённой полностью.</w:t>
      </w:r>
    </w:p>
    <w:p w:rsidR="008A5355" w:rsidRDefault="008A5355" w:rsidP="008A5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9CA">
        <w:rPr>
          <w:rFonts w:ascii="Times New Roman" w:hAnsi="Times New Roman"/>
          <w:b/>
          <w:i/>
          <w:sz w:val="28"/>
          <w:szCs w:val="28"/>
        </w:rPr>
        <w:t>Обработка результатов.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D32">
        <w:rPr>
          <w:rFonts w:ascii="Times New Roman" w:hAnsi="Times New Roman"/>
          <w:sz w:val="28"/>
          <w:szCs w:val="28"/>
        </w:rPr>
        <w:t>Содержание жирного масла</w:t>
      </w:r>
      <w:r>
        <w:rPr>
          <w:rFonts w:ascii="Times New Roman" w:hAnsi="Times New Roman"/>
          <w:sz w:val="28"/>
          <w:szCs w:val="28"/>
        </w:rPr>
        <w:t xml:space="preserve"> (липидов)</w:t>
      </w:r>
      <w:r w:rsidRPr="00883D32">
        <w:rPr>
          <w:rFonts w:ascii="Times New Roman" w:hAnsi="Times New Roman"/>
          <w:sz w:val="28"/>
          <w:szCs w:val="28"/>
        </w:rPr>
        <w:t xml:space="preserve"> в абсолютно сухом </w:t>
      </w:r>
      <w:r>
        <w:rPr>
          <w:rFonts w:ascii="Times New Roman" w:hAnsi="Times New Roman"/>
          <w:sz w:val="28"/>
          <w:szCs w:val="28"/>
        </w:rPr>
        <w:t>испытуемом образце</w:t>
      </w:r>
      <w:r w:rsidRPr="006873AF">
        <w:rPr>
          <w:rFonts w:ascii="Times New Roman" w:hAnsi="Times New Roman"/>
          <w:sz w:val="28"/>
          <w:szCs w:val="28"/>
        </w:rPr>
        <w:t xml:space="preserve"> </w:t>
      </w:r>
      <w:r w:rsidRPr="00883D32">
        <w:rPr>
          <w:rFonts w:ascii="Times New Roman" w:hAnsi="Times New Roman"/>
          <w:sz w:val="28"/>
          <w:szCs w:val="28"/>
        </w:rPr>
        <w:t>в процентах (</w:t>
      </w:r>
      <w:r w:rsidRPr="00883D32">
        <w:rPr>
          <w:rFonts w:ascii="Times New Roman" w:hAnsi="Times New Roman"/>
          <w:i/>
          <w:sz w:val="28"/>
          <w:szCs w:val="28"/>
        </w:rPr>
        <w:t>Х</w:t>
      </w:r>
      <w:r w:rsidRPr="006C566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83D32">
        <w:rPr>
          <w:rFonts w:ascii="Times New Roman" w:hAnsi="Times New Roman"/>
          <w:sz w:val="28"/>
          <w:szCs w:val="28"/>
        </w:rPr>
        <w:t>) вычисляют по формуле: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425"/>
        <w:gridCol w:w="425"/>
        <w:gridCol w:w="426"/>
        <w:gridCol w:w="5670"/>
        <w:gridCol w:w="1666"/>
      </w:tblGrid>
      <w:tr w:rsidR="008A5355" w:rsidTr="00F41DC3">
        <w:trPr>
          <w:trHeight w:val="873"/>
        </w:trPr>
        <w:tc>
          <w:tcPr>
            <w:tcW w:w="1384" w:type="dxa"/>
            <w:gridSpan w:val="2"/>
          </w:tcPr>
          <w:p w:rsidR="008A5355" w:rsidRDefault="008A5355" w:rsidP="00F41DC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3"/>
          </w:tcPr>
          <w:p w:rsidR="008A5355" w:rsidRPr="003723FB" w:rsidRDefault="006D5A31" w:rsidP="00F41DC3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  <m:r>
                      <w:rPr>
                        <w:rFonts w:ascii="Cambria Math" w:hAnsi="Cambria Math" w:hint="eastAsia"/>
                        <w:sz w:val="28"/>
                        <w:szCs w:val="28"/>
                      </w:rPr>
                      <m:t>·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  <m:r>
                      <w:rPr>
                        <w:rFonts w:ascii="Cambria Math" w:hAnsi="Cambria Math" w:hint="eastAsia"/>
                        <w:sz w:val="28"/>
                        <w:szCs w:val="28"/>
                      </w:rPr>
                      <m:t>·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hAnsi="Cambria Math" w:hint="eastAsia"/>
                        <w:sz w:val="28"/>
                        <w:szCs w:val="28"/>
                      </w:rPr>
                      <m:t>·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(100-W)</m:t>
                    </m:r>
                  </m:den>
                </m:f>
              </m:oMath>
            </m:oMathPara>
          </w:p>
        </w:tc>
        <w:tc>
          <w:tcPr>
            <w:tcW w:w="1666" w:type="dxa"/>
            <w:vAlign w:val="center"/>
          </w:tcPr>
          <w:p w:rsidR="008A5355" w:rsidRDefault="008A5355" w:rsidP="00F41DC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</w:tr>
      <w:tr w:rsidR="008A5355" w:rsidTr="00F41DC3">
        <w:tc>
          <w:tcPr>
            <w:tcW w:w="959" w:type="dxa"/>
            <w:vAlign w:val="bottom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16965">
              <w:rPr>
                <w:rFonts w:ascii="Times New Roman" w:hAnsi="Times New Roman"/>
                <w:sz w:val="28"/>
                <w:szCs w:val="28"/>
              </w:rPr>
              <w:t>где:</w:t>
            </w:r>
          </w:p>
        </w:tc>
        <w:tc>
          <w:tcPr>
            <w:tcW w:w="850" w:type="dxa"/>
            <w:gridSpan w:val="2"/>
          </w:tcPr>
          <w:p w:rsidR="008A5355" w:rsidRPr="00196C42" w:rsidRDefault="006D5A31" w:rsidP="00F41DC3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Theme="majorHAns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Theme="majorHAns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Theme="majorHAnsi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6965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36" w:type="dxa"/>
            <w:gridSpan w:val="2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73AF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>испытуемого образца</w:t>
            </w:r>
            <w:r w:rsidRPr="006873AF">
              <w:rPr>
                <w:rFonts w:ascii="Times New Roman" w:hAnsi="Times New Roman"/>
                <w:sz w:val="28"/>
                <w:szCs w:val="28"/>
              </w:rPr>
              <w:t xml:space="preserve"> с патроном до экстракции, г;</w:t>
            </w:r>
          </w:p>
        </w:tc>
      </w:tr>
      <w:tr w:rsidR="008A5355" w:rsidRPr="001927D3" w:rsidTr="00F41DC3">
        <w:tc>
          <w:tcPr>
            <w:tcW w:w="959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8A5355" w:rsidRPr="00196C42" w:rsidRDefault="006D5A31" w:rsidP="00F41DC3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Theme="majorHAns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Theme="majorHAnsi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6965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36" w:type="dxa"/>
            <w:gridSpan w:val="2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73AF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>испытуемого образца</w:t>
            </w:r>
            <w:r w:rsidRPr="006873AF">
              <w:rPr>
                <w:rFonts w:ascii="Times New Roman" w:hAnsi="Times New Roman"/>
                <w:sz w:val="28"/>
                <w:szCs w:val="28"/>
              </w:rPr>
              <w:t xml:space="preserve"> с патроном после экстракции, г;</w:t>
            </w:r>
          </w:p>
        </w:tc>
      </w:tr>
      <w:tr w:rsidR="008A5355" w:rsidRPr="001927D3" w:rsidTr="00F41DC3">
        <w:tc>
          <w:tcPr>
            <w:tcW w:w="959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8A5355" w:rsidRPr="00196C42" w:rsidRDefault="008A5355" w:rsidP="00F41DC3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196C42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426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6965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36" w:type="dxa"/>
            <w:gridSpan w:val="2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73AF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>испытуемого образца</w:t>
            </w:r>
            <w:r w:rsidRPr="006873AF">
              <w:rPr>
                <w:rFonts w:ascii="Times New Roman" w:hAnsi="Times New Roman"/>
                <w:sz w:val="28"/>
                <w:szCs w:val="28"/>
              </w:rPr>
              <w:t>, г;</w:t>
            </w:r>
          </w:p>
        </w:tc>
      </w:tr>
      <w:tr w:rsidR="008A5355" w:rsidRPr="001927D3" w:rsidTr="00F41DC3">
        <w:tc>
          <w:tcPr>
            <w:tcW w:w="959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8A5355" w:rsidRPr="00196C42" w:rsidRDefault="008A5355" w:rsidP="00F41DC3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196C42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6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6965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36" w:type="dxa"/>
            <w:gridSpan w:val="2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73AF">
              <w:rPr>
                <w:rFonts w:ascii="Times New Roman" w:hAnsi="Times New Roman"/>
                <w:sz w:val="28"/>
                <w:szCs w:val="28"/>
              </w:rPr>
              <w:t xml:space="preserve">влажность </w:t>
            </w:r>
            <w:r>
              <w:rPr>
                <w:rFonts w:ascii="Times New Roman" w:hAnsi="Times New Roman"/>
                <w:sz w:val="28"/>
                <w:szCs w:val="28"/>
              </w:rPr>
              <w:t>испытуемого образца</w:t>
            </w:r>
            <w:r w:rsidRPr="006873AF">
              <w:rPr>
                <w:rFonts w:ascii="Times New Roman" w:hAnsi="Times New Roman"/>
                <w:sz w:val="28"/>
                <w:szCs w:val="28"/>
              </w:rPr>
              <w:t>, %.</w:t>
            </w:r>
          </w:p>
        </w:tc>
      </w:tr>
    </w:tbl>
    <w:p w:rsidR="008A5355" w:rsidRPr="00F41DC3" w:rsidRDefault="008A5355" w:rsidP="00540049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DC3">
        <w:rPr>
          <w:rFonts w:ascii="Times New Roman" w:hAnsi="Times New Roman"/>
          <w:b/>
          <w:sz w:val="28"/>
          <w:szCs w:val="28"/>
        </w:rPr>
        <w:t>Методика 3.</w:t>
      </w:r>
    </w:p>
    <w:p w:rsidR="008A5355" w:rsidRDefault="008A5355" w:rsidP="008A5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Точную навеску испытуемого образца помещают в коническую колбу с притёртой пробкой вместимостью 100 мл, добавляют 15 мл воды и 10 мл хлористоводородной кислоты 25 %</w:t>
      </w:r>
      <w:r w:rsidRPr="00D169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перемешивают и добавляют </w:t>
      </w:r>
      <w:r w:rsidRPr="00843AC7">
        <w:rPr>
          <w:rFonts w:ascii="Times New Roman" w:hAnsi="Times New Roman"/>
          <w:sz w:val="28"/>
          <w:szCs w:val="28"/>
        </w:rPr>
        <w:t xml:space="preserve">эфир или другой подходящий </w:t>
      </w:r>
      <w:proofErr w:type="spellStart"/>
      <w:r w:rsidRPr="00843AC7">
        <w:rPr>
          <w:rFonts w:ascii="Times New Roman" w:hAnsi="Times New Roman"/>
          <w:sz w:val="28"/>
          <w:szCs w:val="28"/>
        </w:rPr>
        <w:t>экстрагент</w:t>
      </w:r>
      <w:proofErr w:type="spellEnd"/>
      <w:r w:rsidRPr="00843A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Содержимое колбы перемешивают в течение 15 мин, и переносят содержимое колбы в делительную воронку. После полного разделения фаз органический слой переносят в плоскодонную колбу вместимостью 100 мл. Процедуру экстракции повторяют дважды, прибавляя к водному слою 2 раза эфир или другой подходящий </w:t>
      </w:r>
      <w:proofErr w:type="spellStart"/>
      <w:r>
        <w:rPr>
          <w:rFonts w:ascii="Times New Roman" w:hAnsi="Times New Roman"/>
          <w:sz w:val="28"/>
          <w:szCs w:val="28"/>
        </w:rPr>
        <w:t>экстрагент</w:t>
      </w:r>
      <w:proofErr w:type="spellEnd"/>
      <w:r w:rsidRPr="00132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порциями по 20 мл. Полученные органические слои объединяют в плоскодонной</w:t>
      </w:r>
      <w:r w:rsidR="00514302">
        <w:rPr>
          <w:rFonts w:ascii="Times New Roman" w:hAnsi="Times New Roman"/>
          <w:sz w:val="28"/>
          <w:szCs w:val="28"/>
        </w:rPr>
        <w:t xml:space="preserve"> колбе и высушивают в течение 2–</w:t>
      </w:r>
      <w:r>
        <w:rPr>
          <w:rFonts w:ascii="Times New Roman" w:hAnsi="Times New Roman"/>
          <w:sz w:val="28"/>
          <w:szCs w:val="28"/>
        </w:rPr>
        <w:t xml:space="preserve">3 ч над натрия сульфатом безводным, фильтруют через </w:t>
      </w:r>
      <w:proofErr w:type="spellStart"/>
      <w:r>
        <w:rPr>
          <w:rFonts w:ascii="Times New Roman" w:hAnsi="Times New Roman"/>
          <w:sz w:val="28"/>
          <w:szCs w:val="28"/>
        </w:rPr>
        <w:t>беззольный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фильтр. Безводный органический раствор помещают в предварительно взвешенную с точностью до 0,001 г </w:t>
      </w:r>
      <w:proofErr w:type="spellStart"/>
      <w:r>
        <w:rPr>
          <w:rFonts w:ascii="Times New Roman" w:hAnsi="Times New Roman"/>
          <w:sz w:val="28"/>
          <w:szCs w:val="28"/>
        </w:rPr>
        <w:t>круглодонную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колбу вместимостью 100 мл и отгоняют растворитель на роторном испарителе при температуре не выше 40 </w:t>
      </w:r>
      <w:proofErr w:type="spellStart"/>
      <w:r w:rsidRPr="0056088D"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. Полученный остаток высушивают при температуре 100-105 </w:t>
      </w:r>
      <w:proofErr w:type="spellStart"/>
      <w:r w:rsidRPr="0056088D"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до постоянной массы. Колбу с сухим остатком взвешивают с точностью до 0,001 г.</w:t>
      </w:r>
    </w:p>
    <w:p w:rsidR="008A5355" w:rsidRDefault="008A5355" w:rsidP="008A5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9CA">
        <w:rPr>
          <w:rFonts w:ascii="Times New Roman" w:hAnsi="Times New Roman"/>
          <w:b/>
          <w:i/>
          <w:sz w:val="28"/>
          <w:szCs w:val="28"/>
        </w:rPr>
        <w:t>Обработка результатов.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D32">
        <w:rPr>
          <w:rFonts w:ascii="Times New Roman" w:hAnsi="Times New Roman"/>
          <w:sz w:val="28"/>
          <w:szCs w:val="28"/>
        </w:rPr>
        <w:t>Содержание жирного масла</w:t>
      </w:r>
      <w:r>
        <w:rPr>
          <w:rFonts w:ascii="Times New Roman" w:hAnsi="Times New Roman"/>
          <w:sz w:val="28"/>
          <w:szCs w:val="28"/>
        </w:rPr>
        <w:t xml:space="preserve"> (липидов)</w:t>
      </w:r>
      <w:r w:rsidRPr="00883D32">
        <w:rPr>
          <w:rFonts w:ascii="Times New Roman" w:hAnsi="Times New Roman"/>
          <w:sz w:val="28"/>
          <w:szCs w:val="28"/>
        </w:rPr>
        <w:t xml:space="preserve"> в </w:t>
      </w:r>
      <w:r w:rsidRPr="006873AF">
        <w:rPr>
          <w:rFonts w:ascii="Times New Roman" w:hAnsi="Times New Roman"/>
          <w:sz w:val="28"/>
          <w:szCs w:val="28"/>
        </w:rPr>
        <w:t>препарате</w:t>
      </w:r>
      <w:r>
        <w:rPr>
          <w:rFonts w:ascii="Times New Roman" w:hAnsi="Times New Roman"/>
          <w:sz w:val="28"/>
          <w:szCs w:val="28"/>
        </w:rPr>
        <w:t xml:space="preserve"> в пересчёте на сухое вещество</w:t>
      </w:r>
      <w:r w:rsidRPr="00883D32">
        <w:rPr>
          <w:rFonts w:ascii="Times New Roman" w:hAnsi="Times New Roman"/>
          <w:sz w:val="28"/>
          <w:szCs w:val="28"/>
        </w:rPr>
        <w:t xml:space="preserve"> в процентах (</w:t>
      </w:r>
      <w:r w:rsidRPr="00883D32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883D32">
        <w:rPr>
          <w:rFonts w:ascii="Times New Roman" w:hAnsi="Times New Roman"/>
          <w:sz w:val="28"/>
          <w:szCs w:val="28"/>
        </w:rPr>
        <w:t>) вычисляют по формуле: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425"/>
        <w:gridCol w:w="425"/>
        <w:gridCol w:w="426"/>
        <w:gridCol w:w="5953"/>
        <w:gridCol w:w="1383"/>
      </w:tblGrid>
      <w:tr w:rsidR="008A5355" w:rsidTr="00F41DC3">
        <w:tc>
          <w:tcPr>
            <w:tcW w:w="1384" w:type="dxa"/>
            <w:gridSpan w:val="2"/>
          </w:tcPr>
          <w:p w:rsidR="008A5355" w:rsidRDefault="008A5355" w:rsidP="00F41DC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8A5355" w:rsidRPr="00824762" w:rsidRDefault="006D5A31" w:rsidP="00F41DC3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)·100·100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·(100-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W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:rsidR="008A5355" w:rsidRDefault="008A5355" w:rsidP="00F41DC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</w:tr>
      <w:tr w:rsidR="008A5355" w:rsidTr="00F41DC3">
        <w:tc>
          <w:tcPr>
            <w:tcW w:w="959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716965">
              <w:rPr>
                <w:rFonts w:ascii="Times New Roman" w:hAnsi="Times New Roman"/>
                <w:sz w:val="28"/>
                <w:szCs w:val="28"/>
              </w:rPr>
              <w:t>где:</w:t>
            </w:r>
          </w:p>
        </w:tc>
        <w:tc>
          <w:tcPr>
            <w:tcW w:w="850" w:type="dxa"/>
            <w:gridSpan w:val="2"/>
          </w:tcPr>
          <w:p w:rsidR="008A5355" w:rsidRPr="00196C42" w:rsidRDefault="006D5A31" w:rsidP="00F41DC3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Theme="majorHAns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Theme="majorHAns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Theme="majorHAnsi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6965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36" w:type="dxa"/>
            <w:gridSpan w:val="2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колбы с сухим остатком</w:t>
            </w:r>
            <w:r w:rsidRPr="006873AF">
              <w:rPr>
                <w:rFonts w:ascii="Times New Roman" w:hAnsi="Times New Roman"/>
                <w:sz w:val="28"/>
                <w:szCs w:val="28"/>
              </w:rPr>
              <w:t>, г;</w:t>
            </w:r>
          </w:p>
        </w:tc>
      </w:tr>
      <w:tr w:rsidR="008A5355" w:rsidRPr="001927D3" w:rsidTr="00F41DC3">
        <w:tc>
          <w:tcPr>
            <w:tcW w:w="959" w:type="dxa"/>
          </w:tcPr>
          <w:p w:rsidR="008A5355" w:rsidRPr="009D3DD3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8A5355" w:rsidRPr="00196C42" w:rsidRDefault="006D5A31" w:rsidP="00F41DC3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Theme="majorHAns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Theme="majorHAnsi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6965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36" w:type="dxa"/>
            <w:gridSpan w:val="2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пустой колбы</w:t>
            </w:r>
            <w:r w:rsidRPr="006873AF">
              <w:rPr>
                <w:rFonts w:ascii="Times New Roman" w:hAnsi="Times New Roman"/>
                <w:sz w:val="28"/>
                <w:szCs w:val="28"/>
              </w:rPr>
              <w:t>, г;</w:t>
            </w:r>
          </w:p>
        </w:tc>
      </w:tr>
      <w:tr w:rsidR="008A5355" w:rsidRPr="001927D3" w:rsidTr="00F41DC3">
        <w:tc>
          <w:tcPr>
            <w:tcW w:w="959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8A5355" w:rsidRPr="00196C42" w:rsidRDefault="008A5355" w:rsidP="00F41DC3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196C42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426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6965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36" w:type="dxa"/>
            <w:gridSpan w:val="2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873AF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>испытуемого образца</w:t>
            </w:r>
            <w:r w:rsidRPr="006873AF">
              <w:rPr>
                <w:rFonts w:ascii="Times New Roman" w:hAnsi="Times New Roman"/>
                <w:sz w:val="28"/>
                <w:szCs w:val="28"/>
              </w:rPr>
              <w:t>, г;</w:t>
            </w:r>
          </w:p>
        </w:tc>
      </w:tr>
      <w:tr w:rsidR="008A5355" w:rsidRPr="001927D3" w:rsidTr="00F41DC3">
        <w:tc>
          <w:tcPr>
            <w:tcW w:w="959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8A5355" w:rsidRPr="00196C42" w:rsidRDefault="008A5355" w:rsidP="00F41DC3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196C42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6" w:type="dxa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6965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336" w:type="dxa"/>
            <w:gridSpan w:val="2"/>
          </w:tcPr>
          <w:p w:rsidR="008A5355" w:rsidRDefault="008A5355" w:rsidP="00F41DC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потеря в массе при высушивании</w:t>
            </w:r>
            <w:r w:rsidRPr="006873AF">
              <w:rPr>
                <w:rFonts w:ascii="Times New Roman" w:hAnsi="Times New Roman"/>
                <w:sz w:val="28"/>
                <w:szCs w:val="28"/>
              </w:rPr>
              <w:t>, %.</w:t>
            </w:r>
          </w:p>
        </w:tc>
      </w:tr>
    </w:tbl>
    <w:p w:rsidR="00A81178" w:rsidRDefault="00A81178" w:rsidP="008A5355">
      <w:pPr>
        <w:keepNext/>
        <w:spacing w:before="240" w:after="120" w:line="360" w:lineRule="auto"/>
        <w:rPr>
          <w:rFonts w:ascii="Times New Roman" w:hAnsi="Times New Roman"/>
          <w:b/>
          <w:color w:val="7030A0"/>
          <w:sz w:val="28"/>
          <w:szCs w:val="28"/>
        </w:rPr>
      </w:pPr>
    </w:p>
    <w:sectPr w:rsidR="00A81178" w:rsidSect="00DD2B49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90E" w:rsidRDefault="0052790E" w:rsidP="008705EC">
      <w:pPr>
        <w:spacing w:after="0" w:line="240" w:lineRule="auto"/>
      </w:pPr>
      <w:r>
        <w:separator/>
      </w:r>
    </w:p>
  </w:endnote>
  <w:endnote w:type="continuationSeparator" w:id="0">
    <w:p w:rsidR="0052790E" w:rsidRDefault="0052790E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6D5A31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B00D7A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BB63E7">
          <w:rPr>
            <w:rFonts w:ascii="Times New Roman" w:hAnsi="Times New Roman"/>
            <w:noProof/>
            <w:sz w:val="28"/>
            <w:szCs w:val="28"/>
          </w:rPr>
          <w:t>4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90E" w:rsidRDefault="0052790E" w:rsidP="008705EC">
      <w:pPr>
        <w:spacing w:after="0" w:line="240" w:lineRule="auto"/>
      </w:pPr>
      <w:r>
        <w:separator/>
      </w:r>
    </w:p>
  </w:footnote>
  <w:footnote w:type="continuationSeparator" w:id="0">
    <w:p w:rsidR="0052790E" w:rsidRDefault="0052790E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F2793"/>
    <w:rsid w:val="00014FC6"/>
    <w:rsid w:val="0002608B"/>
    <w:rsid w:val="00037385"/>
    <w:rsid w:val="00054233"/>
    <w:rsid w:val="00067043"/>
    <w:rsid w:val="000767C5"/>
    <w:rsid w:val="000A120F"/>
    <w:rsid w:val="000A2B31"/>
    <w:rsid w:val="000D418D"/>
    <w:rsid w:val="000D77C7"/>
    <w:rsid w:val="00114D8D"/>
    <w:rsid w:val="00134DBA"/>
    <w:rsid w:val="001517E7"/>
    <w:rsid w:val="0016148A"/>
    <w:rsid w:val="00177AF1"/>
    <w:rsid w:val="00177D46"/>
    <w:rsid w:val="00183830"/>
    <w:rsid w:val="001A1C25"/>
    <w:rsid w:val="001A5430"/>
    <w:rsid w:val="001C08CB"/>
    <w:rsid w:val="001E3766"/>
    <w:rsid w:val="00200E43"/>
    <w:rsid w:val="002073DA"/>
    <w:rsid w:val="00220301"/>
    <w:rsid w:val="002235AA"/>
    <w:rsid w:val="0023081B"/>
    <w:rsid w:val="00244839"/>
    <w:rsid w:val="00262A32"/>
    <w:rsid w:val="002D2963"/>
    <w:rsid w:val="002E0BC1"/>
    <w:rsid w:val="002E4ACC"/>
    <w:rsid w:val="002E5ED9"/>
    <w:rsid w:val="002F439A"/>
    <w:rsid w:val="00301130"/>
    <w:rsid w:val="00306E08"/>
    <w:rsid w:val="00323E01"/>
    <w:rsid w:val="0032732B"/>
    <w:rsid w:val="00330597"/>
    <w:rsid w:val="0033216D"/>
    <w:rsid w:val="00341DC8"/>
    <w:rsid w:val="00346360"/>
    <w:rsid w:val="00353747"/>
    <w:rsid w:val="00362E87"/>
    <w:rsid w:val="00371ECD"/>
    <w:rsid w:val="00373800"/>
    <w:rsid w:val="0037381F"/>
    <w:rsid w:val="00387F8F"/>
    <w:rsid w:val="003A3F80"/>
    <w:rsid w:val="003B13C7"/>
    <w:rsid w:val="003B2C61"/>
    <w:rsid w:val="003C0B97"/>
    <w:rsid w:val="003C0C97"/>
    <w:rsid w:val="003C343A"/>
    <w:rsid w:val="003D568D"/>
    <w:rsid w:val="003F3739"/>
    <w:rsid w:val="00415A6D"/>
    <w:rsid w:val="00431F32"/>
    <w:rsid w:val="0043401B"/>
    <w:rsid w:val="00434FC4"/>
    <w:rsid w:val="00446E51"/>
    <w:rsid w:val="00461EC3"/>
    <w:rsid w:val="00466082"/>
    <w:rsid w:val="00471594"/>
    <w:rsid w:val="0048269A"/>
    <w:rsid w:val="0048650F"/>
    <w:rsid w:val="00490F95"/>
    <w:rsid w:val="0049239B"/>
    <w:rsid w:val="00492EF9"/>
    <w:rsid w:val="00497E6A"/>
    <w:rsid w:val="004A53B1"/>
    <w:rsid w:val="004A5801"/>
    <w:rsid w:val="004C6940"/>
    <w:rsid w:val="004D04D3"/>
    <w:rsid w:val="004D2975"/>
    <w:rsid w:val="004D31E1"/>
    <w:rsid w:val="004E08B1"/>
    <w:rsid w:val="004F520A"/>
    <w:rsid w:val="004F75B0"/>
    <w:rsid w:val="00502965"/>
    <w:rsid w:val="00514302"/>
    <w:rsid w:val="00517DAE"/>
    <w:rsid w:val="0052790E"/>
    <w:rsid w:val="00540049"/>
    <w:rsid w:val="00546691"/>
    <w:rsid w:val="005613EC"/>
    <w:rsid w:val="005668AF"/>
    <w:rsid w:val="00571CD9"/>
    <w:rsid w:val="00584178"/>
    <w:rsid w:val="00585C7A"/>
    <w:rsid w:val="005975F1"/>
    <w:rsid w:val="005D5D6B"/>
    <w:rsid w:val="00606EAA"/>
    <w:rsid w:val="006305F0"/>
    <w:rsid w:val="00634CCB"/>
    <w:rsid w:val="00635F2B"/>
    <w:rsid w:val="00662B4E"/>
    <w:rsid w:val="00665F63"/>
    <w:rsid w:val="00666915"/>
    <w:rsid w:val="006818BA"/>
    <w:rsid w:val="00695841"/>
    <w:rsid w:val="0069682A"/>
    <w:rsid w:val="006B4955"/>
    <w:rsid w:val="006D0EB0"/>
    <w:rsid w:val="006D5A31"/>
    <w:rsid w:val="006F2567"/>
    <w:rsid w:val="00703824"/>
    <w:rsid w:val="007208F1"/>
    <w:rsid w:val="00723B0B"/>
    <w:rsid w:val="00747A28"/>
    <w:rsid w:val="00750752"/>
    <w:rsid w:val="0076664C"/>
    <w:rsid w:val="00777142"/>
    <w:rsid w:val="007818CB"/>
    <w:rsid w:val="00787178"/>
    <w:rsid w:val="007874A9"/>
    <w:rsid w:val="007A56CB"/>
    <w:rsid w:val="007C0488"/>
    <w:rsid w:val="007C4826"/>
    <w:rsid w:val="007F63DC"/>
    <w:rsid w:val="007F7347"/>
    <w:rsid w:val="00805E0E"/>
    <w:rsid w:val="00806E91"/>
    <w:rsid w:val="00815C5E"/>
    <w:rsid w:val="00816763"/>
    <w:rsid w:val="008226CF"/>
    <w:rsid w:val="00826734"/>
    <w:rsid w:val="00832F4A"/>
    <w:rsid w:val="0084354F"/>
    <w:rsid w:val="00860A4D"/>
    <w:rsid w:val="008705EC"/>
    <w:rsid w:val="008751CE"/>
    <w:rsid w:val="0089136A"/>
    <w:rsid w:val="008A47BD"/>
    <w:rsid w:val="008A5355"/>
    <w:rsid w:val="008B2C74"/>
    <w:rsid w:val="008C1284"/>
    <w:rsid w:val="008C307E"/>
    <w:rsid w:val="008D45F9"/>
    <w:rsid w:val="008E20D5"/>
    <w:rsid w:val="008E472B"/>
    <w:rsid w:val="008F3484"/>
    <w:rsid w:val="009068A4"/>
    <w:rsid w:val="009153CE"/>
    <w:rsid w:val="00916952"/>
    <w:rsid w:val="009266C0"/>
    <w:rsid w:val="00935DAF"/>
    <w:rsid w:val="0094175F"/>
    <w:rsid w:val="009441D4"/>
    <w:rsid w:val="00964D9C"/>
    <w:rsid w:val="00974F90"/>
    <w:rsid w:val="009A0B40"/>
    <w:rsid w:val="009A5E81"/>
    <w:rsid w:val="009B18BC"/>
    <w:rsid w:val="009B50A5"/>
    <w:rsid w:val="009D0515"/>
    <w:rsid w:val="00A1402B"/>
    <w:rsid w:val="00A30564"/>
    <w:rsid w:val="00A4542B"/>
    <w:rsid w:val="00A60C39"/>
    <w:rsid w:val="00A81178"/>
    <w:rsid w:val="00A82D75"/>
    <w:rsid w:val="00A9145F"/>
    <w:rsid w:val="00A94262"/>
    <w:rsid w:val="00AA3A41"/>
    <w:rsid w:val="00AB224C"/>
    <w:rsid w:val="00AC11B8"/>
    <w:rsid w:val="00AC6F76"/>
    <w:rsid w:val="00AD4881"/>
    <w:rsid w:val="00AE0841"/>
    <w:rsid w:val="00AF2793"/>
    <w:rsid w:val="00B00D7A"/>
    <w:rsid w:val="00B12CF1"/>
    <w:rsid w:val="00B14CB4"/>
    <w:rsid w:val="00B24B78"/>
    <w:rsid w:val="00B41CFD"/>
    <w:rsid w:val="00B65ECE"/>
    <w:rsid w:val="00BB63E7"/>
    <w:rsid w:val="00BD1D7A"/>
    <w:rsid w:val="00BD52A6"/>
    <w:rsid w:val="00BD6081"/>
    <w:rsid w:val="00BE550E"/>
    <w:rsid w:val="00C043DD"/>
    <w:rsid w:val="00C33B67"/>
    <w:rsid w:val="00C62691"/>
    <w:rsid w:val="00C64DC5"/>
    <w:rsid w:val="00C72804"/>
    <w:rsid w:val="00C9293B"/>
    <w:rsid w:val="00CA713C"/>
    <w:rsid w:val="00CC3C28"/>
    <w:rsid w:val="00CD421A"/>
    <w:rsid w:val="00CF4FAB"/>
    <w:rsid w:val="00CF5790"/>
    <w:rsid w:val="00D02662"/>
    <w:rsid w:val="00D1431A"/>
    <w:rsid w:val="00D44707"/>
    <w:rsid w:val="00D50C05"/>
    <w:rsid w:val="00D54F0D"/>
    <w:rsid w:val="00D61017"/>
    <w:rsid w:val="00D640FB"/>
    <w:rsid w:val="00D6787B"/>
    <w:rsid w:val="00D86BDC"/>
    <w:rsid w:val="00D91C35"/>
    <w:rsid w:val="00DA11F3"/>
    <w:rsid w:val="00DA1B87"/>
    <w:rsid w:val="00DA2FAD"/>
    <w:rsid w:val="00DA3D3E"/>
    <w:rsid w:val="00DA54BF"/>
    <w:rsid w:val="00DB0CBB"/>
    <w:rsid w:val="00DB5F95"/>
    <w:rsid w:val="00DD1D2B"/>
    <w:rsid w:val="00DD2B49"/>
    <w:rsid w:val="00DD3FD2"/>
    <w:rsid w:val="00DF6B23"/>
    <w:rsid w:val="00E40A64"/>
    <w:rsid w:val="00E42950"/>
    <w:rsid w:val="00E46414"/>
    <w:rsid w:val="00E60C93"/>
    <w:rsid w:val="00E650B8"/>
    <w:rsid w:val="00E719BC"/>
    <w:rsid w:val="00E92217"/>
    <w:rsid w:val="00E97FCF"/>
    <w:rsid w:val="00EB71FC"/>
    <w:rsid w:val="00EC1F4E"/>
    <w:rsid w:val="00EC3E9A"/>
    <w:rsid w:val="00F010F2"/>
    <w:rsid w:val="00F264ED"/>
    <w:rsid w:val="00F27A47"/>
    <w:rsid w:val="00F34AD8"/>
    <w:rsid w:val="00F37840"/>
    <w:rsid w:val="00F429B6"/>
    <w:rsid w:val="00F538E3"/>
    <w:rsid w:val="00F54B6D"/>
    <w:rsid w:val="00F579B8"/>
    <w:rsid w:val="00F76DB2"/>
    <w:rsid w:val="00F76F7C"/>
    <w:rsid w:val="00F94621"/>
    <w:rsid w:val="00FD2A11"/>
    <w:rsid w:val="00FE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8A5355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4CC4-0CB8-4229-B632-5211B229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KonovalovaEV</cp:lastModifiedBy>
  <cp:revision>11</cp:revision>
  <cp:lastPrinted>2023-07-12T13:09:00Z</cp:lastPrinted>
  <dcterms:created xsi:type="dcterms:W3CDTF">2023-06-20T10:16:00Z</dcterms:created>
  <dcterms:modified xsi:type="dcterms:W3CDTF">2023-07-13T12:23:00Z</dcterms:modified>
</cp:coreProperties>
</file>