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6E" w:rsidRPr="00600322" w:rsidRDefault="00DE4E6E" w:rsidP="00DE4E6E">
      <w:pPr>
        <w:spacing w:line="360" w:lineRule="auto"/>
        <w:jc w:val="center"/>
        <w:rPr>
          <w:color w:val="000000" w:themeColor="text1"/>
          <w:spacing w:val="-10"/>
          <w:sz w:val="28"/>
          <w:szCs w:val="28"/>
        </w:rPr>
      </w:pPr>
      <w:r w:rsidRPr="00F3686D">
        <w:rPr>
          <w:b/>
          <w:color w:val="000000"/>
          <w:spacing w:val="-10"/>
          <w:sz w:val="28"/>
          <w:szCs w:val="28"/>
        </w:rPr>
        <w:t xml:space="preserve">МИНИСТЕРСТВО </w:t>
      </w:r>
      <w:r w:rsidR="00FF3C5C" w:rsidRPr="00FF3C5C">
        <w:rPr>
          <w:b/>
          <w:color w:val="000000" w:themeColor="text1"/>
          <w:spacing w:val="-10"/>
          <w:sz w:val="28"/>
          <w:szCs w:val="28"/>
        </w:rPr>
        <w:t>ЗДРАВООХРАНЕНИЯ РОССИЙСКОЙ ФЕДЕРАЦИИ</w:t>
      </w:r>
    </w:p>
    <w:p w:rsidR="00FF3C5C" w:rsidRPr="00FF3C5C" w:rsidRDefault="00FF3C5C" w:rsidP="00FF3C5C">
      <w:pPr>
        <w:pStyle w:val="a9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F3C5C" w:rsidRPr="00FF3C5C" w:rsidRDefault="00FF3C5C" w:rsidP="00FF3C5C">
      <w:pPr>
        <w:pStyle w:val="a9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F3C5C" w:rsidRPr="00FF3C5C" w:rsidRDefault="00FF3C5C" w:rsidP="00FF3C5C">
      <w:pPr>
        <w:pStyle w:val="a9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DE4E6E" w:rsidRPr="00832424" w:rsidRDefault="00832424" w:rsidP="00832424">
      <w:pPr>
        <w:jc w:val="center"/>
        <w:rPr>
          <w:rFonts w:eastAsiaTheme="minorHAnsi"/>
          <w:b/>
          <w:sz w:val="32"/>
          <w:szCs w:val="32"/>
        </w:rPr>
      </w:pPr>
      <w:r w:rsidRPr="00832424">
        <w:rPr>
          <w:rFonts w:eastAsiaTheme="minorHAnsi"/>
          <w:b/>
          <w:sz w:val="32"/>
          <w:szCs w:val="32"/>
        </w:rPr>
        <w:t>ОБЩАЯ ФАРМАКОПЕЙНАЯ СТАТЬЯ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E4E6E" w:rsidRPr="00600322" w:rsidTr="00600322">
        <w:trPr>
          <w:trHeight w:val="266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4E6E" w:rsidRPr="00600322" w:rsidRDefault="00DE4E6E" w:rsidP="0062448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E4E6E" w:rsidRPr="00F3686D" w:rsidRDefault="00DE4E6E" w:rsidP="00DE4E6E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DE4E6E" w:rsidRPr="00F3686D" w:rsidTr="00F73138">
        <w:trPr>
          <w:trHeight w:val="397"/>
        </w:trPr>
        <w:tc>
          <w:tcPr>
            <w:tcW w:w="5494" w:type="dxa"/>
            <w:hideMark/>
          </w:tcPr>
          <w:p w:rsidR="00FF3C5C" w:rsidRPr="00832424" w:rsidRDefault="00FF3C5C" w:rsidP="00370D5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32424">
              <w:rPr>
                <w:rFonts w:ascii="Times New Roman" w:hAnsi="Times New Roman"/>
                <w:b/>
                <w:sz w:val="28"/>
                <w:szCs w:val="28"/>
              </w:rPr>
              <w:t>Однородность массы (объёма) доз, отобранных из многодозовой упаковки</w:t>
            </w:r>
          </w:p>
        </w:tc>
        <w:tc>
          <w:tcPr>
            <w:tcW w:w="283" w:type="dxa"/>
          </w:tcPr>
          <w:p w:rsidR="00FF3C5C" w:rsidRPr="00832424" w:rsidRDefault="00FF3C5C" w:rsidP="00370D5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E4E6E" w:rsidRPr="00832424" w:rsidRDefault="00DE4E6E" w:rsidP="00370D53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491D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.1.4.2.003</w:t>
            </w:r>
            <w:r w:rsidR="0067536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DE4E6E" w:rsidRPr="00F3686D" w:rsidTr="00F73138">
        <w:trPr>
          <w:trHeight w:val="397"/>
        </w:trPr>
        <w:tc>
          <w:tcPr>
            <w:tcW w:w="5494" w:type="dxa"/>
          </w:tcPr>
          <w:p w:rsidR="00DE4E6E" w:rsidRPr="00832424" w:rsidRDefault="00DE4E6E" w:rsidP="00370D53">
            <w:pPr>
              <w:spacing w:after="120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FF3C5C" w:rsidRPr="00832424" w:rsidRDefault="00FF3C5C" w:rsidP="00370D5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E4E6E" w:rsidRPr="00832424" w:rsidRDefault="00DE4E6E" w:rsidP="00370D5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32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Вводится </w:t>
            </w:r>
            <w:r w:rsidR="00434D04" w:rsidRPr="00832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впервые</w:t>
            </w:r>
          </w:p>
        </w:tc>
      </w:tr>
    </w:tbl>
    <w:p w:rsidR="00DE4E6E" w:rsidRDefault="00DE4E6E" w:rsidP="00370D53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E4E6E" w:rsidTr="00BF0963">
        <w:trPr>
          <w:trHeight w:val="266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E6E" w:rsidRPr="00370D53" w:rsidRDefault="00DE4E6E" w:rsidP="006244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3C5C" w:rsidRDefault="00FF3C5C" w:rsidP="00370D53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3094F" w:rsidRDefault="0003094F" w:rsidP="00C36908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общая фармакопейная статья распространяется на лекарственные формы (жидкие лекарственные формы, гранулы, порошки</w:t>
      </w:r>
      <w:r w:rsidR="0087669F">
        <w:rPr>
          <w:sz w:val="28"/>
          <w:szCs w:val="28"/>
        </w:rPr>
        <w:t xml:space="preserve"> и др.</w:t>
      </w:r>
      <w:r>
        <w:rPr>
          <w:sz w:val="28"/>
          <w:szCs w:val="28"/>
        </w:rPr>
        <w:t>), выпускаемые в многодозовой упаковке в комплекте с прилагаемым средством дозирования</w:t>
      </w:r>
      <w:r w:rsidR="007F08BB">
        <w:rPr>
          <w:sz w:val="28"/>
          <w:szCs w:val="28"/>
        </w:rPr>
        <w:t xml:space="preserve"> </w:t>
      </w:r>
      <w:r w:rsidR="00724F18" w:rsidRPr="00191E67">
        <w:rPr>
          <w:sz w:val="28"/>
          <w:szCs w:val="28"/>
        </w:rPr>
        <w:t>–</w:t>
      </w:r>
      <w:r w:rsidR="007F08BB">
        <w:rPr>
          <w:sz w:val="28"/>
          <w:szCs w:val="28"/>
        </w:rPr>
        <w:t xml:space="preserve"> </w:t>
      </w:r>
      <w:r>
        <w:rPr>
          <w:sz w:val="28"/>
          <w:szCs w:val="28"/>
        </w:rPr>
        <w:t>мерным устройством для отбора</w:t>
      </w:r>
      <w:bookmarkStart w:id="0" w:name="_GoBack"/>
      <w:bookmarkEnd w:id="0"/>
      <w:r w:rsidR="0087669F">
        <w:rPr>
          <w:sz w:val="28"/>
          <w:szCs w:val="28"/>
        </w:rPr>
        <w:t xml:space="preserve"> </w:t>
      </w:r>
      <w:r w:rsidR="006259A1">
        <w:rPr>
          <w:sz w:val="28"/>
          <w:szCs w:val="28"/>
        </w:rPr>
        <w:t xml:space="preserve">по массе или по объёму дозы, необходимой </w:t>
      </w:r>
      <w:r w:rsidR="006429FE">
        <w:rPr>
          <w:sz w:val="28"/>
          <w:szCs w:val="28"/>
        </w:rPr>
        <w:t>для применения</w:t>
      </w:r>
      <w:r w:rsidR="006259A1">
        <w:rPr>
          <w:sz w:val="28"/>
          <w:szCs w:val="28"/>
        </w:rPr>
        <w:t>.</w:t>
      </w:r>
    </w:p>
    <w:p w:rsidR="00DF1AD2" w:rsidRDefault="00C36908" w:rsidP="00C36908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испытание пр</w:t>
      </w:r>
      <w:r w:rsidR="00551F45">
        <w:rPr>
          <w:sz w:val="28"/>
          <w:szCs w:val="28"/>
        </w:rPr>
        <w:t xml:space="preserve">едназначено для оценки однородности массы или </w:t>
      </w:r>
      <w:r w:rsidR="006704AD">
        <w:rPr>
          <w:sz w:val="28"/>
          <w:szCs w:val="28"/>
        </w:rPr>
        <w:t xml:space="preserve">однородности </w:t>
      </w:r>
      <w:r w:rsidR="00551F45">
        <w:rPr>
          <w:sz w:val="28"/>
          <w:szCs w:val="28"/>
        </w:rPr>
        <w:t>объёма доз</w:t>
      </w:r>
      <w:r w:rsidR="006704AD">
        <w:rPr>
          <w:sz w:val="28"/>
          <w:szCs w:val="28"/>
        </w:rPr>
        <w:t>, от</w:t>
      </w:r>
      <w:r w:rsidR="00DF1AD2">
        <w:rPr>
          <w:sz w:val="28"/>
          <w:szCs w:val="28"/>
        </w:rPr>
        <w:t>обранных</w:t>
      </w:r>
      <w:r w:rsidR="0003094F">
        <w:rPr>
          <w:sz w:val="28"/>
          <w:szCs w:val="28"/>
        </w:rPr>
        <w:t xml:space="preserve"> </w:t>
      </w:r>
      <w:r w:rsidR="006704AD">
        <w:rPr>
          <w:sz w:val="28"/>
          <w:szCs w:val="28"/>
        </w:rPr>
        <w:t>с помощью мерного устройства</w:t>
      </w:r>
      <w:r w:rsidR="006259A1">
        <w:rPr>
          <w:sz w:val="28"/>
          <w:szCs w:val="28"/>
        </w:rPr>
        <w:t xml:space="preserve"> (стаканчик мерный, ложка мерная, дозатор шприцевой и др.)</w:t>
      </w:r>
      <w:r w:rsidR="0003094F">
        <w:rPr>
          <w:sz w:val="28"/>
          <w:szCs w:val="28"/>
        </w:rPr>
        <w:t xml:space="preserve">, </w:t>
      </w:r>
      <w:r w:rsidR="0087669F">
        <w:rPr>
          <w:sz w:val="28"/>
          <w:szCs w:val="28"/>
        </w:rPr>
        <w:t>входящего</w:t>
      </w:r>
      <w:r w:rsidR="0003094F">
        <w:rPr>
          <w:sz w:val="28"/>
          <w:szCs w:val="28"/>
        </w:rPr>
        <w:t xml:space="preserve"> в комплект с </w:t>
      </w:r>
      <w:r>
        <w:rPr>
          <w:sz w:val="28"/>
          <w:szCs w:val="28"/>
        </w:rPr>
        <w:t>лекарственн</w:t>
      </w:r>
      <w:r w:rsidR="0003094F">
        <w:rPr>
          <w:sz w:val="28"/>
          <w:szCs w:val="28"/>
        </w:rPr>
        <w:t xml:space="preserve">ой </w:t>
      </w:r>
      <w:r>
        <w:rPr>
          <w:sz w:val="28"/>
          <w:szCs w:val="28"/>
        </w:rPr>
        <w:t>форм</w:t>
      </w:r>
      <w:r w:rsidR="0003094F">
        <w:rPr>
          <w:sz w:val="28"/>
          <w:szCs w:val="28"/>
        </w:rPr>
        <w:t>ой.</w:t>
      </w:r>
    </w:p>
    <w:p w:rsidR="008814D9" w:rsidRDefault="006704AD" w:rsidP="00C36908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814D9">
        <w:rPr>
          <w:sz w:val="28"/>
          <w:szCs w:val="28"/>
        </w:rPr>
        <w:t xml:space="preserve">спытание проводят на 20 индивидуальных дозах лекарственной формы, отобранных случайным образом из одной или нескольких многодозовых упаковок с помощью </w:t>
      </w:r>
      <w:r w:rsidR="002228BE">
        <w:rPr>
          <w:sz w:val="28"/>
          <w:szCs w:val="28"/>
        </w:rPr>
        <w:t xml:space="preserve">прилагаемого </w:t>
      </w:r>
      <w:r>
        <w:rPr>
          <w:sz w:val="28"/>
          <w:szCs w:val="28"/>
        </w:rPr>
        <w:t xml:space="preserve">к упаковке </w:t>
      </w:r>
      <w:r w:rsidR="008814D9">
        <w:rPr>
          <w:sz w:val="28"/>
          <w:szCs w:val="28"/>
        </w:rPr>
        <w:t>мерного устройства</w:t>
      </w:r>
      <w:r w:rsidR="00AF0A99">
        <w:rPr>
          <w:sz w:val="28"/>
          <w:szCs w:val="28"/>
        </w:rPr>
        <w:t>.</w:t>
      </w:r>
    </w:p>
    <w:p w:rsidR="00DF1AD2" w:rsidRDefault="00C53E96" w:rsidP="00CE08B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DF1AD2">
        <w:rPr>
          <w:sz w:val="28"/>
          <w:szCs w:val="28"/>
        </w:rPr>
        <w:t xml:space="preserve">отбираемая доза лекарственной формы </w:t>
      </w:r>
      <w:r w:rsidR="00CF0FB9">
        <w:rPr>
          <w:sz w:val="28"/>
          <w:szCs w:val="28"/>
        </w:rPr>
        <w:t xml:space="preserve">в инструкции по применению или в маркировке </w:t>
      </w:r>
      <w:r w:rsidR="00DF1AD2">
        <w:rPr>
          <w:sz w:val="28"/>
          <w:szCs w:val="28"/>
        </w:rPr>
        <w:t>лекарственного препарата у</w:t>
      </w:r>
      <w:r>
        <w:rPr>
          <w:sz w:val="28"/>
          <w:szCs w:val="28"/>
        </w:rPr>
        <w:t>казана, как масса, то о</w:t>
      </w:r>
      <w:r w:rsidR="00E9398B">
        <w:rPr>
          <w:sz w:val="28"/>
          <w:szCs w:val="28"/>
        </w:rPr>
        <w:t xml:space="preserve">пределяют массу </w:t>
      </w:r>
      <w:r w:rsidR="008814D9">
        <w:rPr>
          <w:sz w:val="28"/>
          <w:szCs w:val="28"/>
        </w:rPr>
        <w:t>кажд</w:t>
      </w:r>
      <w:r w:rsidR="00E9398B">
        <w:rPr>
          <w:sz w:val="28"/>
          <w:szCs w:val="28"/>
        </w:rPr>
        <w:t>ой</w:t>
      </w:r>
      <w:r w:rsidR="00212A7B">
        <w:rPr>
          <w:sz w:val="28"/>
          <w:szCs w:val="28"/>
        </w:rPr>
        <w:t xml:space="preserve"> из 20</w:t>
      </w:r>
      <w:r w:rsidR="008814D9">
        <w:rPr>
          <w:sz w:val="28"/>
          <w:szCs w:val="28"/>
        </w:rPr>
        <w:t xml:space="preserve"> </w:t>
      </w:r>
      <w:r w:rsidR="00212A7B">
        <w:rPr>
          <w:sz w:val="28"/>
          <w:szCs w:val="28"/>
        </w:rPr>
        <w:t>отобранных доз лекарственной формы</w:t>
      </w:r>
      <w:r w:rsidR="00E9398B">
        <w:rPr>
          <w:sz w:val="28"/>
          <w:szCs w:val="28"/>
        </w:rPr>
        <w:t>, взвешивая их</w:t>
      </w:r>
      <w:r w:rsidR="00212A7B">
        <w:rPr>
          <w:sz w:val="28"/>
          <w:szCs w:val="28"/>
        </w:rPr>
        <w:t xml:space="preserve"> с точностью до 0,01</w:t>
      </w:r>
      <w:r w:rsidR="00DF1AD2">
        <w:rPr>
          <w:sz w:val="28"/>
          <w:szCs w:val="28"/>
        </w:rPr>
        <w:t> </w:t>
      </w:r>
      <w:r w:rsidR="00212A7B">
        <w:rPr>
          <w:sz w:val="28"/>
          <w:szCs w:val="28"/>
        </w:rPr>
        <w:t xml:space="preserve">г, если </w:t>
      </w:r>
      <w:r w:rsidR="00E9398B">
        <w:rPr>
          <w:sz w:val="28"/>
          <w:szCs w:val="28"/>
        </w:rPr>
        <w:t xml:space="preserve">другое </w:t>
      </w:r>
      <w:r w:rsidR="00212A7B">
        <w:rPr>
          <w:sz w:val="28"/>
          <w:szCs w:val="28"/>
        </w:rPr>
        <w:t>не указано в фармакопейной стать</w:t>
      </w:r>
      <w:r w:rsidR="0039167D">
        <w:rPr>
          <w:sz w:val="28"/>
          <w:szCs w:val="28"/>
        </w:rPr>
        <w:t>е</w:t>
      </w:r>
      <w:r w:rsidR="00CF0FB9">
        <w:rPr>
          <w:sz w:val="28"/>
          <w:szCs w:val="28"/>
        </w:rPr>
        <w:t>.</w:t>
      </w:r>
      <w:r w:rsidR="00E9398B">
        <w:rPr>
          <w:sz w:val="28"/>
          <w:szCs w:val="28"/>
        </w:rPr>
        <w:t xml:space="preserve"> З</w:t>
      </w:r>
      <w:r w:rsidR="0039167D">
        <w:rPr>
          <w:sz w:val="28"/>
          <w:szCs w:val="28"/>
        </w:rPr>
        <w:t>атем рассчитывают среднюю массу</w:t>
      </w:r>
      <w:r w:rsidR="009B6F2F">
        <w:rPr>
          <w:sz w:val="28"/>
          <w:szCs w:val="28"/>
        </w:rPr>
        <w:t xml:space="preserve"> и отклонение от средней массы в </w:t>
      </w:r>
      <w:r w:rsidR="00AF0A99">
        <w:rPr>
          <w:sz w:val="28"/>
          <w:szCs w:val="28"/>
        </w:rPr>
        <w:t>процентах</w:t>
      </w:r>
      <w:r w:rsidR="009B6F2F">
        <w:rPr>
          <w:sz w:val="28"/>
          <w:szCs w:val="28"/>
        </w:rPr>
        <w:t xml:space="preserve"> для каждой из 20 индивидуальных доз</w:t>
      </w:r>
      <w:r w:rsidR="0039167D">
        <w:rPr>
          <w:sz w:val="28"/>
          <w:szCs w:val="28"/>
        </w:rPr>
        <w:t>.</w:t>
      </w:r>
    </w:p>
    <w:p w:rsidR="00CF03C9" w:rsidRDefault="00AF0A99" w:rsidP="00CE08B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</w:t>
      </w:r>
      <w:r w:rsidR="00DF1AD2">
        <w:rPr>
          <w:sz w:val="28"/>
          <w:szCs w:val="28"/>
        </w:rPr>
        <w:t xml:space="preserve">отбираемая доза лекарственной формы </w:t>
      </w:r>
      <w:r>
        <w:rPr>
          <w:sz w:val="28"/>
          <w:szCs w:val="28"/>
        </w:rPr>
        <w:t>в инструкции по применению или в маркировке лекарственно</w:t>
      </w:r>
      <w:r w:rsidR="00DF1AD2">
        <w:rPr>
          <w:sz w:val="28"/>
          <w:szCs w:val="28"/>
        </w:rPr>
        <w:t>го препарата</w:t>
      </w:r>
      <w:r w:rsidR="008F3653">
        <w:rPr>
          <w:sz w:val="28"/>
          <w:szCs w:val="28"/>
        </w:rPr>
        <w:t xml:space="preserve"> указана, как объ</w:t>
      </w:r>
      <w:r w:rsidR="00693B8E">
        <w:rPr>
          <w:sz w:val="28"/>
          <w:szCs w:val="28"/>
        </w:rPr>
        <w:t>ё</w:t>
      </w:r>
      <w:r w:rsidR="008F3653">
        <w:rPr>
          <w:sz w:val="28"/>
          <w:szCs w:val="28"/>
        </w:rPr>
        <w:t>м, то определяют объ</w:t>
      </w:r>
      <w:r w:rsidR="00693B8E">
        <w:rPr>
          <w:sz w:val="28"/>
          <w:szCs w:val="28"/>
        </w:rPr>
        <w:t>ё</w:t>
      </w:r>
      <w:r w:rsidR="008F3653">
        <w:rPr>
          <w:sz w:val="28"/>
          <w:szCs w:val="28"/>
        </w:rPr>
        <w:t>м каждой из 20 отобранных доз лекарственной формы, измеряя их объ</w:t>
      </w:r>
      <w:r w:rsidR="00693B8E">
        <w:rPr>
          <w:sz w:val="28"/>
          <w:szCs w:val="28"/>
        </w:rPr>
        <w:t>ё</w:t>
      </w:r>
      <w:r w:rsidR="008F3653">
        <w:rPr>
          <w:sz w:val="28"/>
          <w:szCs w:val="28"/>
        </w:rPr>
        <w:t>м с точностью до 0,1 мл, если другое не указано в фармакопейной статье</w:t>
      </w:r>
      <w:r w:rsidR="00CF0FB9">
        <w:rPr>
          <w:sz w:val="28"/>
          <w:szCs w:val="28"/>
        </w:rPr>
        <w:t>.</w:t>
      </w:r>
      <w:r w:rsidR="008F3653">
        <w:rPr>
          <w:sz w:val="28"/>
          <w:szCs w:val="28"/>
        </w:rPr>
        <w:t xml:space="preserve"> Затем рассчитывают средний объём и отклонение от среднего объёма в </w:t>
      </w:r>
      <w:r>
        <w:rPr>
          <w:sz w:val="28"/>
          <w:szCs w:val="28"/>
        </w:rPr>
        <w:t xml:space="preserve">процентах </w:t>
      </w:r>
      <w:r w:rsidR="008F3653">
        <w:rPr>
          <w:sz w:val="28"/>
          <w:szCs w:val="28"/>
        </w:rPr>
        <w:t>для каждой из 20 индивидуальных доз.</w:t>
      </w:r>
    </w:p>
    <w:p w:rsidR="00CE08B1" w:rsidRDefault="00AF0A99" w:rsidP="00CE08B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3653">
        <w:rPr>
          <w:sz w:val="28"/>
          <w:szCs w:val="28"/>
        </w:rPr>
        <w:t>бъём</w:t>
      </w:r>
      <w:r>
        <w:rPr>
          <w:sz w:val="28"/>
          <w:szCs w:val="28"/>
        </w:rPr>
        <w:t>ы</w:t>
      </w:r>
      <w:r w:rsidR="008F3653">
        <w:rPr>
          <w:sz w:val="28"/>
          <w:szCs w:val="28"/>
        </w:rPr>
        <w:t xml:space="preserve"> </w:t>
      </w:r>
      <w:r w:rsidR="00CE08B1">
        <w:rPr>
          <w:sz w:val="28"/>
          <w:szCs w:val="28"/>
        </w:rPr>
        <w:t>отбираем</w:t>
      </w:r>
      <w:r>
        <w:rPr>
          <w:sz w:val="28"/>
          <w:szCs w:val="28"/>
        </w:rPr>
        <w:t>ых</w:t>
      </w:r>
      <w:r w:rsidR="00CE08B1">
        <w:rPr>
          <w:sz w:val="28"/>
          <w:szCs w:val="28"/>
        </w:rPr>
        <w:t xml:space="preserve"> доз </w:t>
      </w:r>
      <w:r>
        <w:rPr>
          <w:sz w:val="28"/>
          <w:szCs w:val="28"/>
        </w:rPr>
        <w:t xml:space="preserve">также </w:t>
      </w:r>
      <w:r w:rsidR="008F3653">
        <w:rPr>
          <w:sz w:val="28"/>
          <w:szCs w:val="28"/>
        </w:rPr>
        <w:t>можно определить</w:t>
      </w:r>
      <w:r w:rsidR="00CE08B1">
        <w:rPr>
          <w:sz w:val="28"/>
          <w:szCs w:val="28"/>
        </w:rPr>
        <w:t xml:space="preserve"> пут</w:t>
      </w:r>
      <w:r w:rsidR="00693B8E">
        <w:rPr>
          <w:sz w:val="28"/>
          <w:szCs w:val="28"/>
        </w:rPr>
        <w:t>ё</w:t>
      </w:r>
      <w:r w:rsidR="00CE08B1">
        <w:rPr>
          <w:sz w:val="28"/>
          <w:szCs w:val="28"/>
        </w:rPr>
        <w:t xml:space="preserve">м измерения </w:t>
      </w:r>
      <w:r>
        <w:rPr>
          <w:sz w:val="28"/>
          <w:szCs w:val="28"/>
        </w:rPr>
        <w:t xml:space="preserve">их </w:t>
      </w:r>
      <w:r w:rsidR="00CE08B1">
        <w:rPr>
          <w:sz w:val="28"/>
          <w:szCs w:val="28"/>
        </w:rPr>
        <w:t xml:space="preserve">масс и </w:t>
      </w:r>
      <w:r>
        <w:rPr>
          <w:sz w:val="28"/>
          <w:szCs w:val="28"/>
        </w:rPr>
        <w:t xml:space="preserve">последующего </w:t>
      </w:r>
      <w:r w:rsidR="00CE08B1">
        <w:rPr>
          <w:sz w:val="28"/>
          <w:szCs w:val="28"/>
        </w:rPr>
        <w:t>расч</w:t>
      </w:r>
      <w:r w:rsidR="00693B8E">
        <w:rPr>
          <w:sz w:val="28"/>
          <w:szCs w:val="28"/>
        </w:rPr>
        <w:t>ё</w:t>
      </w:r>
      <w:r w:rsidR="00CE08B1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их </w:t>
      </w:r>
      <w:r w:rsidR="00CE08B1">
        <w:rPr>
          <w:sz w:val="28"/>
          <w:szCs w:val="28"/>
        </w:rPr>
        <w:t>объём</w:t>
      </w:r>
      <w:r>
        <w:rPr>
          <w:sz w:val="28"/>
          <w:szCs w:val="28"/>
        </w:rPr>
        <w:t xml:space="preserve">ов, </w:t>
      </w:r>
      <w:r w:rsidR="008F3653">
        <w:rPr>
          <w:sz w:val="28"/>
          <w:szCs w:val="28"/>
        </w:rPr>
        <w:t>использ</w:t>
      </w:r>
      <w:r>
        <w:rPr>
          <w:sz w:val="28"/>
          <w:szCs w:val="28"/>
        </w:rPr>
        <w:t>уя</w:t>
      </w:r>
      <w:r w:rsidR="00CE08B1">
        <w:rPr>
          <w:sz w:val="28"/>
          <w:szCs w:val="28"/>
        </w:rPr>
        <w:t xml:space="preserve"> </w:t>
      </w:r>
      <w:r w:rsidR="008F3653">
        <w:rPr>
          <w:sz w:val="28"/>
          <w:szCs w:val="28"/>
        </w:rPr>
        <w:t>значени</w:t>
      </w:r>
      <w:r w:rsidR="00CE08B1">
        <w:rPr>
          <w:sz w:val="28"/>
          <w:szCs w:val="28"/>
        </w:rPr>
        <w:t>я</w:t>
      </w:r>
      <w:r w:rsidR="008F3653">
        <w:rPr>
          <w:sz w:val="28"/>
          <w:szCs w:val="28"/>
        </w:rPr>
        <w:t xml:space="preserve"> плотности</w:t>
      </w:r>
      <w:r w:rsidR="00CE0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испытуемой </w:t>
      </w:r>
      <w:r w:rsidR="00CE08B1">
        <w:rPr>
          <w:sz w:val="28"/>
          <w:szCs w:val="28"/>
        </w:rPr>
        <w:t>лекарственной формы.</w:t>
      </w:r>
    </w:p>
    <w:p w:rsidR="007C25AA" w:rsidRDefault="00CF03C9" w:rsidP="00CE08B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DD11D8">
        <w:rPr>
          <w:b/>
          <w:i/>
          <w:sz w:val="28"/>
          <w:szCs w:val="28"/>
        </w:rPr>
        <w:t>Критерии приемлемости</w:t>
      </w:r>
    </w:p>
    <w:p w:rsidR="0039167D" w:rsidRDefault="0039167D" w:rsidP="00CE08B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39167D">
        <w:rPr>
          <w:sz w:val="28"/>
          <w:szCs w:val="28"/>
        </w:rPr>
        <w:t>Лекарственн</w:t>
      </w:r>
      <w:r>
        <w:rPr>
          <w:sz w:val="28"/>
          <w:szCs w:val="28"/>
        </w:rPr>
        <w:t>ую форму</w:t>
      </w:r>
      <w:r w:rsidRPr="0039167D">
        <w:rPr>
          <w:sz w:val="28"/>
          <w:szCs w:val="28"/>
        </w:rPr>
        <w:t xml:space="preserve"> считают выдержавш</w:t>
      </w:r>
      <w:r>
        <w:rPr>
          <w:sz w:val="28"/>
          <w:szCs w:val="28"/>
        </w:rPr>
        <w:t>ей</w:t>
      </w:r>
      <w:r w:rsidRPr="0039167D">
        <w:rPr>
          <w:sz w:val="28"/>
          <w:szCs w:val="28"/>
        </w:rPr>
        <w:t xml:space="preserve"> испытание, если </w:t>
      </w:r>
      <w:r w:rsidR="00E9398B">
        <w:rPr>
          <w:sz w:val="28"/>
          <w:szCs w:val="28"/>
        </w:rPr>
        <w:t xml:space="preserve">масса </w:t>
      </w:r>
      <w:r w:rsidR="00CE08B1">
        <w:rPr>
          <w:sz w:val="28"/>
          <w:szCs w:val="28"/>
        </w:rPr>
        <w:t xml:space="preserve">или объём </w:t>
      </w:r>
      <w:r w:rsidRPr="0039167D">
        <w:rPr>
          <w:sz w:val="28"/>
          <w:szCs w:val="28"/>
        </w:rPr>
        <w:t xml:space="preserve">не более двух индивидуальных </w:t>
      </w:r>
      <w:r w:rsidR="00E9398B">
        <w:rPr>
          <w:sz w:val="28"/>
          <w:szCs w:val="28"/>
        </w:rPr>
        <w:t>доз</w:t>
      </w:r>
      <w:r w:rsidRPr="0039167D">
        <w:rPr>
          <w:sz w:val="28"/>
          <w:szCs w:val="28"/>
        </w:rPr>
        <w:t xml:space="preserve"> отклоня</w:t>
      </w:r>
      <w:r w:rsidR="00E9398B">
        <w:rPr>
          <w:sz w:val="28"/>
          <w:szCs w:val="28"/>
        </w:rPr>
        <w:t>е</w:t>
      </w:r>
      <w:r w:rsidRPr="0039167D">
        <w:rPr>
          <w:sz w:val="28"/>
          <w:szCs w:val="28"/>
        </w:rPr>
        <w:t xml:space="preserve">тся от средней массы </w:t>
      </w:r>
      <w:r w:rsidR="00CE08B1">
        <w:rPr>
          <w:sz w:val="28"/>
          <w:szCs w:val="28"/>
        </w:rPr>
        <w:t>или среднего о</w:t>
      </w:r>
      <w:r w:rsidRPr="0039167D">
        <w:rPr>
          <w:sz w:val="28"/>
          <w:szCs w:val="28"/>
        </w:rPr>
        <w:t>б</w:t>
      </w:r>
      <w:r w:rsidR="00CE08B1">
        <w:rPr>
          <w:sz w:val="28"/>
          <w:szCs w:val="28"/>
        </w:rPr>
        <w:t>ъёма б</w:t>
      </w:r>
      <w:r w:rsidRPr="0039167D">
        <w:rPr>
          <w:sz w:val="28"/>
          <w:szCs w:val="28"/>
        </w:rPr>
        <w:t>олее чем на 10</w:t>
      </w:r>
      <w:r w:rsidR="00E9398B">
        <w:rPr>
          <w:sz w:val="28"/>
          <w:szCs w:val="28"/>
        </w:rPr>
        <w:t> </w:t>
      </w:r>
      <w:r w:rsidRPr="0039167D">
        <w:rPr>
          <w:sz w:val="28"/>
          <w:szCs w:val="28"/>
        </w:rPr>
        <w:t>%</w:t>
      </w:r>
      <w:r w:rsidR="00CE08B1">
        <w:rPr>
          <w:sz w:val="28"/>
          <w:szCs w:val="28"/>
        </w:rPr>
        <w:t xml:space="preserve">, </w:t>
      </w:r>
      <w:r w:rsidR="00AF0A99">
        <w:rPr>
          <w:sz w:val="28"/>
          <w:szCs w:val="28"/>
        </w:rPr>
        <w:t xml:space="preserve">но </w:t>
      </w:r>
      <w:r w:rsidR="00CE08B1">
        <w:rPr>
          <w:sz w:val="28"/>
          <w:szCs w:val="28"/>
        </w:rPr>
        <w:t xml:space="preserve">при этом масса или объём </w:t>
      </w:r>
      <w:r w:rsidRPr="0039167D">
        <w:rPr>
          <w:sz w:val="28"/>
          <w:szCs w:val="28"/>
        </w:rPr>
        <w:t>ни одн</w:t>
      </w:r>
      <w:r w:rsidR="00CE08B1">
        <w:rPr>
          <w:sz w:val="28"/>
          <w:szCs w:val="28"/>
        </w:rPr>
        <w:t>ой</w:t>
      </w:r>
      <w:r w:rsidRPr="0039167D">
        <w:rPr>
          <w:sz w:val="28"/>
          <w:szCs w:val="28"/>
        </w:rPr>
        <w:t xml:space="preserve"> индивидуальн</w:t>
      </w:r>
      <w:r w:rsidR="00CE08B1">
        <w:rPr>
          <w:sz w:val="28"/>
          <w:szCs w:val="28"/>
        </w:rPr>
        <w:t>ой</w:t>
      </w:r>
      <w:r w:rsidRPr="0039167D">
        <w:rPr>
          <w:sz w:val="28"/>
          <w:szCs w:val="28"/>
        </w:rPr>
        <w:t xml:space="preserve"> </w:t>
      </w:r>
      <w:r w:rsidR="002228BE">
        <w:rPr>
          <w:sz w:val="28"/>
          <w:szCs w:val="28"/>
        </w:rPr>
        <w:t>дозы</w:t>
      </w:r>
      <w:r w:rsidRPr="0039167D">
        <w:rPr>
          <w:sz w:val="28"/>
          <w:szCs w:val="28"/>
        </w:rPr>
        <w:t xml:space="preserve"> не долж</w:t>
      </w:r>
      <w:r w:rsidR="00AF0A99">
        <w:rPr>
          <w:sz w:val="28"/>
          <w:szCs w:val="28"/>
        </w:rPr>
        <w:t>ны</w:t>
      </w:r>
      <w:r w:rsidRPr="0039167D">
        <w:rPr>
          <w:sz w:val="28"/>
          <w:szCs w:val="28"/>
        </w:rPr>
        <w:t xml:space="preserve"> отклоняться от средней массы </w:t>
      </w:r>
      <w:r w:rsidR="00CE08B1">
        <w:rPr>
          <w:sz w:val="28"/>
          <w:szCs w:val="28"/>
        </w:rPr>
        <w:t xml:space="preserve">или </w:t>
      </w:r>
      <w:r w:rsidR="00AF0A99">
        <w:rPr>
          <w:sz w:val="28"/>
          <w:szCs w:val="28"/>
        </w:rPr>
        <w:t xml:space="preserve">среднего </w:t>
      </w:r>
      <w:r w:rsidR="00CE08B1">
        <w:rPr>
          <w:sz w:val="28"/>
          <w:szCs w:val="28"/>
        </w:rPr>
        <w:t xml:space="preserve">объёма </w:t>
      </w:r>
      <w:r w:rsidRPr="0039167D">
        <w:rPr>
          <w:sz w:val="28"/>
          <w:szCs w:val="28"/>
        </w:rPr>
        <w:t>более чем на 20</w:t>
      </w:r>
      <w:r>
        <w:rPr>
          <w:sz w:val="28"/>
          <w:szCs w:val="28"/>
        </w:rPr>
        <w:t> </w:t>
      </w:r>
      <w:r w:rsidRPr="0039167D">
        <w:rPr>
          <w:sz w:val="28"/>
          <w:szCs w:val="28"/>
        </w:rPr>
        <w:t>%.</w:t>
      </w:r>
    </w:p>
    <w:p w:rsidR="00CF0FB9" w:rsidRPr="005B6923" w:rsidRDefault="00CF0FB9" w:rsidP="00CF0FB9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754E56">
        <w:rPr>
          <w:sz w:val="28"/>
          <w:szCs w:val="28"/>
        </w:rPr>
        <w:t xml:space="preserve">в фармакопейной статье </w:t>
      </w:r>
      <w:r w:rsidR="00754E56" w:rsidRPr="00DD11D8">
        <w:rPr>
          <w:sz w:val="28"/>
          <w:szCs w:val="28"/>
        </w:rPr>
        <w:t xml:space="preserve">указаны </w:t>
      </w:r>
      <w:r w:rsidR="00CF03C9" w:rsidRPr="00DD11D8">
        <w:rPr>
          <w:sz w:val="28"/>
          <w:szCs w:val="28"/>
        </w:rPr>
        <w:t xml:space="preserve">нормативные </w:t>
      </w:r>
      <w:r w:rsidRPr="00DD11D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к массе или объёму доз, отбираемых с помощью</w:t>
      </w:r>
      <w:r w:rsidR="00AA4C97">
        <w:rPr>
          <w:sz w:val="28"/>
          <w:szCs w:val="28"/>
        </w:rPr>
        <w:t xml:space="preserve"> </w:t>
      </w:r>
      <w:r>
        <w:rPr>
          <w:sz w:val="28"/>
          <w:szCs w:val="28"/>
        </w:rPr>
        <w:t>мерного устройства,</w:t>
      </w:r>
      <w:r w:rsidR="00B90C1A">
        <w:rPr>
          <w:sz w:val="28"/>
          <w:szCs w:val="28"/>
        </w:rPr>
        <w:t xml:space="preserve"> находящегося в комплекте с лекарственн</w:t>
      </w:r>
      <w:r w:rsidR="00CF03C9">
        <w:rPr>
          <w:sz w:val="28"/>
          <w:szCs w:val="28"/>
        </w:rPr>
        <w:t>ой формой</w:t>
      </w:r>
      <w:r w:rsidR="00B90C1A">
        <w:rPr>
          <w:sz w:val="28"/>
          <w:szCs w:val="28"/>
        </w:rPr>
        <w:t>,</w:t>
      </w:r>
      <w:r w:rsidR="00CF03C9" w:rsidRPr="00CF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</w:t>
      </w:r>
      <w:r w:rsidR="00AA4C97">
        <w:rPr>
          <w:sz w:val="28"/>
          <w:szCs w:val="28"/>
        </w:rPr>
        <w:t xml:space="preserve">после взвешивания массы или измерения объёма 20 индивидуальных доз, рассчитанная </w:t>
      </w:r>
      <w:r w:rsidR="000E093C">
        <w:rPr>
          <w:sz w:val="28"/>
          <w:szCs w:val="28"/>
        </w:rPr>
        <w:t>средняя масса или средний объ</w:t>
      </w:r>
      <w:r w:rsidR="00693B8E">
        <w:rPr>
          <w:sz w:val="28"/>
          <w:szCs w:val="28"/>
        </w:rPr>
        <w:t>ё</w:t>
      </w:r>
      <w:r w:rsidR="000E093C">
        <w:rPr>
          <w:sz w:val="28"/>
          <w:szCs w:val="28"/>
        </w:rPr>
        <w:t>м не должны отклоняться от номинально</w:t>
      </w:r>
      <w:r w:rsidR="00AA4C97">
        <w:rPr>
          <w:sz w:val="28"/>
          <w:szCs w:val="28"/>
        </w:rPr>
        <w:t>й</w:t>
      </w:r>
      <w:r w:rsidR="000E093C">
        <w:rPr>
          <w:sz w:val="28"/>
          <w:szCs w:val="28"/>
        </w:rPr>
        <w:t xml:space="preserve"> массы или </w:t>
      </w:r>
      <w:r w:rsidR="00B90C1A">
        <w:rPr>
          <w:sz w:val="28"/>
          <w:szCs w:val="28"/>
        </w:rPr>
        <w:t xml:space="preserve">номинального </w:t>
      </w:r>
      <w:r w:rsidR="000E093C">
        <w:rPr>
          <w:sz w:val="28"/>
          <w:szCs w:val="28"/>
        </w:rPr>
        <w:t>объёма</w:t>
      </w:r>
      <w:r>
        <w:rPr>
          <w:sz w:val="28"/>
          <w:szCs w:val="28"/>
        </w:rPr>
        <w:t xml:space="preserve"> </w:t>
      </w:r>
      <w:r w:rsidR="000E093C">
        <w:rPr>
          <w:sz w:val="28"/>
          <w:szCs w:val="28"/>
        </w:rPr>
        <w:t xml:space="preserve">отбираемой дозы более, чем на </w:t>
      </w:r>
      <w:r w:rsidR="00AA4C97">
        <w:rPr>
          <w:sz w:val="28"/>
          <w:szCs w:val="28"/>
        </w:rPr>
        <w:t xml:space="preserve">значение, </w:t>
      </w:r>
      <w:r w:rsidR="000E093C">
        <w:rPr>
          <w:sz w:val="28"/>
          <w:szCs w:val="28"/>
        </w:rPr>
        <w:t>указан</w:t>
      </w:r>
      <w:r w:rsidR="00B90C1A">
        <w:rPr>
          <w:sz w:val="28"/>
          <w:szCs w:val="28"/>
        </w:rPr>
        <w:t xml:space="preserve">ное </w:t>
      </w:r>
      <w:r w:rsidR="000E093C">
        <w:rPr>
          <w:sz w:val="28"/>
          <w:szCs w:val="28"/>
        </w:rPr>
        <w:t>в фармакопейной статье</w:t>
      </w:r>
      <w:r w:rsidR="00B90C1A">
        <w:rPr>
          <w:sz w:val="28"/>
          <w:szCs w:val="28"/>
        </w:rPr>
        <w:t>.</w:t>
      </w:r>
    </w:p>
    <w:sectPr w:rsidR="00CF0FB9" w:rsidRPr="005B6923" w:rsidSect="00253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AA" w:rsidRDefault="007C25AA">
      <w:r>
        <w:separator/>
      </w:r>
    </w:p>
  </w:endnote>
  <w:endnote w:type="continuationSeparator" w:id="0">
    <w:p w:rsidR="007C25AA" w:rsidRDefault="007C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1F2" w:rsidRDefault="00C821F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345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C25AA" w:rsidRDefault="007C25AA" w:rsidP="00B9650C">
        <w:pPr>
          <w:pStyle w:val="a3"/>
          <w:jc w:val="center"/>
        </w:pPr>
        <w:r w:rsidRPr="00B9650C">
          <w:rPr>
            <w:sz w:val="28"/>
            <w:szCs w:val="28"/>
          </w:rPr>
          <w:fldChar w:fldCharType="begin"/>
        </w:r>
        <w:r w:rsidRPr="00B9650C">
          <w:rPr>
            <w:sz w:val="28"/>
            <w:szCs w:val="28"/>
          </w:rPr>
          <w:instrText xml:space="preserve"> PAGE   \* MERGEFORMAT </w:instrText>
        </w:r>
        <w:r w:rsidRPr="00B9650C">
          <w:rPr>
            <w:sz w:val="28"/>
            <w:szCs w:val="28"/>
          </w:rPr>
          <w:fldChar w:fldCharType="separate"/>
        </w:r>
        <w:r w:rsidR="00675363">
          <w:rPr>
            <w:noProof/>
            <w:sz w:val="28"/>
            <w:szCs w:val="28"/>
          </w:rPr>
          <w:t>2</w:t>
        </w:r>
        <w:r w:rsidRPr="00B9650C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AA" w:rsidRPr="00B9650C" w:rsidRDefault="007C25AA" w:rsidP="00B9650C">
    <w:pPr>
      <w:pStyle w:val="a3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AA" w:rsidRDefault="007C25AA">
      <w:r>
        <w:separator/>
      </w:r>
    </w:p>
  </w:footnote>
  <w:footnote w:type="continuationSeparator" w:id="0">
    <w:p w:rsidR="007C25AA" w:rsidRDefault="007C2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50654"/>
      <w:docPartObj>
        <w:docPartGallery w:val="Page Numbers (Top of Page)"/>
        <w:docPartUnique/>
      </w:docPartObj>
    </w:sdtPr>
    <w:sdtEndPr/>
    <w:sdtContent>
      <w:p w:rsidR="007C25AA" w:rsidRDefault="007C25A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C25AA" w:rsidRDefault="007C25AA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AA" w:rsidRPr="00B9650C" w:rsidRDefault="007C25AA" w:rsidP="00B9650C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AA" w:rsidRDefault="007C25AA" w:rsidP="00B90C1A">
    <w:pPr>
      <w:pStyle w:val="a5"/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634D0"/>
    <w:multiLevelType w:val="hybridMultilevel"/>
    <w:tmpl w:val="90EA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9151A"/>
    <w:multiLevelType w:val="hybridMultilevel"/>
    <w:tmpl w:val="9528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07DE6"/>
    <w:multiLevelType w:val="hybridMultilevel"/>
    <w:tmpl w:val="8E0257F2"/>
    <w:lvl w:ilvl="0" w:tplc="3DCE5B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486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205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3B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0DD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46D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8072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A90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250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5234C9"/>
    <w:multiLevelType w:val="hybridMultilevel"/>
    <w:tmpl w:val="8E56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94"/>
    <w:rsid w:val="0000470C"/>
    <w:rsid w:val="00005CAB"/>
    <w:rsid w:val="00016646"/>
    <w:rsid w:val="00022993"/>
    <w:rsid w:val="00022F48"/>
    <w:rsid w:val="0003094F"/>
    <w:rsid w:val="000339B3"/>
    <w:rsid w:val="00036E47"/>
    <w:rsid w:val="00041AC7"/>
    <w:rsid w:val="00043ACE"/>
    <w:rsid w:val="000442DD"/>
    <w:rsid w:val="0005185D"/>
    <w:rsid w:val="000555EB"/>
    <w:rsid w:val="00063A26"/>
    <w:rsid w:val="000776FD"/>
    <w:rsid w:val="00080C9E"/>
    <w:rsid w:val="000849D7"/>
    <w:rsid w:val="00092E2B"/>
    <w:rsid w:val="00094FF7"/>
    <w:rsid w:val="00095229"/>
    <w:rsid w:val="00095E08"/>
    <w:rsid w:val="000A5C0C"/>
    <w:rsid w:val="000A6DE2"/>
    <w:rsid w:val="000B17E6"/>
    <w:rsid w:val="000B4161"/>
    <w:rsid w:val="000B58BD"/>
    <w:rsid w:val="000C3457"/>
    <w:rsid w:val="000C43C4"/>
    <w:rsid w:val="000C487B"/>
    <w:rsid w:val="000C7E88"/>
    <w:rsid w:val="000D0DED"/>
    <w:rsid w:val="000D265D"/>
    <w:rsid w:val="000D5B3A"/>
    <w:rsid w:val="000E093C"/>
    <w:rsid w:val="000F4475"/>
    <w:rsid w:val="000F6D34"/>
    <w:rsid w:val="00102983"/>
    <w:rsid w:val="0011033E"/>
    <w:rsid w:val="00110A54"/>
    <w:rsid w:val="0011671B"/>
    <w:rsid w:val="001167A8"/>
    <w:rsid w:val="001213EF"/>
    <w:rsid w:val="00121833"/>
    <w:rsid w:val="0012327E"/>
    <w:rsid w:val="00125910"/>
    <w:rsid w:val="0013104D"/>
    <w:rsid w:val="00133311"/>
    <w:rsid w:val="00137F3F"/>
    <w:rsid w:val="00137F44"/>
    <w:rsid w:val="00142376"/>
    <w:rsid w:val="00143FB0"/>
    <w:rsid w:val="00147813"/>
    <w:rsid w:val="0015024D"/>
    <w:rsid w:val="00151A8A"/>
    <w:rsid w:val="00151F75"/>
    <w:rsid w:val="00153C35"/>
    <w:rsid w:val="00157E89"/>
    <w:rsid w:val="00162599"/>
    <w:rsid w:val="00165288"/>
    <w:rsid w:val="00166046"/>
    <w:rsid w:val="001710E5"/>
    <w:rsid w:val="00172229"/>
    <w:rsid w:val="001807CF"/>
    <w:rsid w:val="0018185D"/>
    <w:rsid w:val="001818F1"/>
    <w:rsid w:val="00183490"/>
    <w:rsid w:val="00192A9F"/>
    <w:rsid w:val="00195922"/>
    <w:rsid w:val="00195A86"/>
    <w:rsid w:val="001A668C"/>
    <w:rsid w:val="001B2B8A"/>
    <w:rsid w:val="001B587A"/>
    <w:rsid w:val="001B5B1B"/>
    <w:rsid w:val="001B5C6A"/>
    <w:rsid w:val="001B6C48"/>
    <w:rsid w:val="001B7914"/>
    <w:rsid w:val="001C0B68"/>
    <w:rsid w:val="001C5AC8"/>
    <w:rsid w:val="001D0D86"/>
    <w:rsid w:val="001D227E"/>
    <w:rsid w:val="001E23D5"/>
    <w:rsid w:val="001E53D0"/>
    <w:rsid w:val="001F0841"/>
    <w:rsid w:val="001F3023"/>
    <w:rsid w:val="00202C82"/>
    <w:rsid w:val="00207EF0"/>
    <w:rsid w:val="00210A02"/>
    <w:rsid w:val="00212A7B"/>
    <w:rsid w:val="00213BC8"/>
    <w:rsid w:val="00215340"/>
    <w:rsid w:val="00217E4D"/>
    <w:rsid w:val="002228BE"/>
    <w:rsid w:val="00223A9A"/>
    <w:rsid w:val="002359AC"/>
    <w:rsid w:val="002425D4"/>
    <w:rsid w:val="0024382B"/>
    <w:rsid w:val="00243F5B"/>
    <w:rsid w:val="00247E19"/>
    <w:rsid w:val="00252DCD"/>
    <w:rsid w:val="00253E29"/>
    <w:rsid w:val="00254877"/>
    <w:rsid w:val="002551C3"/>
    <w:rsid w:val="00261894"/>
    <w:rsid w:val="00261964"/>
    <w:rsid w:val="002621AA"/>
    <w:rsid w:val="00263341"/>
    <w:rsid w:val="00264D1E"/>
    <w:rsid w:val="00270D79"/>
    <w:rsid w:val="00281E74"/>
    <w:rsid w:val="0028684A"/>
    <w:rsid w:val="00290182"/>
    <w:rsid w:val="002915E6"/>
    <w:rsid w:val="002B7E06"/>
    <w:rsid w:val="002C5062"/>
    <w:rsid w:val="002D219D"/>
    <w:rsid w:val="002D2ACA"/>
    <w:rsid w:val="002E50C8"/>
    <w:rsid w:val="002E6BB9"/>
    <w:rsid w:val="002F5E3C"/>
    <w:rsid w:val="002F5EED"/>
    <w:rsid w:val="00301272"/>
    <w:rsid w:val="00301E43"/>
    <w:rsid w:val="0030225E"/>
    <w:rsid w:val="003026F8"/>
    <w:rsid w:val="003040A5"/>
    <w:rsid w:val="003108E2"/>
    <w:rsid w:val="0031250C"/>
    <w:rsid w:val="003171CD"/>
    <w:rsid w:val="00320EAE"/>
    <w:rsid w:val="00325BAD"/>
    <w:rsid w:val="00326D88"/>
    <w:rsid w:val="00332F7A"/>
    <w:rsid w:val="00332FCD"/>
    <w:rsid w:val="003427A9"/>
    <w:rsid w:val="00342B76"/>
    <w:rsid w:val="00342C70"/>
    <w:rsid w:val="00344C31"/>
    <w:rsid w:val="00346939"/>
    <w:rsid w:val="00347E19"/>
    <w:rsid w:val="003543E2"/>
    <w:rsid w:val="00364164"/>
    <w:rsid w:val="00365310"/>
    <w:rsid w:val="00370D53"/>
    <w:rsid w:val="003723BD"/>
    <w:rsid w:val="00386807"/>
    <w:rsid w:val="003906C2"/>
    <w:rsid w:val="00391266"/>
    <w:rsid w:val="0039167D"/>
    <w:rsid w:val="003925F2"/>
    <w:rsid w:val="00396D07"/>
    <w:rsid w:val="003A01B5"/>
    <w:rsid w:val="003A0B85"/>
    <w:rsid w:val="003A1811"/>
    <w:rsid w:val="003A1E6E"/>
    <w:rsid w:val="003A741E"/>
    <w:rsid w:val="003C21A0"/>
    <w:rsid w:val="003C4A72"/>
    <w:rsid w:val="003C60F9"/>
    <w:rsid w:val="003C726A"/>
    <w:rsid w:val="003C76DC"/>
    <w:rsid w:val="003D1B1B"/>
    <w:rsid w:val="003D6822"/>
    <w:rsid w:val="003E133F"/>
    <w:rsid w:val="003E1AFE"/>
    <w:rsid w:val="003E1F61"/>
    <w:rsid w:val="003E2158"/>
    <w:rsid w:val="003E70BC"/>
    <w:rsid w:val="003F0136"/>
    <w:rsid w:val="003F0C9C"/>
    <w:rsid w:val="003F44F7"/>
    <w:rsid w:val="003F52AC"/>
    <w:rsid w:val="00401F73"/>
    <w:rsid w:val="004063BC"/>
    <w:rsid w:val="00407EF1"/>
    <w:rsid w:val="00414EB7"/>
    <w:rsid w:val="00421005"/>
    <w:rsid w:val="00421253"/>
    <w:rsid w:val="004224EA"/>
    <w:rsid w:val="004247B7"/>
    <w:rsid w:val="0043029D"/>
    <w:rsid w:val="00434D04"/>
    <w:rsid w:val="00435065"/>
    <w:rsid w:val="00436D54"/>
    <w:rsid w:val="00440C22"/>
    <w:rsid w:val="00456C48"/>
    <w:rsid w:val="00461402"/>
    <w:rsid w:val="00462A24"/>
    <w:rsid w:val="00463D5E"/>
    <w:rsid w:val="0047545D"/>
    <w:rsid w:val="00477002"/>
    <w:rsid w:val="00491CB7"/>
    <w:rsid w:val="00491D3E"/>
    <w:rsid w:val="0049691A"/>
    <w:rsid w:val="00497D4A"/>
    <w:rsid w:val="004A12AC"/>
    <w:rsid w:val="004A3378"/>
    <w:rsid w:val="004B2486"/>
    <w:rsid w:val="004B2CE0"/>
    <w:rsid w:val="004B32AB"/>
    <w:rsid w:val="004B625F"/>
    <w:rsid w:val="004B7840"/>
    <w:rsid w:val="004C0BEB"/>
    <w:rsid w:val="004C1D76"/>
    <w:rsid w:val="004C40F4"/>
    <w:rsid w:val="004C50A3"/>
    <w:rsid w:val="004C6D26"/>
    <w:rsid w:val="004D00C7"/>
    <w:rsid w:val="004D4488"/>
    <w:rsid w:val="004D4FA5"/>
    <w:rsid w:val="004E4771"/>
    <w:rsid w:val="004E63A3"/>
    <w:rsid w:val="004E7829"/>
    <w:rsid w:val="00501059"/>
    <w:rsid w:val="005030C3"/>
    <w:rsid w:val="005076DB"/>
    <w:rsid w:val="0051268F"/>
    <w:rsid w:val="005139CA"/>
    <w:rsid w:val="005203AB"/>
    <w:rsid w:val="00524621"/>
    <w:rsid w:val="00524D57"/>
    <w:rsid w:val="0053061F"/>
    <w:rsid w:val="005352E5"/>
    <w:rsid w:val="005378EA"/>
    <w:rsid w:val="00542D94"/>
    <w:rsid w:val="005443A2"/>
    <w:rsid w:val="00550909"/>
    <w:rsid w:val="00551F45"/>
    <w:rsid w:val="00555F99"/>
    <w:rsid w:val="00575B7A"/>
    <w:rsid w:val="00577EB6"/>
    <w:rsid w:val="00577F5F"/>
    <w:rsid w:val="0058791A"/>
    <w:rsid w:val="0059523C"/>
    <w:rsid w:val="0059532F"/>
    <w:rsid w:val="0059538F"/>
    <w:rsid w:val="005A08C6"/>
    <w:rsid w:val="005A131D"/>
    <w:rsid w:val="005A497C"/>
    <w:rsid w:val="005B1526"/>
    <w:rsid w:val="005B1A60"/>
    <w:rsid w:val="005B43A0"/>
    <w:rsid w:val="005B6923"/>
    <w:rsid w:val="005B6D43"/>
    <w:rsid w:val="005C16A4"/>
    <w:rsid w:val="005D2A2F"/>
    <w:rsid w:val="005D430F"/>
    <w:rsid w:val="005D5502"/>
    <w:rsid w:val="005E3732"/>
    <w:rsid w:val="005F10C2"/>
    <w:rsid w:val="005F40E0"/>
    <w:rsid w:val="005F636A"/>
    <w:rsid w:val="00600322"/>
    <w:rsid w:val="00602D15"/>
    <w:rsid w:val="006069BE"/>
    <w:rsid w:val="0061420A"/>
    <w:rsid w:val="006159B1"/>
    <w:rsid w:val="00615B6C"/>
    <w:rsid w:val="00622AB0"/>
    <w:rsid w:val="00624480"/>
    <w:rsid w:val="006259A1"/>
    <w:rsid w:val="00630AC5"/>
    <w:rsid w:val="00632F5B"/>
    <w:rsid w:val="00636ACE"/>
    <w:rsid w:val="006429FE"/>
    <w:rsid w:val="00645398"/>
    <w:rsid w:val="00646458"/>
    <w:rsid w:val="00653E69"/>
    <w:rsid w:val="00663012"/>
    <w:rsid w:val="006704AD"/>
    <w:rsid w:val="00675363"/>
    <w:rsid w:val="0068081C"/>
    <w:rsid w:val="006843D6"/>
    <w:rsid w:val="006874AF"/>
    <w:rsid w:val="00687A39"/>
    <w:rsid w:val="00692A16"/>
    <w:rsid w:val="00693B8E"/>
    <w:rsid w:val="006A19ED"/>
    <w:rsid w:val="006A210B"/>
    <w:rsid w:val="006A716C"/>
    <w:rsid w:val="006A784D"/>
    <w:rsid w:val="006B35AC"/>
    <w:rsid w:val="006B4027"/>
    <w:rsid w:val="006B6AAE"/>
    <w:rsid w:val="006C3534"/>
    <w:rsid w:val="006C46B1"/>
    <w:rsid w:val="006D0ACD"/>
    <w:rsid w:val="006D13B5"/>
    <w:rsid w:val="006D454C"/>
    <w:rsid w:val="006E142E"/>
    <w:rsid w:val="006E2EF9"/>
    <w:rsid w:val="006E372C"/>
    <w:rsid w:val="006F3B59"/>
    <w:rsid w:val="006F46E1"/>
    <w:rsid w:val="0070160E"/>
    <w:rsid w:val="00710433"/>
    <w:rsid w:val="00712E1A"/>
    <w:rsid w:val="00715ADF"/>
    <w:rsid w:val="007240E1"/>
    <w:rsid w:val="00724F18"/>
    <w:rsid w:val="00726E7F"/>
    <w:rsid w:val="00732A26"/>
    <w:rsid w:val="007333F9"/>
    <w:rsid w:val="00747E12"/>
    <w:rsid w:val="00753B28"/>
    <w:rsid w:val="00754E56"/>
    <w:rsid w:val="00757089"/>
    <w:rsid w:val="00763CAC"/>
    <w:rsid w:val="00767283"/>
    <w:rsid w:val="00770E29"/>
    <w:rsid w:val="007729AD"/>
    <w:rsid w:val="00772A10"/>
    <w:rsid w:val="00772F3B"/>
    <w:rsid w:val="00775319"/>
    <w:rsid w:val="00780690"/>
    <w:rsid w:val="0078682A"/>
    <w:rsid w:val="007940C6"/>
    <w:rsid w:val="00795596"/>
    <w:rsid w:val="007B117F"/>
    <w:rsid w:val="007C1FBC"/>
    <w:rsid w:val="007C25AA"/>
    <w:rsid w:val="007C69BC"/>
    <w:rsid w:val="007D16C0"/>
    <w:rsid w:val="007D7F94"/>
    <w:rsid w:val="007E24A6"/>
    <w:rsid w:val="007E5504"/>
    <w:rsid w:val="007E77A4"/>
    <w:rsid w:val="007F04AC"/>
    <w:rsid w:val="007F0778"/>
    <w:rsid w:val="007F08BB"/>
    <w:rsid w:val="007F4EA8"/>
    <w:rsid w:val="007F5A9B"/>
    <w:rsid w:val="00801F97"/>
    <w:rsid w:val="008124B9"/>
    <w:rsid w:val="008159F7"/>
    <w:rsid w:val="00824788"/>
    <w:rsid w:val="00831BEF"/>
    <w:rsid w:val="00832424"/>
    <w:rsid w:val="008336EC"/>
    <w:rsid w:val="008339AE"/>
    <w:rsid w:val="008350DE"/>
    <w:rsid w:val="00842005"/>
    <w:rsid w:val="00846DF7"/>
    <w:rsid w:val="00847A74"/>
    <w:rsid w:val="00851432"/>
    <w:rsid w:val="00852844"/>
    <w:rsid w:val="00857D25"/>
    <w:rsid w:val="008626CC"/>
    <w:rsid w:val="00862AE2"/>
    <w:rsid w:val="00866081"/>
    <w:rsid w:val="0086789D"/>
    <w:rsid w:val="00871A0B"/>
    <w:rsid w:val="00875D47"/>
    <w:rsid w:val="0087669F"/>
    <w:rsid w:val="008777B4"/>
    <w:rsid w:val="00877B4F"/>
    <w:rsid w:val="008814D9"/>
    <w:rsid w:val="0089020D"/>
    <w:rsid w:val="00892AF3"/>
    <w:rsid w:val="008932DA"/>
    <w:rsid w:val="00896255"/>
    <w:rsid w:val="008A0F92"/>
    <w:rsid w:val="008A2722"/>
    <w:rsid w:val="008A462F"/>
    <w:rsid w:val="008A5BF1"/>
    <w:rsid w:val="008A77BC"/>
    <w:rsid w:val="008A793E"/>
    <w:rsid w:val="008C5FAC"/>
    <w:rsid w:val="008D21D4"/>
    <w:rsid w:val="008D3E7B"/>
    <w:rsid w:val="008F1BCC"/>
    <w:rsid w:val="008F3644"/>
    <w:rsid w:val="008F3653"/>
    <w:rsid w:val="008F76C6"/>
    <w:rsid w:val="00910BFE"/>
    <w:rsid w:val="009137C5"/>
    <w:rsid w:val="0091772C"/>
    <w:rsid w:val="00924B15"/>
    <w:rsid w:val="00924E78"/>
    <w:rsid w:val="009329A9"/>
    <w:rsid w:val="009342C9"/>
    <w:rsid w:val="00940322"/>
    <w:rsid w:val="00944C2E"/>
    <w:rsid w:val="0094573D"/>
    <w:rsid w:val="00946CAB"/>
    <w:rsid w:val="009479C3"/>
    <w:rsid w:val="00957F52"/>
    <w:rsid w:val="0096009F"/>
    <w:rsid w:val="00964F83"/>
    <w:rsid w:val="009661FD"/>
    <w:rsid w:val="009667B7"/>
    <w:rsid w:val="00967B81"/>
    <w:rsid w:val="009705F1"/>
    <w:rsid w:val="0097456B"/>
    <w:rsid w:val="00981F84"/>
    <w:rsid w:val="009856CC"/>
    <w:rsid w:val="009868C5"/>
    <w:rsid w:val="00986BCB"/>
    <w:rsid w:val="00992525"/>
    <w:rsid w:val="00994C2B"/>
    <w:rsid w:val="0099601D"/>
    <w:rsid w:val="0099761C"/>
    <w:rsid w:val="009A4FD1"/>
    <w:rsid w:val="009B4DEE"/>
    <w:rsid w:val="009B60C1"/>
    <w:rsid w:val="009B6B78"/>
    <w:rsid w:val="009B6F2F"/>
    <w:rsid w:val="009B7574"/>
    <w:rsid w:val="009B7C04"/>
    <w:rsid w:val="009C0AF9"/>
    <w:rsid w:val="009C62C3"/>
    <w:rsid w:val="009D6D13"/>
    <w:rsid w:val="009F08B7"/>
    <w:rsid w:val="009F381F"/>
    <w:rsid w:val="00A010C8"/>
    <w:rsid w:val="00A13315"/>
    <w:rsid w:val="00A1559B"/>
    <w:rsid w:val="00A20F28"/>
    <w:rsid w:val="00A2475A"/>
    <w:rsid w:val="00A43318"/>
    <w:rsid w:val="00A46AAA"/>
    <w:rsid w:val="00A475C2"/>
    <w:rsid w:val="00A51BFF"/>
    <w:rsid w:val="00A547C0"/>
    <w:rsid w:val="00A55BE9"/>
    <w:rsid w:val="00A5684D"/>
    <w:rsid w:val="00A627A4"/>
    <w:rsid w:val="00A643CC"/>
    <w:rsid w:val="00A676E2"/>
    <w:rsid w:val="00A74074"/>
    <w:rsid w:val="00A7525B"/>
    <w:rsid w:val="00A81905"/>
    <w:rsid w:val="00A84FDB"/>
    <w:rsid w:val="00A866F7"/>
    <w:rsid w:val="00A94EA7"/>
    <w:rsid w:val="00A94EBD"/>
    <w:rsid w:val="00AA0B03"/>
    <w:rsid w:val="00AA1A7F"/>
    <w:rsid w:val="00AA1DB3"/>
    <w:rsid w:val="00AA2D1E"/>
    <w:rsid w:val="00AA4C97"/>
    <w:rsid w:val="00AB5ADD"/>
    <w:rsid w:val="00AC5186"/>
    <w:rsid w:val="00AD4DC7"/>
    <w:rsid w:val="00AF0A99"/>
    <w:rsid w:val="00AF0CF1"/>
    <w:rsid w:val="00AF5150"/>
    <w:rsid w:val="00AF5F06"/>
    <w:rsid w:val="00B030CE"/>
    <w:rsid w:val="00B05521"/>
    <w:rsid w:val="00B06A1C"/>
    <w:rsid w:val="00B2150E"/>
    <w:rsid w:val="00B2390B"/>
    <w:rsid w:val="00B23A93"/>
    <w:rsid w:val="00B25DB4"/>
    <w:rsid w:val="00B26341"/>
    <w:rsid w:val="00B34DC3"/>
    <w:rsid w:val="00B3539F"/>
    <w:rsid w:val="00B37B65"/>
    <w:rsid w:val="00B41C8F"/>
    <w:rsid w:val="00B425EA"/>
    <w:rsid w:val="00B448AD"/>
    <w:rsid w:val="00B46D2A"/>
    <w:rsid w:val="00B5663A"/>
    <w:rsid w:val="00B573CA"/>
    <w:rsid w:val="00B57A60"/>
    <w:rsid w:val="00B57F35"/>
    <w:rsid w:val="00B6244C"/>
    <w:rsid w:val="00B63AC4"/>
    <w:rsid w:val="00B7047D"/>
    <w:rsid w:val="00B72402"/>
    <w:rsid w:val="00B7367B"/>
    <w:rsid w:val="00B81AA9"/>
    <w:rsid w:val="00B8207B"/>
    <w:rsid w:val="00B86E46"/>
    <w:rsid w:val="00B90C1A"/>
    <w:rsid w:val="00B94A7E"/>
    <w:rsid w:val="00B95193"/>
    <w:rsid w:val="00B9650C"/>
    <w:rsid w:val="00BA37FC"/>
    <w:rsid w:val="00BA55FC"/>
    <w:rsid w:val="00BB6A01"/>
    <w:rsid w:val="00BC0E57"/>
    <w:rsid w:val="00BC1435"/>
    <w:rsid w:val="00BC79AA"/>
    <w:rsid w:val="00BD3441"/>
    <w:rsid w:val="00BD3C54"/>
    <w:rsid w:val="00BD50C1"/>
    <w:rsid w:val="00BD5625"/>
    <w:rsid w:val="00BE11EE"/>
    <w:rsid w:val="00BE2A77"/>
    <w:rsid w:val="00BF0963"/>
    <w:rsid w:val="00BF422B"/>
    <w:rsid w:val="00C00A65"/>
    <w:rsid w:val="00C033CA"/>
    <w:rsid w:val="00C03CF3"/>
    <w:rsid w:val="00C05BA6"/>
    <w:rsid w:val="00C176BF"/>
    <w:rsid w:val="00C21339"/>
    <w:rsid w:val="00C21A96"/>
    <w:rsid w:val="00C21F20"/>
    <w:rsid w:val="00C22382"/>
    <w:rsid w:val="00C225F5"/>
    <w:rsid w:val="00C22B95"/>
    <w:rsid w:val="00C23DCC"/>
    <w:rsid w:val="00C25B0C"/>
    <w:rsid w:val="00C36908"/>
    <w:rsid w:val="00C377B7"/>
    <w:rsid w:val="00C41299"/>
    <w:rsid w:val="00C46082"/>
    <w:rsid w:val="00C52B52"/>
    <w:rsid w:val="00C536D7"/>
    <w:rsid w:val="00C53E96"/>
    <w:rsid w:val="00C65E2F"/>
    <w:rsid w:val="00C772EC"/>
    <w:rsid w:val="00C821F2"/>
    <w:rsid w:val="00C868DE"/>
    <w:rsid w:val="00C873E5"/>
    <w:rsid w:val="00C9031A"/>
    <w:rsid w:val="00C9246C"/>
    <w:rsid w:val="00C9254A"/>
    <w:rsid w:val="00C948F2"/>
    <w:rsid w:val="00C95024"/>
    <w:rsid w:val="00C96DE5"/>
    <w:rsid w:val="00CA2654"/>
    <w:rsid w:val="00CA3AFC"/>
    <w:rsid w:val="00CA7D11"/>
    <w:rsid w:val="00CB1FFD"/>
    <w:rsid w:val="00CB20B0"/>
    <w:rsid w:val="00CB6998"/>
    <w:rsid w:val="00CB7596"/>
    <w:rsid w:val="00CB776C"/>
    <w:rsid w:val="00CC26A0"/>
    <w:rsid w:val="00CC2DF7"/>
    <w:rsid w:val="00CC36AA"/>
    <w:rsid w:val="00CD37A1"/>
    <w:rsid w:val="00CD4DF2"/>
    <w:rsid w:val="00CD61E1"/>
    <w:rsid w:val="00CD6B28"/>
    <w:rsid w:val="00CD6B5D"/>
    <w:rsid w:val="00CE08B1"/>
    <w:rsid w:val="00CF03C9"/>
    <w:rsid w:val="00CF0FB9"/>
    <w:rsid w:val="00CF38EC"/>
    <w:rsid w:val="00D026FA"/>
    <w:rsid w:val="00D05212"/>
    <w:rsid w:val="00D06B2D"/>
    <w:rsid w:val="00D117C9"/>
    <w:rsid w:val="00D13F67"/>
    <w:rsid w:val="00D14A36"/>
    <w:rsid w:val="00D210A2"/>
    <w:rsid w:val="00D22C8C"/>
    <w:rsid w:val="00D26E0F"/>
    <w:rsid w:val="00D274C1"/>
    <w:rsid w:val="00D303E8"/>
    <w:rsid w:val="00D306C6"/>
    <w:rsid w:val="00D32D51"/>
    <w:rsid w:val="00D41EB6"/>
    <w:rsid w:val="00D5105C"/>
    <w:rsid w:val="00D547DA"/>
    <w:rsid w:val="00D57E4E"/>
    <w:rsid w:val="00D642BE"/>
    <w:rsid w:val="00D8082F"/>
    <w:rsid w:val="00D83C3C"/>
    <w:rsid w:val="00D97D78"/>
    <w:rsid w:val="00DA067A"/>
    <w:rsid w:val="00DA0B54"/>
    <w:rsid w:val="00DA0CF9"/>
    <w:rsid w:val="00DA198E"/>
    <w:rsid w:val="00DA7598"/>
    <w:rsid w:val="00DB1A05"/>
    <w:rsid w:val="00DB2BDC"/>
    <w:rsid w:val="00DC30C7"/>
    <w:rsid w:val="00DC36B1"/>
    <w:rsid w:val="00DC36FC"/>
    <w:rsid w:val="00DD0CCA"/>
    <w:rsid w:val="00DD11D8"/>
    <w:rsid w:val="00DD2442"/>
    <w:rsid w:val="00DD597E"/>
    <w:rsid w:val="00DE06E1"/>
    <w:rsid w:val="00DE4A90"/>
    <w:rsid w:val="00DE4E6E"/>
    <w:rsid w:val="00DF022B"/>
    <w:rsid w:val="00DF1AD2"/>
    <w:rsid w:val="00DF5BFC"/>
    <w:rsid w:val="00DF785B"/>
    <w:rsid w:val="00DF7BFC"/>
    <w:rsid w:val="00DF7C68"/>
    <w:rsid w:val="00E05098"/>
    <w:rsid w:val="00E07708"/>
    <w:rsid w:val="00E10DF9"/>
    <w:rsid w:val="00E12B47"/>
    <w:rsid w:val="00E1600B"/>
    <w:rsid w:val="00E23769"/>
    <w:rsid w:val="00E24744"/>
    <w:rsid w:val="00E349F8"/>
    <w:rsid w:val="00E36B5A"/>
    <w:rsid w:val="00E37C1E"/>
    <w:rsid w:val="00E45524"/>
    <w:rsid w:val="00E45607"/>
    <w:rsid w:val="00E53DBD"/>
    <w:rsid w:val="00E56C07"/>
    <w:rsid w:val="00E60F74"/>
    <w:rsid w:val="00E651B6"/>
    <w:rsid w:val="00E66691"/>
    <w:rsid w:val="00E73300"/>
    <w:rsid w:val="00E756E1"/>
    <w:rsid w:val="00E83C40"/>
    <w:rsid w:val="00E85CAA"/>
    <w:rsid w:val="00E874F4"/>
    <w:rsid w:val="00E92BE0"/>
    <w:rsid w:val="00E9398B"/>
    <w:rsid w:val="00E93B46"/>
    <w:rsid w:val="00E96173"/>
    <w:rsid w:val="00E97D6A"/>
    <w:rsid w:val="00E97EDD"/>
    <w:rsid w:val="00EA0206"/>
    <w:rsid w:val="00EA63D1"/>
    <w:rsid w:val="00EB0D9A"/>
    <w:rsid w:val="00EB2DC7"/>
    <w:rsid w:val="00EB5B90"/>
    <w:rsid w:val="00EC46B6"/>
    <w:rsid w:val="00ED1BD7"/>
    <w:rsid w:val="00ED69A5"/>
    <w:rsid w:val="00EF4D74"/>
    <w:rsid w:val="00F00AF1"/>
    <w:rsid w:val="00F01810"/>
    <w:rsid w:val="00F02434"/>
    <w:rsid w:val="00F06F0D"/>
    <w:rsid w:val="00F10DF1"/>
    <w:rsid w:val="00F12AE0"/>
    <w:rsid w:val="00F16C64"/>
    <w:rsid w:val="00F17E0B"/>
    <w:rsid w:val="00F20FC8"/>
    <w:rsid w:val="00F246DF"/>
    <w:rsid w:val="00F31C6F"/>
    <w:rsid w:val="00F339BF"/>
    <w:rsid w:val="00F3778F"/>
    <w:rsid w:val="00F40A76"/>
    <w:rsid w:val="00F41FE8"/>
    <w:rsid w:val="00F423E1"/>
    <w:rsid w:val="00F47BBE"/>
    <w:rsid w:val="00F655F0"/>
    <w:rsid w:val="00F671DE"/>
    <w:rsid w:val="00F711D1"/>
    <w:rsid w:val="00F73138"/>
    <w:rsid w:val="00F81C97"/>
    <w:rsid w:val="00F91C7A"/>
    <w:rsid w:val="00F963A4"/>
    <w:rsid w:val="00FA6FEF"/>
    <w:rsid w:val="00FA7422"/>
    <w:rsid w:val="00FA7DF2"/>
    <w:rsid w:val="00FB0881"/>
    <w:rsid w:val="00FB55C8"/>
    <w:rsid w:val="00FC09C0"/>
    <w:rsid w:val="00FC58F7"/>
    <w:rsid w:val="00FC7A3D"/>
    <w:rsid w:val="00FD16E3"/>
    <w:rsid w:val="00FD42F6"/>
    <w:rsid w:val="00FD5E9C"/>
    <w:rsid w:val="00FD6247"/>
    <w:rsid w:val="00FD6DC9"/>
    <w:rsid w:val="00FE01C3"/>
    <w:rsid w:val="00FE7F86"/>
    <w:rsid w:val="00FF073F"/>
    <w:rsid w:val="00FF39B6"/>
    <w:rsid w:val="00FF3C5C"/>
    <w:rsid w:val="00FF43E6"/>
    <w:rsid w:val="00FF7600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5:docId w15:val="{D47326EE-28CB-4BED-AA92-C2837451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69A5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rsid w:val="00ED69A5"/>
    <w:pPr>
      <w:tabs>
        <w:tab w:val="center" w:pos="4677"/>
        <w:tab w:val="right" w:pos="9355"/>
      </w:tabs>
    </w:pPr>
  </w:style>
  <w:style w:type="paragraph" w:styleId="a7">
    <w:name w:val="Title"/>
    <w:basedOn w:val="a"/>
    <w:next w:val="a"/>
    <w:link w:val="a8"/>
    <w:qFormat/>
    <w:rsid w:val="00463D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463D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FF39B6"/>
    <w:pPr>
      <w:widowControl w:val="0"/>
      <w:spacing w:after="120"/>
    </w:pPr>
    <w:rPr>
      <w:rFonts w:ascii="NTHarmonica" w:hAnsi="NTHarmonica"/>
      <w:szCs w:val="20"/>
      <w:lang w:val="en-GB"/>
    </w:rPr>
  </w:style>
  <w:style w:type="character" w:customStyle="1" w:styleId="aa">
    <w:name w:val="Основной текст Знак"/>
    <w:basedOn w:val="a0"/>
    <w:link w:val="a9"/>
    <w:rsid w:val="00FF39B6"/>
    <w:rPr>
      <w:rFonts w:ascii="NTHarmonica" w:hAnsi="NTHarmonica"/>
      <w:sz w:val="24"/>
      <w:lang w:val="en-GB"/>
    </w:rPr>
  </w:style>
  <w:style w:type="table" w:styleId="ab">
    <w:name w:val="Table Grid"/>
    <w:basedOn w:val="a1"/>
    <w:rsid w:val="00B23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414EB7"/>
    <w:pPr>
      <w:spacing w:after="120"/>
    </w:pPr>
    <w:rPr>
      <w:rFonts w:ascii="NTHarmonica" w:hAnsi="NTHarmonica"/>
      <w:szCs w:val="20"/>
    </w:rPr>
  </w:style>
  <w:style w:type="paragraph" w:customStyle="1" w:styleId="10">
    <w:name w:val="Основной текст1"/>
    <w:basedOn w:val="a"/>
    <w:rsid w:val="001167A8"/>
    <w:pPr>
      <w:spacing w:after="120"/>
    </w:pPr>
    <w:rPr>
      <w:rFonts w:ascii="NTHarmonica" w:hAnsi="NTHarmonica"/>
      <w:szCs w:val="20"/>
    </w:rPr>
  </w:style>
  <w:style w:type="character" w:styleId="ac">
    <w:name w:val="annotation reference"/>
    <w:basedOn w:val="a0"/>
    <w:rsid w:val="001167A8"/>
    <w:rPr>
      <w:sz w:val="16"/>
      <w:szCs w:val="16"/>
    </w:rPr>
  </w:style>
  <w:style w:type="paragraph" w:styleId="ad">
    <w:name w:val="annotation text"/>
    <w:basedOn w:val="a"/>
    <w:link w:val="ae"/>
    <w:rsid w:val="001167A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1167A8"/>
  </w:style>
  <w:style w:type="paragraph" w:styleId="af">
    <w:name w:val="annotation subject"/>
    <w:basedOn w:val="ad"/>
    <w:next w:val="ad"/>
    <w:link w:val="af0"/>
    <w:rsid w:val="001167A8"/>
    <w:rPr>
      <w:b/>
      <w:bCs/>
    </w:rPr>
  </w:style>
  <w:style w:type="character" w:customStyle="1" w:styleId="af0">
    <w:name w:val="Тема примечания Знак"/>
    <w:basedOn w:val="ae"/>
    <w:link w:val="af"/>
    <w:rsid w:val="001167A8"/>
    <w:rPr>
      <w:b/>
      <w:bCs/>
    </w:rPr>
  </w:style>
  <w:style w:type="paragraph" w:styleId="af1">
    <w:name w:val="Balloon Text"/>
    <w:basedOn w:val="a"/>
    <w:link w:val="af2"/>
    <w:rsid w:val="001167A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167A8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1167A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010C8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333F9"/>
    <w:rPr>
      <w:sz w:val="24"/>
      <w:szCs w:val="24"/>
    </w:rPr>
  </w:style>
  <w:style w:type="character" w:customStyle="1" w:styleId="blk">
    <w:name w:val="blk"/>
    <w:basedOn w:val="a0"/>
    <w:rsid w:val="003026F8"/>
  </w:style>
  <w:style w:type="character" w:customStyle="1" w:styleId="hps">
    <w:name w:val="hps"/>
    <w:basedOn w:val="a0"/>
    <w:rsid w:val="00BC79AA"/>
  </w:style>
  <w:style w:type="character" w:styleId="af4">
    <w:name w:val="Emphasis"/>
    <w:basedOn w:val="a0"/>
    <w:qFormat/>
    <w:rsid w:val="003E133F"/>
    <w:rPr>
      <w:i/>
      <w:iCs/>
    </w:rPr>
  </w:style>
  <w:style w:type="character" w:customStyle="1" w:styleId="apple-converted-space">
    <w:name w:val="apple-converted-space"/>
    <w:basedOn w:val="a0"/>
    <w:rsid w:val="00491CB7"/>
  </w:style>
  <w:style w:type="paragraph" w:styleId="af5">
    <w:name w:val="Body Text Indent"/>
    <w:basedOn w:val="a"/>
    <w:link w:val="af6"/>
    <w:rsid w:val="00110A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110A54"/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DE4E6E"/>
    <w:rPr>
      <w:rFonts w:ascii="Calibri" w:eastAsiaTheme="minorHAns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4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1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2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337F7-B992-4B01-8006-3F2DE6DF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NCESMP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Болобан Екатерина Александровна</cp:lastModifiedBy>
  <cp:revision>8</cp:revision>
  <cp:lastPrinted>2022-09-08T06:17:00Z</cp:lastPrinted>
  <dcterms:created xsi:type="dcterms:W3CDTF">2023-06-26T06:57:00Z</dcterms:created>
  <dcterms:modified xsi:type="dcterms:W3CDTF">2023-07-12T07:02:00Z</dcterms:modified>
</cp:coreProperties>
</file>