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7D1D3D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8225EF" w:rsidRDefault="00CA5734" w:rsidP="007D1D3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8225EF" w:rsidRDefault="00CA5734" w:rsidP="007D1D3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8225EF" w:rsidRDefault="00CA5734" w:rsidP="007D1D3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B3A7A" w:rsidRPr="00743D21" w:rsidRDefault="005B1F71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225EF" w:rsidRPr="008225EF" w:rsidTr="00BF636C">
        <w:tc>
          <w:tcPr>
            <w:tcW w:w="9356" w:type="dxa"/>
          </w:tcPr>
          <w:p w:rsidR="001B3A7A" w:rsidRPr="008225EF" w:rsidRDefault="001B3A7A" w:rsidP="007D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8225EF" w:rsidRDefault="001B3A7A" w:rsidP="007D1D3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8225EF" w:rsidRPr="008225EF" w:rsidTr="007D1D3D">
        <w:tc>
          <w:tcPr>
            <w:tcW w:w="5494" w:type="dxa"/>
          </w:tcPr>
          <w:p w:rsidR="001B3A7A" w:rsidRPr="00244E9F" w:rsidRDefault="00BF636C" w:rsidP="008225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E9F">
              <w:rPr>
                <w:rFonts w:ascii="Times New Roman" w:hAnsi="Times New Roman" w:cs="Times New Roman"/>
                <w:b/>
                <w:sz w:val="28"/>
                <w:szCs w:val="28"/>
              </w:rPr>
              <w:t>Нефелометрия</w:t>
            </w:r>
          </w:p>
        </w:tc>
        <w:tc>
          <w:tcPr>
            <w:tcW w:w="283" w:type="dxa"/>
          </w:tcPr>
          <w:p w:rsidR="001B3A7A" w:rsidRPr="00244E9F" w:rsidRDefault="001B3A7A" w:rsidP="008225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244E9F" w:rsidRDefault="005B1F71" w:rsidP="008225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E9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 w:rsidRPr="00244E9F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502FF6">
              <w:rPr>
                <w:rFonts w:ascii="Times New Roman" w:hAnsi="Times New Roman" w:cs="Times New Roman"/>
                <w:b/>
                <w:sz w:val="28"/>
                <w:szCs w:val="28"/>
              </w:rPr>
              <w:t>.1.2.1.1.0016</w:t>
            </w:r>
          </w:p>
        </w:tc>
      </w:tr>
      <w:tr w:rsidR="001B3A7A" w:rsidRPr="00A70813" w:rsidTr="007D1D3D">
        <w:tc>
          <w:tcPr>
            <w:tcW w:w="5494" w:type="dxa"/>
          </w:tcPr>
          <w:p w:rsidR="001B3A7A" w:rsidRPr="00244E9F" w:rsidRDefault="001B3A7A" w:rsidP="008225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B3A7A" w:rsidRPr="00244E9F" w:rsidRDefault="001B3A7A" w:rsidP="008225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244E9F" w:rsidRDefault="00AC2E5B" w:rsidP="008225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E9F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7D1D3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BF636C">
        <w:tc>
          <w:tcPr>
            <w:tcW w:w="9356" w:type="dxa"/>
          </w:tcPr>
          <w:p w:rsidR="001B3A7A" w:rsidRDefault="001B3A7A" w:rsidP="007D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7E8" w:rsidRDefault="002567E8" w:rsidP="00822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2D2" w:rsidRPr="00F13DB9" w:rsidRDefault="00F13DB9" w:rsidP="00822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DB9">
        <w:rPr>
          <w:rFonts w:ascii="Times New Roman" w:hAnsi="Times New Roman" w:cs="Times New Roman"/>
          <w:sz w:val="28"/>
          <w:szCs w:val="28"/>
        </w:rPr>
        <w:t xml:space="preserve">Настоящая общая фармакопейная статья распространяется на метод </w:t>
      </w:r>
      <w:r w:rsidR="008225EF">
        <w:rPr>
          <w:rFonts w:ascii="Times New Roman" w:hAnsi="Times New Roman" w:cs="Times New Roman"/>
          <w:sz w:val="28"/>
          <w:szCs w:val="28"/>
        </w:rPr>
        <w:t>нефелометрии.</w:t>
      </w:r>
    </w:p>
    <w:p w:rsidR="002567E8" w:rsidRPr="008225EF" w:rsidRDefault="00476175" w:rsidP="002567E8">
      <w:pPr>
        <w:spacing w:before="240" w:after="0" w:line="360" w:lineRule="auto"/>
        <w:contextualSpacing/>
        <w:jc w:val="center"/>
        <w:rPr>
          <w:rStyle w:val="FontStyle31"/>
          <w:sz w:val="28"/>
          <w:szCs w:val="28"/>
        </w:rPr>
      </w:pPr>
      <w:r w:rsidRPr="004F51D4">
        <w:rPr>
          <w:rStyle w:val="FontStyle31"/>
          <w:b/>
          <w:sz w:val="28"/>
          <w:szCs w:val="28"/>
        </w:rPr>
        <w:t>Область применения</w:t>
      </w:r>
    </w:p>
    <w:p w:rsidR="00F13DB9" w:rsidRDefault="00BF636C" w:rsidP="001E5591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Метод нефелометрии</w:t>
      </w:r>
      <w:r w:rsidR="00476175" w:rsidRPr="004F51D4">
        <w:rPr>
          <w:color w:val="000000"/>
          <w:sz w:val="28"/>
          <w:szCs w:val="28"/>
          <w:shd w:val="clear" w:color="auto" w:fill="FFFFFF"/>
        </w:rPr>
        <w:t xml:space="preserve"> использу</w:t>
      </w:r>
      <w:r w:rsidR="003F7A92">
        <w:rPr>
          <w:color w:val="000000"/>
          <w:sz w:val="28"/>
          <w:szCs w:val="28"/>
          <w:shd w:val="clear" w:color="auto" w:fill="FFFFFF"/>
        </w:rPr>
        <w:t>ю</w:t>
      </w:r>
      <w:r w:rsidR="00476175" w:rsidRPr="004F51D4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в кач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естве инструментального метода для определения степени мутности</w:t>
      </w:r>
      <w:r w:rsidR="00476175" w:rsidRPr="004F51D4">
        <w:rPr>
          <w:color w:val="000000"/>
          <w:sz w:val="28"/>
          <w:szCs w:val="28"/>
          <w:shd w:val="clear" w:color="auto" w:fill="FFFFFF"/>
        </w:rPr>
        <w:t xml:space="preserve"> различных лекарственных </w:t>
      </w:r>
      <w:r w:rsidR="005F52D2">
        <w:rPr>
          <w:color w:val="000000"/>
          <w:sz w:val="28"/>
          <w:szCs w:val="28"/>
          <w:shd w:val="clear" w:color="auto" w:fill="FFFFFF"/>
        </w:rPr>
        <w:t>форм</w:t>
      </w:r>
      <w:r w:rsidR="00476175" w:rsidRPr="004F51D4">
        <w:rPr>
          <w:color w:val="000000"/>
          <w:sz w:val="28"/>
          <w:szCs w:val="28"/>
          <w:shd w:val="clear" w:color="auto" w:fill="FFFFFF"/>
        </w:rPr>
        <w:t xml:space="preserve"> (суспензий, эмульсий,</w:t>
      </w:r>
      <w:r w:rsidR="00476175" w:rsidRPr="004F51D4">
        <w:rPr>
          <w:color w:val="000000"/>
          <w:sz w:val="28"/>
          <w:szCs w:val="28"/>
        </w:rPr>
        <w:t xml:space="preserve"> экстрактов, растворов</w:t>
      </w:r>
      <w:r w:rsidR="00BD4244">
        <w:rPr>
          <w:color w:val="000000"/>
          <w:sz w:val="28"/>
          <w:szCs w:val="28"/>
        </w:rPr>
        <w:t xml:space="preserve"> и др.</w:t>
      </w:r>
      <w:r w:rsidR="00476175" w:rsidRPr="004F51D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Кроме того, нефелометрия позволяет с высокой точностью</w:t>
      </w:r>
      <w:r w:rsidR="00BD4244">
        <w:rPr>
          <w:color w:val="000000"/>
          <w:sz w:val="28"/>
          <w:szCs w:val="28"/>
        </w:rPr>
        <w:t xml:space="preserve"> посредством реакции преципитации проводить анализ</w:t>
      </w:r>
      <w:r>
        <w:rPr>
          <w:color w:val="000000"/>
          <w:sz w:val="28"/>
          <w:szCs w:val="28"/>
        </w:rPr>
        <w:t>:</w:t>
      </w:r>
    </w:p>
    <w:p w:rsidR="00BF636C" w:rsidRDefault="00DE1797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F636C">
        <w:rPr>
          <w:color w:val="000000"/>
          <w:sz w:val="28"/>
          <w:szCs w:val="28"/>
        </w:rPr>
        <w:t>иммуноглобулин</w:t>
      </w:r>
      <w:r w:rsidR="00BD4244">
        <w:rPr>
          <w:color w:val="000000"/>
          <w:sz w:val="28"/>
          <w:szCs w:val="28"/>
        </w:rPr>
        <w:t>ов</w:t>
      </w:r>
      <w:r w:rsidR="00BF636C">
        <w:rPr>
          <w:color w:val="000000"/>
          <w:sz w:val="28"/>
          <w:szCs w:val="28"/>
        </w:rPr>
        <w:t xml:space="preserve"> (</w:t>
      </w:r>
      <w:r w:rsidR="00BF636C">
        <w:rPr>
          <w:color w:val="000000"/>
          <w:sz w:val="28"/>
          <w:szCs w:val="28"/>
          <w:lang w:val="en-US"/>
        </w:rPr>
        <w:t>IgG</w:t>
      </w:r>
      <w:r w:rsidR="00BF636C" w:rsidRPr="00BF636C">
        <w:rPr>
          <w:color w:val="000000"/>
          <w:sz w:val="28"/>
          <w:szCs w:val="28"/>
        </w:rPr>
        <w:t xml:space="preserve">, </w:t>
      </w:r>
      <w:r w:rsidR="00BF636C">
        <w:rPr>
          <w:color w:val="000000"/>
          <w:sz w:val="28"/>
          <w:szCs w:val="28"/>
        </w:rPr>
        <w:t xml:space="preserve">включая подклассы; </w:t>
      </w:r>
      <w:r w:rsidR="00BF636C">
        <w:rPr>
          <w:color w:val="000000"/>
          <w:sz w:val="28"/>
          <w:szCs w:val="28"/>
          <w:lang w:val="en-US"/>
        </w:rPr>
        <w:t>IgM</w:t>
      </w:r>
      <w:r w:rsidR="00BF636C">
        <w:rPr>
          <w:color w:val="000000"/>
          <w:sz w:val="28"/>
          <w:szCs w:val="28"/>
        </w:rPr>
        <w:t xml:space="preserve"> и</w:t>
      </w:r>
      <w:r w:rsidR="00BF636C" w:rsidRPr="00BF636C">
        <w:rPr>
          <w:color w:val="000000"/>
          <w:sz w:val="28"/>
          <w:szCs w:val="28"/>
        </w:rPr>
        <w:t xml:space="preserve"> </w:t>
      </w:r>
      <w:r w:rsidR="00BF636C">
        <w:rPr>
          <w:color w:val="000000"/>
          <w:sz w:val="28"/>
          <w:szCs w:val="28"/>
          <w:lang w:val="en-US"/>
        </w:rPr>
        <w:t>IgA</w:t>
      </w:r>
      <w:r w:rsidR="0093312E">
        <w:rPr>
          <w:color w:val="000000"/>
          <w:sz w:val="28"/>
          <w:szCs w:val="28"/>
        </w:rPr>
        <w:t>)</w:t>
      </w:r>
      <w:r w:rsidR="00BF636C">
        <w:rPr>
          <w:color w:val="000000"/>
          <w:sz w:val="28"/>
          <w:szCs w:val="28"/>
        </w:rPr>
        <w:t>;</w:t>
      </w:r>
    </w:p>
    <w:p w:rsidR="00072A10" w:rsidRDefault="00DE1797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D4244">
        <w:rPr>
          <w:color w:val="000000"/>
          <w:sz w:val="28"/>
          <w:szCs w:val="28"/>
        </w:rPr>
        <w:t>белков</w:t>
      </w:r>
      <w:r w:rsidR="00072A10">
        <w:rPr>
          <w:color w:val="000000"/>
          <w:sz w:val="28"/>
          <w:szCs w:val="28"/>
        </w:rPr>
        <w:t xml:space="preserve"> системы комплемента (компоненты С3, С4, фактор В и др.);</w:t>
      </w:r>
    </w:p>
    <w:p w:rsidR="00072A10" w:rsidRDefault="00DE1797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D4244">
        <w:rPr>
          <w:color w:val="000000"/>
          <w:sz w:val="28"/>
          <w:szCs w:val="28"/>
        </w:rPr>
        <w:t>С-реактивного</w:t>
      </w:r>
      <w:r w:rsidR="00072A10">
        <w:rPr>
          <w:color w:val="000000"/>
          <w:sz w:val="28"/>
          <w:szCs w:val="28"/>
        </w:rPr>
        <w:t xml:space="preserve"> и некоторы</w:t>
      </w:r>
      <w:r w:rsidR="00BD4244">
        <w:rPr>
          <w:color w:val="000000"/>
          <w:sz w:val="28"/>
          <w:szCs w:val="28"/>
        </w:rPr>
        <w:t>х</w:t>
      </w:r>
      <w:r w:rsidR="00072A10">
        <w:rPr>
          <w:color w:val="000000"/>
          <w:sz w:val="28"/>
          <w:szCs w:val="28"/>
        </w:rPr>
        <w:t xml:space="preserve"> други</w:t>
      </w:r>
      <w:r w:rsidR="00BD4244">
        <w:rPr>
          <w:color w:val="000000"/>
          <w:sz w:val="28"/>
          <w:szCs w:val="28"/>
        </w:rPr>
        <w:t>х</w:t>
      </w:r>
      <w:r w:rsidR="00072A10">
        <w:rPr>
          <w:color w:val="000000"/>
          <w:sz w:val="28"/>
          <w:szCs w:val="28"/>
        </w:rPr>
        <w:t xml:space="preserve"> сывороточны</w:t>
      </w:r>
      <w:r w:rsidR="00BD4244">
        <w:rPr>
          <w:color w:val="000000"/>
          <w:sz w:val="28"/>
          <w:szCs w:val="28"/>
        </w:rPr>
        <w:t>х</w:t>
      </w:r>
      <w:r w:rsidR="00072A10">
        <w:rPr>
          <w:color w:val="000000"/>
          <w:sz w:val="28"/>
          <w:szCs w:val="28"/>
        </w:rPr>
        <w:t xml:space="preserve"> белк</w:t>
      </w:r>
      <w:r w:rsidR="00BD4244">
        <w:rPr>
          <w:color w:val="000000"/>
          <w:sz w:val="28"/>
          <w:szCs w:val="28"/>
        </w:rPr>
        <w:t>ов</w:t>
      </w:r>
      <w:r w:rsidR="00072A10">
        <w:rPr>
          <w:color w:val="000000"/>
          <w:sz w:val="28"/>
          <w:szCs w:val="28"/>
        </w:rPr>
        <w:t>;</w:t>
      </w:r>
    </w:p>
    <w:p w:rsidR="00072A10" w:rsidRDefault="00DE1797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072A10">
        <w:rPr>
          <w:color w:val="000000"/>
          <w:sz w:val="28"/>
          <w:szCs w:val="28"/>
        </w:rPr>
        <w:t>полисахарид</w:t>
      </w:r>
      <w:r w:rsidR="00BD4244">
        <w:rPr>
          <w:color w:val="000000"/>
          <w:sz w:val="28"/>
          <w:szCs w:val="28"/>
        </w:rPr>
        <w:t>ов</w:t>
      </w:r>
      <w:r w:rsidR="00072A10">
        <w:rPr>
          <w:color w:val="000000"/>
          <w:sz w:val="28"/>
          <w:szCs w:val="28"/>
        </w:rPr>
        <w:t xml:space="preserve"> вакцинальных серотипов, входящи</w:t>
      </w:r>
      <w:r w:rsidR="00BD4244">
        <w:rPr>
          <w:color w:val="000000"/>
          <w:sz w:val="28"/>
          <w:szCs w:val="28"/>
        </w:rPr>
        <w:t>х</w:t>
      </w:r>
      <w:r w:rsidR="00072A10">
        <w:rPr>
          <w:color w:val="000000"/>
          <w:sz w:val="28"/>
          <w:szCs w:val="28"/>
        </w:rPr>
        <w:t xml:space="preserve"> в состав поливалентных полисахаридных вакцин.</w:t>
      </w:r>
    </w:p>
    <w:p w:rsidR="002567E8" w:rsidRPr="008225EF" w:rsidRDefault="003F7A92" w:rsidP="002567E8">
      <w:pPr>
        <w:pStyle w:val="af"/>
        <w:spacing w:before="24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072A10" w:rsidRPr="00072A10">
        <w:rPr>
          <w:b/>
          <w:color w:val="000000"/>
          <w:sz w:val="28"/>
          <w:szCs w:val="28"/>
        </w:rPr>
        <w:t>етод</w:t>
      </w:r>
    </w:p>
    <w:p w:rsidR="00EF001E" w:rsidRPr="005C5B25" w:rsidRDefault="00EF001E" w:rsidP="001E5591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42E5">
        <w:rPr>
          <w:color w:val="000000"/>
          <w:sz w:val="28"/>
          <w:szCs w:val="28"/>
        </w:rPr>
        <w:t xml:space="preserve">Метод основан на измерении интенсивности светового потока, рассеянного </w:t>
      </w:r>
      <w:r w:rsidR="00DB4AB4" w:rsidRPr="005C5B25">
        <w:rPr>
          <w:color w:val="000000"/>
          <w:sz w:val="28"/>
          <w:szCs w:val="28"/>
        </w:rPr>
        <w:t>под определённым углом</w:t>
      </w:r>
      <w:r w:rsidR="00DB4AB4">
        <w:rPr>
          <w:color w:val="000000"/>
          <w:sz w:val="28"/>
          <w:szCs w:val="28"/>
        </w:rPr>
        <w:t xml:space="preserve"> </w:t>
      </w:r>
      <w:r w:rsidR="00DB4AB4" w:rsidRPr="005C5B25">
        <w:rPr>
          <w:color w:val="000000"/>
          <w:sz w:val="28"/>
          <w:szCs w:val="28"/>
        </w:rPr>
        <w:t>(обычно под углом 90</w:t>
      </w:r>
      <w:r w:rsidR="0047266A">
        <w:rPr>
          <w:color w:val="000000"/>
          <w:sz w:val="28"/>
          <w:szCs w:val="28"/>
        </w:rPr>
        <w:t> </w:t>
      </w:r>
      <w:r w:rsidR="00DB4AB4" w:rsidRPr="005C5B25">
        <w:rPr>
          <w:color w:val="000000"/>
          <w:sz w:val="28"/>
          <w:szCs w:val="28"/>
        </w:rPr>
        <w:t>°)</w:t>
      </w:r>
      <w:r w:rsidR="00DB4AB4" w:rsidRPr="00A042E5">
        <w:rPr>
          <w:color w:val="000000"/>
          <w:sz w:val="28"/>
          <w:szCs w:val="28"/>
        </w:rPr>
        <w:t xml:space="preserve"> </w:t>
      </w:r>
      <w:r w:rsidRPr="00A042E5">
        <w:rPr>
          <w:color w:val="000000"/>
          <w:sz w:val="28"/>
          <w:szCs w:val="28"/>
        </w:rPr>
        <w:t>частицами,</w:t>
      </w:r>
      <w:r w:rsidR="00110E26">
        <w:rPr>
          <w:color w:val="000000"/>
          <w:sz w:val="28"/>
          <w:szCs w:val="28"/>
        </w:rPr>
        <w:t xml:space="preserve"> </w:t>
      </w:r>
      <w:r w:rsidR="00AD650E" w:rsidRPr="005C5B25">
        <w:rPr>
          <w:color w:val="000000"/>
          <w:sz w:val="28"/>
          <w:szCs w:val="28"/>
        </w:rPr>
        <w:t>распредел</w:t>
      </w:r>
      <w:r w:rsidR="008C5F65">
        <w:rPr>
          <w:color w:val="000000"/>
          <w:sz w:val="28"/>
          <w:szCs w:val="28"/>
        </w:rPr>
        <w:t>ё</w:t>
      </w:r>
      <w:r w:rsidR="00AD650E" w:rsidRPr="005C5B25">
        <w:rPr>
          <w:color w:val="000000"/>
          <w:sz w:val="28"/>
          <w:szCs w:val="28"/>
        </w:rPr>
        <w:t>нными в объ</w:t>
      </w:r>
      <w:r w:rsidR="008C5F65">
        <w:rPr>
          <w:color w:val="000000"/>
          <w:sz w:val="28"/>
          <w:szCs w:val="28"/>
        </w:rPr>
        <w:t>ё</w:t>
      </w:r>
      <w:r w:rsidR="00AD650E" w:rsidRPr="005C5B25">
        <w:rPr>
          <w:color w:val="000000"/>
          <w:sz w:val="28"/>
          <w:szCs w:val="28"/>
        </w:rPr>
        <w:t xml:space="preserve">ме испытуемого образца и </w:t>
      </w:r>
      <w:r w:rsidRPr="00A042E5">
        <w:rPr>
          <w:color w:val="000000"/>
          <w:sz w:val="28"/>
          <w:szCs w:val="28"/>
        </w:rPr>
        <w:t>находящимися в растворе во взвешенном состоянии</w:t>
      </w:r>
      <w:r w:rsidR="005C5B25">
        <w:rPr>
          <w:color w:val="000000"/>
          <w:sz w:val="28"/>
          <w:szCs w:val="28"/>
        </w:rPr>
        <w:t>.</w:t>
      </w:r>
      <w:r w:rsidRPr="00A042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Интенсивность рассеянного света зависит</w:t>
      </w:r>
      <w:r w:rsidR="006F6E23">
        <w:rPr>
          <w:color w:val="000000"/>
          <w:sz w:val="28"/>
          <w:szCs w:val="28"/>
        </w:rPr>
        <w:t xml:space="preserve">, </w:t>
      </w:r>
      <w:r w:rsidR="006F6E23" w:rsidRPr="005C5B25">
        <w:rPr>
          <w:color w:val="000000"/>
          <w:sz w:val="28"/>
          <w:szCs w:val="28"/>
        </w:rPr>
        <w:t>главным образом</w:t>
      </w:r>
      <w:r w:rsidR="00B81CC2">
        <w:rPr>
          <w:color w:val="000000"/>
          <w:sz w:val="28"/>
          <w:szCs w:val="28"/>
        </w:rPr>
        <w:t>,</w:t>
      </w:r>
      <w:r w:rsidR="006F6E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количества взвешенных частиц</w:t>
      </w:r>
      <w:r w:rsidR="00D604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60428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размеров</w:t>
      </w:r>
      <w:r w:rsidR="006F6E23" w:rsidRPr="005C5B25">
        <w:rPr>
          <w:color w:val="000000"/>
          <w:sz w:val="28"/>
          <w:szCs w:val="28"/>
        </w:rPr>
        <w:t>, а также длины волны падающего на обра</w:t>
      </w:r>
      <w:r w:rsidR="005C5B25">
        <w:rPr>
          <w:color w:val="000000"/>
          <w:sz w:val="28"/>
          <w:szCs w:val="28"/>
        </w:rPr>
        <w:t>зец электромагнитного излучения.</w:t>
      </w:r>
    </w:p>
    <w:p w:rsidR="00072A10" w:rsidRDefault="00BD4244" w:rsidP="001E5591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получения воспроизводимых и достоверных рез</w:t>
      </w:r>
      <w:r w:rsidR="00B81CC2">
        <w:rPr>
          <w:color w:val="000000"/>
          <w:sz w:val="28"/>
          <w:szCs w:val="28"/>
        </w:rPr>
        <w:t>ультатов при проведении анализа</w:t>
      </w:r>
      <w:r>
        <w:rPr>
          <w:color w:val="000000"/>
          <w:sz w:val="28"/>
          <w:szCs w:val="28"/>
        </w:rPr>
        <w:t xml:space="preserve"> частицы в исследуемых образцах не должны растворяться и оседать с течением времени.</w:t>
      </w:r>
    </w:p>
    <w:p w:rsidR="00072A10" w:rsidRPr="00A6468D" w:rsidRDefault="00BD4244">
      <w:pPr>
        <w:pStyle w:val="af"/>
        <w:spacing w:before="0" w:beforeAutospacing="0" w:after="0" w:afterAutospacing="0" w:line="360" w:lineRule="auto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Взвес</w:t>
      </w:r>
      <w:r w:rsidR="00072A10">
        <w:rPr>
          <w:color w:val="000000"/>
          <w:sz w:val="28"/>
          <w:szCs w:val="28"/>
        </w:rPr>
        <w:t xml:space="preserve">и исследуемых и стандартных веществ готовят параллельно одним и тем же способом. Необходимые условия проведения испытания должны быть указаны в </w:t>
      </w:r>
      <w:r w:rsidR="007E2BB2">
        <w:rPr>
          <w:color w:val="000000"/>
          <w:sz w:val="28"/>
          <w:szCs w:val="28"/>
        </w:rPr>
        <w:t>методиках испытаний</w:t>
      </w:r>
      <w:r w:rsidR="00924334">
        <w:rPr>
          <w:color w:val="000000"/>
          <w:sz w:val="28"/>
          <w:szCs w:val="28"/>
        </w:rPr>
        <w:t>.</w:t>
      </w:r>
    </w:p>
    <w:p w:rsidR="00E8663A" w:rsidRDefault="00072A10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468D">
        <w:rPr>
          <w:color w:val="000000"/>
          <w:sz w:val="28"/>
          <w:szCs w:val="28"/>
        </w:rPr>
        <w:t>Для измерения мутности</w:t>
      </w:r>
      <w:r w:rsidR="00B26922" w:rsidRPr="00A6468D">
        <w:rPr>
          <w:color w:val="000000"/>
          <w:sz w:val="28"/>
          <w:szCs w:val="28"/>
        </w:rPr>
        <w:t xml:space="preserve"> </w:t>
      </w:r>
      <w:r w:rsidR="00B81CC2">
        <w:rPr>
          <w:color w:val="000000"/>
          <w:sz w:val="28"/>
          <w:szCs w:val="28"/>
        </w:rPr>
        <w:t>окрашенных растворов использую</w:t>
      </w:r>
      <w:r w:rsidRPr="00A6468D">
        <w:rPr>
          <w:color w:val="000000"/>
          <w:sz w:val="28"/>
          <w:szCs w:val="28"/>
        </w:rPr>
        <w:t xml:space="preserve">т </w:t>
      </w:r>
      <w:r w:rsidR="00B81CC2">
        <w:rPr>
          <w:color w:val="000000"/>
          <w:sz w:val="28"/>
          <w:szCs w:val="28"/>
        </w:rPr>
        <w:t>относительную</w:t>
      </w:r>
      <w:r w:rsidRPr="00E8663A">
        <w:rPr>
          <w:color w:val="000000"/>
          <w:sz w:val="28"/>
          <w:szCs w:val="28"/>
        </w:rPr>
        <w:t xml:space="preserve"> нефелометри</w:t>
      </w:r>
      <w:r w:rsidR="00B81CC2">
        <w:rPr>
          <w:color w:val="000000"/>
          <w:sz w:val="28"/>
          <w:szCs w:val="28"/>
        </w:rPr>
        <w:t>ю</w:t>
      </w:r>
      <w:r w:rsidR="00E8663A">
        <w:rPr>
          <w:color w:val="000000"/>
          <w:sz w:val="28"/>
          <w:szCs w:val="28"/>
        </w:rPr>
        <w:t>.</w:t>
      </w:r>
      <w:r w:rsidRPr="00A6468D">
        <w:rPr>
          <w:color w:val="000000"/>
          <w:sz w:val="28"/>
          <w:szCs w:val="28"/>
        </w:rPr>
        <w:t xml:space="preserve"> </w:t>
      </w:r>
      <w:r w:rsidR="00E8663A" w:rsidRPr="006A4F83">
        <w:rPr>
          <w:color w:val="000000"/>
          <w:sz w:val="28"/>
          <w:szCs w:val="28"/>
        </w:rPr>
        <w:t xml:space="preserve">Нефелометрические процедуры выполняются аналогично турбидиметрическим процедурам как для прямых измерений, так и для измерений в режиме отношения в соответствии </w:t>
      </w:r>
      <w:r w:rsidR="002923C7">
        <w:rPr>
          <w:color w:val="000000"/>
          <w:sz w:val="28"/>
          <w:szCs w:val="28"/>
        </w:rPr>
        <w:br w:type="textWrapping" w:clear="all"/>
      </w:r>
      <w:r w:rsidR="00E8663A" w:rsidRPr="006A4F83">
        <w:rPr>
          <w:color w:val="000000"/>
          <w:sz w:val="28"/>
          <w:szCs w:val="28"/>
        </w:rPr>
        <w:t>с ОФС «Турбидиметрия».</w:t>
      </w:r>
    </w:p>
    <w:p w:rsidR="00C77FE7" w:rsidRDefault="00C77FE7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количественного анализа необходимо построение калибровочного графика, поскольку соотношения между оптическими свойствами суспензии и концентрацией дисперсной фазы являются полуэмпирическими. Количественные значения мутности</w:t>
      </w:r>
      <w:r w:rsidR="00B26922">
        <w:rPr>
          <w:color w:val="000000"/>
          <w:sz w:val="28"/>
          <w:szCs w:val="28"/>
        </w:rPr>
        <w:t xml:space="preserve"> (опалесценции) </w:t>
      </w:r>
      <w:r w:rsidR="00B81CC2">
        <w:rPr>
          <w:color w:val="000000"/>
          <w:sz w:val="28"/>
          <w:szCs w:val="28"/>
        </w:rPr>
        <w:t>используют</w:t>
      </w:r>
      <w:r>
        <w:rPr>
          <w:color w:val="000000"/>
          <w:sz w:val="28"/>
          <w:szCs w:val="28"/>
        </w:rPr>
        <w:t xml:space="preserve"> для контроля и анализа</w:t>
      </w:r>
      <w:r w:rsidR="00BD4244">
        <w:rPr>
          <w:color w:val="000000"/>
          <w:sz w:val="28"/>
          <w:szCs w:val="28"/>
        </w:rPr>
        <w:t xml:space="preserve"> качества и</w:t>
      </w:r>
      <w:r>
        <w:rPr>
          <w:color w:val="000000"/>
          <w:sz w:val="28"/>
          <w:szCs w:val="28"/>
        </w:rPr>
        <w:t xml:space="preserve"> стабильности </w:t>
      </w:r>
      <w:r w:rsidR="0044470D">
        <w:rPr>
          <w:color w:val="000000"/>
          <w:sz w:val="28"/>
          <w:szCs w:val="28"/>
        </w:rPr>
        <w:t>образцов</w:t>
      </w:r>
      <w:r>
        <w:rPr>
          <w:color w:val="000000"/>
          <w:sz w:val="28"/>
          <w:szCs w:val="28"/>
        </w:rPr>
        <w:t>.</w:t>
      </w:r>
    </w:p>
    <w:p w:rsidR="00924334" w:rsidRPr="00924334" w:rsidRDefault="00924334" w:rsidP="00901E1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4334">
        <w:rPr>
          <w:sz w:val="28"/>
          <w:szCs w:val="28"/>
        </w:rPr>
        <w:t>Если смотреть на суспензию под прямым углом к направлению падающего на не</w:t>
      </w:r>
      <w:r w:rsidR="00C677B4">
        <w:rPr>
          <w:sz w:val="28"/>
          <w:szCs w:val="28"/>
        </w:rPr>
        <w:t>ё</w:t>
      </w:r>
      <w:r w:rsidRPr="00924334">
        <w:rPr>
          <w:sz w:val="28"/>
          <w:szCs w:val="28"/>
        </w:rPr>
        <w:t xml:space="preserve"> света, появляется опалесценция (эффект Тиндаля)</w:t>
      </w:r>
      <w:r w:rsidR="00B81CC2">
        <w:rPr>
          <w:color w:val="000000"/>
          <w:sz w:val="28"/>
          <w:szCs w:val="28"/>
        </w:rPr>
        <w:t>. П</w:t>
      </w:r>
      <w:r w:rsidRPr="00924334">
        <w:rPr>
          <w:sz w:val="28"/>
          <w:szCs w:val="28"/>
        </w:rPr>
        <w:t>одобное явление объясняется тем, что при прохождении через взвесь частиц световой поток не только частично поглощается, но и рассеивается ими</w:t>
      </w:r>
      <w:r w:rsidRPr="00924334">
        <w:rPr>
          <w:color w:val="000000"/>
          <w:sz w:val="28"/>
          <w:szCs w:val="28"/>
        </w:rPr>
        <w:t>.</w:t>
      </w:r>
    </w:p>
    <w:p w:rsidR="000806DB" w:rsidRDefault="0044470D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н</w:t>
      </w:r>
      <w:r w:rsidR="00E53FFF">
        <w:rPr>
          <w:color w:val="000000"/>
          <w:sz w:val="28"/>
          <w:szCs w:val="28"/>
        </w:rPr>
        <w:t>ефелометри</w:t>
      </w:r>
      <w:r>
        <w:rPr>
          <w:color w:val="000000"/>
          <w:sz w:val="28"/>
          <w:szCs w:val="28"/>
        </w:rPr>
        <w:t>и</w:t>
      </w:r>
      <w:r w:rsidR="00E53F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</w:t>
      </w:r>
      <w:r w:rsidR="00E53FFF">
        <w:rPr>
          <w:color w:val="000000"/>
          <w:sz w:val="28"/>
          <w:szCs w:val="28"/>
        </w:rPr>
        <w:t>более пригод</w:t>
      </w:r>
      <w:r>
        <w:rPr>
          <w:color w:val="000000"/>
          <w:sz w:val="28"/>
          <w:szCs w:val="28"/>
        </w:rPr>
        <w:t>ен</w:t>
      </w:r>
      <w:r w:rsidR="00E53FFF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измерений</w:t>
      </w:r>
      <w:r w:rsidR="00E53FFF">
        <w:rPr>
          <w:color w:val="000000"/>
          <w:sz w:val="28"/>
          <w:szCs w:val="28"/>
        </w:rPr>
        <w:t xml:space="preserve"> при низких значениях мутности, при которых существует линейная зависимость между значением </w:t>
      </w:r>
      <w:r w:rsidR="00E53FFF">
        <w:rPr>
          <w:color w:val="000000"/>
          <w:sz w:val="28"/>
          <w:szCs w:val="28"/>
          <w:lang w:val="en-US"/>
        </w:rPr>
        <w:t>NTU</w:t>
      </w:r>
      <w:r w:rsidR="00E53FFF">
        <w:rPr>
          <w:color w:val="000000"/>
          <w:sz w:val="28"/>
          <w:szCs w:val="28"/>
        </w:rPr>
        <w:t xml:space="preserve"> </w:t>
      </w:r>
      <w:r w:rsidR="00354378">
        <w:rPr>
          <w:color w:val="000000"/>
          <w:sz w:val="28"/>
          <w:szCs w:val="28"/>
        </w:rPr>
        <w:t>(</w:t>
      </w:r>
      <w:r w:rsidR="00354378" w:rsidRPr="00841BA3">
        <w:rPr>
          <w:bCs/>
          <w:iCs/>
          <w:sz w:val="28"/>
          <w:szCs w:val="28"/>
          <w:lang w:val="en-US"/>
        </w:rPr>
        <w:t>Nephelometric</w:t>
      </w:r>
      <w:r w:rsidR="00354378" w:rsidRPr="00841BA3">
        <w:rPr>
          <w:bCs/>
          <w:iCs/>
          <w:sz w:val="28"/>
          <w:szCs w:val="28"/>
        </w:rPr>
        <w:t xml:space="preserve"> </w:t>
      </w:r>
      <w:r w:rsidR="00354378" w:rsidRPr="00841BA3">
        <w:rPr>
          <w:bCs/>
          <w:iCs/>
          <w:sz w:val="28"/>
          <w:szCs w:val="28"/>
          <w:lang w:val="en-US"/>
        </w:rPr>
        <w:t>Turbidity</w:t>
      </w:r>
      <w:r w:rsidR="00354378" w:rsidRPr="00841BA3">
        <w:rPr>
          <w:bCs/>
          <w:iCs/>
          <w:sz w:val="28"/>
          <w:szCs w:val="28"/>
        </w:rPr>
        <w:t xml:space="preserve"> </w:t>
      </w:r>
      <w:r w:rsidR="00354378" w:rsidRPr="00841BA3">
        <w:rPr>
          <w:bCs/>
          <w:iCs/>
          <w:sz w:val="28"/>
          <w:szCs w:val="28"/>
          <w:lang w:val="en-US"/>
        </w:rPr>
        <w:t>Units</w:t>
      </w:r>
      <w:r w:rsidR="00354378" w:rsidRPr="00841BA3">
        <w:rPr>
          <w:bCs/>
          <w:i/>
          <w:iCs/>
          <w:sz w:val="28"/>
          <w:szCs w:val="28"/>
        </w:rPr>
        <w:t xml:space="preserve"> – </w:t>
      </w:r>
      <w:r w:rsidR="00354378" w:rsidRPr="00841BA3">
        <w:rPr>
          <w:bCs/>
          <w:iCs/>
          <w:sz w:val="28"/>
          <w:szCs w:val="28"/>
        </w:rPr>
        <w:t>нефелометрические единицы мутности</w:t>
      </w:r>
      <w:r w:rsidR="00354378" w:rsidRPr="00841BA3">
        <w:rPr>
          <w:color w:val="000000"/>
          <w:sz w:val="28"/>
          <w:szCs w:val="28"/>
        </w:rPr>
        <w:t>)</w:t>
      </w:r>
      <w:r w:rsidR="000806DB">
        <w:rPr>
          <w:color w:val="000000"/>
          <w:sz w:val="28"/>
          <w:szCs w:val="28"/>
        </w:rPr>
        <w:t xml:space="preserve"> и сигнала детектора. С повышением мутности не все частицы подвергаются воздействию падающего света, и рассеянный остальными частицами свет блокируется на пути к детектору. Максимальные нефелометрические значения, при которых возможно производить достоверные измерен</w:t>
      </w:r>
      <w:r w:rsidR="00D41DD1">
        <w:rPr>
          <w:color w:val="000000"/>
          <w:sz w:val="28"/>
          <w:szCs w:val="28"/>
        </w:rPr>
        <w:t>ия, лежат в диапазоне 1750</w:t>
      </w:r>
      <w:r w:rsidR="007630E8">
        <w:rPr>
          <w:color w:val="000000"/>
          <w:sz w:val="28"/>
          <w:szCs w:val="28"/>
        </w:rPr>
        <w:t>–</w:t>
      </w:r>
      <w:r w:rsidR="00D41DD1">
        <w:rPr>
          <w:color w:val="000000"/>
          <w:sz w:val="28"/>
          <w:szCs w:val="28"/>
        </w:rPr>
        <w:t>2000 </w:t>
      </w:r>
      <w:r w:rsidR="000806DB">
        <w:rPr>
          <w:color w:val="000000"/>
          <w:sz w:val="28"/>
          <w:szCs w:val="28"/>
          <w:lang w:val="en-US"/>
        </w:rPr>
        <w:t>NTU</w:t>
      </w:r>
      <w:r w:rsidR="000806DB">
        <w:rPr>
          <w:color w:val="000000"/>
          <w:sz w:val="28"/>
          <w:szCs w:val="28"/>
        </w:rPr>
        <w:t>.</w:t>
      </w:r>
    </w:p>
    <w:p w:rsidR="000806DB" w:rsidRDefault="000806DB" w:rsidP="008225EF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практике удобно использовать метод сравнительной нефелометрии, в котором используется стандарт-система той же природы, что и исследуемая, для которой известны концентрация или размер частиц дисперсной фазы.</w:t>
      </w:r>
    </w:p>
    <w:p w:rsidR="00BB233C" w:rsidRDefault="000806DB" w:rsidP="008225EF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применения нефелометрии для качественного и количественного определения белков и полисахаридов в реакции преципитации, как правило, используют автоматический анализатор, возможно с функцией кинетики. Взаимодействие антиген-антитело (реакция преципитации) происходит в жидкой фазе. Образовавшиеся иммунные комплексы образуют нерастворимый осадок,</w:t>
      </w:r>
      <w:r w:rsidR="00BB233C">
        <w:rPr>
          <w:color w:val="000000"/>
          <w:sz w:val="28"/>
          <w:szCs w:val="28"/>
        </w:rPr>
        <w:t xml:space="preserve"> вызывающий помутнение среды. Уч</w:t>
      </w:r>
      <w:r w:rsidR="009E1DCD">
        <w:rPr>
          <w:color w:val="000000"/>
          <w:sz w:val="28"/>
          <w:szCs w:val="28"/>
        </w:rPr>
        <w:t>ё</w:t>
      </w:r>
      <w:r w:rsidR="00BB233C">
        <w:rPr>
          <w:color w:val="000000"/>
          <w:sz w:val="28"/>
          <w:szCs w:val="28"/>
        </w:rPr>
        <w:t>т результатов реакции может проводиться по конечной точке (нефелометрия) или по мере нарастания мутности</w:t>
      </w:r>
      <w:r w:rsidR="00B26922">
        <w:rPr>
          <w:color w:val="000000"/>
          <w:sz w:val="28"/>
          <w:szCs w:val="28"/>
        </w:rPr>
        <w:t xml:space="preserve"> (опалесценции)</w:t>
      </w:r>
      <w:r w:rsidR="00BB233C">
        <w:rPr>
          <w:color w:val="000000"/>
          <w:sz w:val="28"/>
          <w:szCs w:val="28"/>
        </w:rPr>
        <w:t>, обусловленной образованием осадка (кинетическая нефелометрия).</w:t>
      </w:r>
    </w:p>
    <w:p w:rsidR="002567E8" w:rsidRPr="00521B0E" w:rsidRDefault="00476175" w:rsidP="008225EF">
      <w:pPr>
        <w:pStyle w:val="a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C4943">
        <w:rPr>
          <w:b/>
          <w:i/>
          <w:sz w:val="28"/>
          <w:szCs w:val="28"/>
        </w:rPr>
        <w:t>Оборудование</w:t>
      </w:r>
    </w:p>
    <w:p w:rsidR="00BB233C" w:rsidRDefault="00BB233C" w:rsidP="008225EF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Действие нефелометра основано на уравнивании двух световых потоков: одного от рассеивающей искомой взвеси, другого со стандартом. Радиус частиц вычисляют</w:t>
      </w:r>
      <w:r w:rsidR="002C4943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уравнения Релея по пропорции: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67"/>
        <w:gridCol w:w="420"/>
        <w:gridCol w:w="2823"/>
        <w:gridCol w:w="4785"/>
      </w:tblGrid>
      <w:tr w:rsidR="00FC7162" w:rsidTr="001C213C">
        <w:trPr>
          <w:trHeight w:val="885"/>
        </w:trPr>
        <w:tc>
          <w:tcPr>
            <w:tcW w:w="4786" w:type="dxa"/>
            <w:gridSpan w:val="4"/>
          </w:tcPr>
          <w:p w:rsidR="002567E8" w:rsidRPr="002567E8" w:rsidRDefault="00502FF6" w:rsidP="002567E8">
            <w:pPr>
              <w:pStyle w:val="af"/>
              <w:shd w:val="clear" w:color="auto" w:fill="FFFFFF"/>
              <w:spacing w:before="0" w:beforeAutospacing="0" w:after="12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ст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4785" w:type="dxa"/>
          </w:tcPr>
          <w:p w:rsidR="002567E8" w:rsidRPr="002567E8" w:rsidRDefault="00502FF6" w:rsidP="002567E8">
            <w:pPr>
              <w:pStyle w:val="af"/>
              <w:shd w:val="clear" w:color="auto" w:fill="FFFFFF"/>
              <w:spacing w:before="0" w:beforeAutospacing="0" w:after="120" w:afterAutospacing="0"/>
              <w:jc w:val="center"/>
              <w:textAlignment w:val="baseline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ст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</w:tr>
      <w:tr w:rsidR="00FC7162" w:rsidTr="00503457">
        <w:tc>
          <w:tcPr>
            <w:tcW w:w="676" w:type="dxa"/>
          </w:tcPr>
          <w:p w:rsidR="002567E8" w:rsidRDefault="00EB5697" w:rsidP="00EB5697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где</w:t>
            </w:r>
          </w:p>
        </w:tc>
        <w:tc>
          <w:tcPr>
            <w:tcW w:w="867" w:type="dxa"/>
          </w:tcPr>
          <w:p w:rsidR="002567E8" w:rsidRPr="002567E8" w:rsidRDefault="002567E8" w:rsidP="00EB5697">
            <w:pPr>
              <w:pStyle w:val="af"/>
              <w:spacing w:before="0" w:beforeAutospacing="0" w:after="120" w:afterAutospacing="0"/>
              <w:jc w:val="center"/>
              <w:textAlignment w:val="baseline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567E8">
              <w:rPr>
                <w:rFonts w:ascii="Cambria Math" w:hAnsi="Cambria Math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20" w:type="dxa"/>
          </w:tcPr>
          <w:p w:rsidR="002567E8" w:rsidRDefault="00FC7162" w:rsidP="00EB5697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608" w:type="dxa"/>
            <w:gridSpan w:val="2"/>
          </w:tcPr>
          <w:p w:rsidR="002567E8" w:rsidRDefault="00FC7162" w:rsidP="00EB5697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света;</w:t>
            </w:r>
          </w:p>
        </w:tc>
      </w:tr>
      <w:tr w:rsidR="00FC7162" w:rsidTr="00503457">
        <w:tc>
          <w:tcPr>
            <w:tcW w:w="676" w:type="dxa"/>
          </w:tcPr>
          <w:p w:rsidR="002567E8" w:rsidRDefault="002567E8" w:rsidP="00EB5697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867" w:type="dxa"/>
          </w:tcPr>
          <w:p w:rsidR="002567E8" w:rsidRPr="002567E8" w:rsidRDefault="002567E8" w:rsidP="00EB5697">
            <w:pPr>
              <w:pStyle w:val="af"/>
              <w:spacing w:before="0" w:beforeAutospacing="0" w:after="120" w:afterAutospacing="0"/>
              <w:jc w:val="center"/>
              <w:textAlignment w:val="baseline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567E8">
              <w:rPr>
                <w:rFonts w:ascii="Cambria Math" w:hAnsi="Cambria Math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420" w:type="dxa"/>
          </w:tcPr>
          <w:p w:rsidR="002567E8" w:rsidRDefault="00FC7162" w:rsidP="00EB5697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608" w:type="dxa"/>
            <w:gridSpan w:val="2"/>
          </w:tcPr>
          <w:p w:rsidR="002567E8" w:rsidRDefault="00FC7162" w:rsidP="00EB5697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радиус;</w:t>
            </w:r>
          </w:p>
        </w:tc>
      </w:tr>
      <w:tr w:rsidR="00FC7162" w:rsidTr="00503457">
        <w:tc>
          <w:tcPr>
            <w:tcW w:w="676" w:type="dxa"/>
          </w:tcPr>
          <w:p w:rsidR="002567E8" w:rsidRDefault="002567E8" w:rsidP="00EB5697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867" w:type="dxa"/>
          </w:tcPr>
          <w:p w:rsidR="002567E8" w:rsidRPr="002567E8" w:rsidRDefault="002567E8" w:rsidP="00EB5697">
            <w:pPr>
              <w:pStyle w:val="af"/>
              <w:spacing w:before="0" w:beforeAutospacing="0" w:after="120" w:afterAutospacing="0"/>
              <w:jc w:val="center"/>
              <w:textAlignment w:val="baseline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567E8">
              <w:rPr>
                <w:rFonts w:ascii="Cambria Math" w:hAnsi="Cambria Math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2567E8" w:rsidRDefault="00FC7162" w:rsidP="00EB5697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608" w:type="dxa"/>
            <w:gridSpan w:val="2"/>
          </w:tcPr>
          <w:p w:rsidR="002567E8" w:rsidRDefault="00FC7162" w:rsidP="00EB5697">
            <w:pPr>
              <w:pStyle w:val="af"/>
              <w:spacing w:before="0" w:beforeAutospacing="0" w:after="12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 частиц (моль/л).</w:t>
            </w:r>
          </w:p>
        </w:tc>
      </w:tr>
    </w:tbl>
    <w:p w:rsidR="00B61924" w:rsidRPr="006A4F83" w:rsidRDefault="00B61924" w:rsidP="002923C7">
      <w:pPr>
        <w:pStyle w:val="af"/>
        <w:shd w:val="clear" w:color="auto" w:fill="FFFFFF"/>
        <w:spacing w:before="12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A4F83">
        <w:rPr>
          <w:sz w:val="28"/>
          <w:szCs w:val="28"/>
        </w:rPr>
        <w:t xml:space="preserve">Обычно, у </w:t>
      </w:r>
      <w:r w:rsidR="00176CC2" w:rsidRPr="006A4F83">
        <w:rPr>
          <w:sz w:val="28"/>
          <w:szCs w:val="28"/>
        </w:rPr>
        <w:t>приборов</w:t>
      </w:r>
      <w:r w:rsidRPr="006A4F83">
        <w:rPr>
          <w:sz w:val="28"/>
          <w:szCs w:val="28"/>
        </w:rPr>
        <w:t>, работающих в режиме отношения, источником света излучения служит вольфрамовая лампа накаливания с максимумом интенсивности излучения при длине волны около 550 нм и тем</w:t>
      </w:r>
      <w:r w:rsidR="00244E9F">
        <w:rPr>
          <w:sz w:val="28"/>
          <w:szCs w:val="28"/>
        </w:rPr>
        <w:t>пературой нити накаливания 2700 </w:t>
      </w:r>
      <w:r w:rsidRPr="006A4F83">
        <w:rPr>
          <w:sz w:val="28"/>
          <w:szCs w:val="28"/>
        </w:rPr>
        <w:t>К. Также могут использоваться другие подходящие источники света. Альтернативным источником излучения, нивелирующим эффекты, связанные с окраской образцов, может быть инфракрасный светодиод с максимумо</w:t>
      </w:r>
      <w:r w:rsidR="006B7E74">
        <w:rPr>
          <w:sz w:val="28"/>
          <w:szCs w:val="28"/>
        </w:rPr>
        <w:t>м излучения при длине волны 860 </w:t>
      </w:r>
      <w:r w:rsidRPr="006A4F83">
        <w:rPr>
          <w:sz w:val="28"/>
          <w:szCs w:val="28"/>
        </w:rPr>
        <w:t xml:space="preserve">нм </w:t>
      </w:r>
      <w:r w:rsidR="005751D8">
        <w:rPr>
          <w:sz w:val="28"/>
          <w:szCs w:val="28"/>
        </w:rPr>
        <w:t>и шириной спектральной линии 60 </w:t>
      </w:r>
      <w:r w:rsidR="00244E9F">
        <w:rPr>
          <w:sz w:val="28"/>
          <w:szCs w:val="28"/>
        </w:rPr>
        <w:t>нм</w:t>
      </w:r>
      <w:r w:rsidR="008225EF">
        <w:rPr>
          <w:sz w:val="28"/>
          <w:szCs w:val="28"/>
        </w:rPr>
        <w:t>.</w:t>
      </w:r>
    </w:p>
    <w:p w:rsidR="002E4673" w:rsidRDefault="00BB233C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качестве детекторов обычно используют </w:t>
      </w:r>
      <w:r w:rsidR="00B61924" w:rsidRPr="006A4F83">
        <w:rPr>
          <w:sz w:val="28"/>
          <w:szCs w:val="28"/>
        </w:rPr>
        <w:t>кремн</w:t>
      </w:r>
      <w:r w:rsidR="00964010">
        <w:rPr>
          <w:sz w:val="28"/>
          <w:szCs w:val="28"/>
        </w:rPr>
        <w:t>и</w:t>
      </w:r>
      <w:r w:rsidR="00B61924" w:rsidRPr="006A4F83">
        <w:rPr>
          <w:sz w:val="28"/>
          <w:szCs w:val="28"/>
        </w:rPr>
        <w:t>евые</w:t>
      </w:r>
      <w:r w:rsidR="00B61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фотодиоды или </w:t>
      </w:r>
      <w:r w:rsidR="002E4673">
        <w:rPr>
          <w:sz w:val="28"/>
          <w:szCs w:val="28"/>
        </w:rPr>
        <w:t>фотоэлектронные умножители. Свет, рассеянны</w:t>
      </w:r>
      <w:r w:rsidR="005751D8">
        <w:rPr>
          <w:sz w:val="28"/>
          <w:szCs w:val="28"/>
        </w:rPr>
        <w:t>й под углом (90±2,5)°, определяют</w:t>
      </w:r>
      <w:r w:rsidR="002E4673">
        <w:rPr>
          <w:sz w:val="28"/>
          <w:szCs w:val="28"/>
        </w:rPr>
        <w:t xml:space="preserve"> на первичном детекторе.</w:t>
      </w:r>
    </w:p>
    <w:p w:rsidR="006D146F" w:rsidRDefault="006D146F" w:rsidP="002567E8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89325" cy="22752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6F" w:rsidRDefault="006D146F" w:rsidP="002567E8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567E8" w:rsidRDefault="00E42033" w:rsidP="002567E8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A4F83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5926A9">
        <w:rPr>
          <w:sz w:val="28"/>
          <w:szCs w:val="28"/>
        </w:rPr>
        <w:t>Схема</w:t>
      </w:r>
      <w:r>
        <w:rPr>
          <w:sz w:val="28"/>
          <w:szCs w:val="28"/>
        </w:rPr>
        <w:t xml:space="preserve"> нефелометрического анализа</w:t>
      </w:r>
    </w:p>
    <w:p w:rsidR="002567E8" w:rsidRDefault="002567E8" w:rsidP="00AD1BFF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szCs w:val="28"/>
        </w:rPr>
      </w:pPr>
      <w:r w:rsidRPr="002567E8">
        <w:rPr>
          <w:szCs w:val="28"/>
        </w:rPr>
        <w:t>А – нефелометр, регистрирующий малоугловое рассеяние; Б – нефелометр, регистрирующий рассеяние под углом 90°</w:t>
      </w:r>
      <w:r w:rsidR="00EB5697">
        <w:rPr>
          <w:szCs w:val="28"/>
        </w:rPr>
        <w:t>.</w:t>
      </w:r>
    </w:p>
    <w:p w:rsidR="00AD1BFF" w:rsidRPr="002567E8" w:rsidRDefault="00AD1BFF" w:rsidP="00AD1BFF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szCs w:val="28"/>
        </w:rPr>
      </w:pPr>
    </w:p>
    <w:p w:rsidR="00BB233C" w:rsidRDefault="002E4673" w:rsidP="00D40EF8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Другие детекторы определяют прямой или обратный рассеянный свет </w:t>
      </w:r>
      <w:r w:rsidR="006A5701">
        <w:rPr>
          <w:sz w:val="28"/>
          <w:szCs w:val="28"/>
        </w:rPr>
        <w:t>или светопропускание. Калибровку приборов проводя</w:t>
      </w:r>
      <w:r>
        <w:rPr>
          <w:sz w:val="28"/>
          <w:szCs w:val="28"/>
        </w:rPr>
        <w:t>т с помощью растворов стандартов с известной мутностью. Приборы должны быть способны к автоматическому определению мутности.</w:t>
      </w:r>
    </w:p>
    <w:p w:rsidR="002E4673" w:rsidRDefault="002E4673" w:rsidP="00D40EF8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Результаты испытаний, выраженные в </w:t>
      </w:r>
      <w:r>
        <w:rPr>
          <w:sz w:val="28"/>
          <w:szCs w:val="28"/>
          <w:lang w:val="en-US"/>
        </w:rPr>
        <w:t>NTU</w:t>
      </w:r>
      <w:r>
        <w:rPr>
          <w:sz w:val="28"/>
          <w:szCs w:val="28"/>
        </w:rPr>
        <w:t>, регистрируют непосредственно с оборудования и сравнивают с требованиями, указ</w:t>
      </w:r>
      <w:r w:rsidR="00FA7F0B">
        <w:rPr>
          <w:sz w:val="28"/>
          <w:szCs w:val="28"/>
        </w:rPr>
        <w:t xml:space="preserve">анными в </w:t>
      </w:r>
      <w:r w:rsidR="007E2BB2">
        <w:rPr>
          <w:sz w:val="28"/>
          <w:szCs w:val="28"/>
        </w:rPr>
        <w:t>методиках испытаний</w:t>
      </w:r>
      <w:r w:rsidR="00FA7F0B">
        <w:rPr>
          <w:sz w:val="28"/>
          <w:szCs w:val="28"/>
        </w:rPr>
        <w:t>.</w:t>
      </w:r>
    </w:p>
    <w:p w:rsidR="00476175" w:rsidRPr="004F51D4" w:rsidRDefault="00BA7234" w:rsidP="00A749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943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Эталон</w:t>
      </w:r>
      <w:r w:rsidR="00476175" w:rsidRPr="002C4943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ы для калибровки приборов</w:t>
      </w:r>
      <w:r w:rsidR="00A7498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="00E42033" w:rsidRPr="00E4203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соответствии с требованиями ОФС «Турбидиметрия».</w:t>
      </w:r>
    </w:p>
    <w:p w:rsidR="00354378" w:rsidRDefault="0048710A" w:rsidP="00A7498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494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</w:t>
      </w:r>
      <w:r w:rsidR="00476175" w:rsidRPr="002C494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ехнически</w:t>
      </w:r>
      <w:r w:rsidRPr="002C494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е</w:t>
      </w:r>
      <w:r w:rsidR="00476175" w:rsidRPr="002C494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условия</w:t>
      </w:r>
      <w:r w:rsidRPr="002C494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пригодности прибора</w:t>
      </w:r>
      <w:r w:rsidR="00A7498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354378" w:rsidRPr="00E4203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соответствии с требованиями ОФС «Турбидиметрия».</w:t>
      </w:r>
    </w:p>
    <w:sectPr w:rsidR="00354378" w:rsidSect="003F7A92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9F" w:rsidRDefault="00244E9F" w:rsidP="00547950">
      <w:pPr>
        <w:spacing w:after="0" w:line="240" w:lineRule="auto"/>
      </w:pPr>
      <w:r>
        <w:separator/>
      </w:r>
    </w:p>
  </w:endnote>
  <w:endnote w:type="continuationSeparator" w:id="0">
    <w:p w:rsidR="00244E9F" w:rsidRDefault="00244E9F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4E9F" w:rsidRPr="008225EF" w:rsidRDefault="005B404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25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44E9F" w:rsidRPr="008225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25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2F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25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9F" w:rsidRPr="008225EF" w:rsidRDefault="00244E9F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9F" w:rsidRDefault="00244E9F" w:rsidP="00547950">
      <w:pPr>
        <w:spacing w:after="0" w:line="240" w:lineRule="auto"/>
      </w:pPr>
      <w:r>
        <w:separator/>
      </w:r>
    </w:p>
  </w:footnote>
  <w:footnote w:type="continuationSeparator" w:id="0">
    <w:p w:rsidR="00244E9F" w:rsidRDefault="00244E9F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9F" w:rsidRPr="008225EF" w:rsidRDefault="00244E9F" w:rsidP="008225EF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3765F"/>
    <w:multiLevelType w:val="hybridMultilevel"/>
    <w:tmpl w:val="108AD2D8"/>
    <w:lvl w:ilvl="0" w:tplc="514A0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F2ABB"/>
    <w:multiLevelType w:val="hybridMultilevel"/>
    <w:tmpl w:val="00E4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6098A"/>
    <w:multiLevelType w:val="hybridMultilevel"/>
    <w:tmpl w:val="DDCC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209CA"/>
    <w:rsid w:val="00043AD5"/>
    <w:rsid w:val="00047A77"/>
    <w:rsid w:val="00063471"/>
    <w:rsid w:val="00065D7B"/>
    <w:rsid w:val="00072A10"/>
    <w:rsid w:val="00074017"/>
    <w:rsid w:val="000806DB"/>
    <w:rsid w:val="00081E48"/>
    <w:rsid w:val="000A1E54"/>
    <w:rsid w:val="000A3719"/>
    <w:rsid w:val="000B0770"/>
    <w:rsid w:val="000B5108"/>
    <w:rsid w:val="000C32F3"/>
    <w:rsid w:val="000D2818"/>
    <w:rsid w:val="000D3B2F"/>
    <w:rsid w:val="000F67D9"/>
    <w:rsid w:val="001050A3"/>
    <w:rsid w:val="001070A1"/>
    <w:rsid w:val="001077E8"/>
    <w:rsid w:val="00110493"/>
    <w:rsid w:val="00110E26"/>
    <w:rsid w:val="00121CB3"/>
    <w:rsid w:val="00131598"/>
    <w:rsid w:val="00132B56"/>
    <w:rsid w:val="00136352"/>
    <w:rsid w:val="001478A2"/>
    <w:rsid w:val="00152E28"/>
    <w:rsid w:val="00176CC2"/>
    <w:rsid w:val="00183B00"/>
    <w:rsid w:val="00185462"/>
    <w:rsid w:val="00193E1D"/>
    <w:rsid w:val="00196C10"/>
    <w:rsid w:val="001B3A7A"/>
    <w:rsid w:val="001C213C"/>
    <w:rsid w:val="001D16BF"/>
    <w:rsid w:val="001D75DB"/>
    <w:rsid w:val="001E4A18"/>
    <w:rsid w:val="001E5591"/>
    <w:rsid w:val="00202568"/>
    <w:rsid w:val="00204278"/>
    <w:rsid w:val="00206EF9"/>
    <w:rsid w:val="00215A82"/>
    <w:rsid w:val="00232155"/>
    <w:rsid w:val="002334F3"/>
    <w:rsid w:val="00244E9F"/>
    <w:rsid w:val="00246D25"/>
    <w:rsid w:val="00251271"/>
    <w:rsid w:val="002524D3"/>
    <w:rsid w:val="002567E8"/>
    <w:rsid w:val="00280843"/>
    <w:rsid w:val="002923C7"/>
    <w:rsid w:val="002942D8"/>
    <w:rsid w:val="002B2478"/>
    <w:rsid w:val="002B702E"/>
    <w:rsid w:val="002C2E11"/>
    <w:rsid w:val="002C4943"/>
    <w:rsid w:val="002D06EF"/>
    <w:rsid w:val="002D56FB"/>
    <w:rsid w:val="002E4673"/>
    <w:rsid w:val="00300D67"/>
    <w:rsid w:val="00301BC0"/>
    <w:rsid w:val="00311C80"/>
    <w:rsid w:val="00313F15"/>
    <w:rsid w:val="0031410A"/>
    <w:rsid w:val="00337E53"/>
    <w:rsid w:val="00344D84"/>
    <w:rsid w:val="00350411"/>
    <w:rsid w:val="00354378"/>
    <w:rsid w:val="003559A1"/>
    <w:rsid w:val="003640FB"/>
    <w:rsid w:val="0037322E"/>
    <w:rsid w:val="00375879"/>
    <w:rsid w:val="0037716C"/>
    <w:rsid w:val="00383484"/>
    <w:rsid w:val="003856AE"/>
    <w:rsid w:val="00386347"/>
    <w:rsid w:val="0039240C"/>
    <w:rsid w:val="0039257C"/>
    <w:rsid w:val="003C2E29"/>
    <w:rsid w:val="003D665E"/>
    <w:rsid w:val="003D7E79"/>
    <w:rsid w:val="003E377D"/>
    <w:rsid w:val="003F7A92"/>
    <w:rsid w:val="00411829"/>
    <w:rsid w:val="0041690A"/>
    <w:rsid w:val="0042193A"/>
    <w:rsid w:val="004321F0"/>
    <w:rsid w:val="00436363"/>
    <w:rsid w:val="0044470D"/>
    <w:rsid w:val="00453287"/>
    <w:rsid w:val="00457454"/>
    <w:rsid w:val="00461262"/>
    <w:rsid w:val="00464470"/>
    <w:rsid w:val="00467172"/>
    <w:rsid w:val="00470C97"/>
    <w:rsid w:val="0047266A"/>
    <w:rsid w:val="00476175"/>
    <w:rsid w:val="0048710A"/>
    <w:rsid w:val="004903F1"/>
    <w:rsid w:val="004A33D2"/>
    <w:rsid w:val="004B16CF"/>
    <w:rsid w:val="004B1899"/>
    <w:rsid w:val="004C3C2C"/>
    <w:rsid w:val="004C4C8D"/>
    <w:rsid w:val="004C56A9"/>
    <w:rsid w:val="004D2554"/>
    <w:rsid w:val="004E715B"/>
    <w:rsid w:val="004F2BC3"/>
    <w:rsid w:val="004F66B4"/>
    <w:rsid w:val="00502FF6"/>
    <w:rsid w:val="00503457"/>
    <w:rsid w:val="00505091"/>
    <w:rsid w:val="00514FED"/>
    <w:rsid w:val="005168CF"/>
    <w:rsid w:val="00521B0E"/>
    <w:rsid w:val="00530AF2"/>
    <w:rsid w:val="00541F50"/>
    <w:rsid w:val="005439C5"/>
    <w:rsid w:val="00544141"/>
    <w:rsid w:val="00546526"/>
    <w:rsid w:val="00547950"/>
    <w:rsid w:val="00547FDD"/>
    <w:rsid w:val="00550529"/>
    <w:rsid w:val="0055469D"/>
    <w:rsid w:val="0056394E"/>
    <w:rsid w:val="00565435"/>
    <w:rsid w:val="005658D6"/>
    <w:rsid w:val="00572A9A"/>
    <w:rsid w:val="005751D8"/>
    <w:rsid w:val="00577729"/>
    <w:rsid w:val="00585B15"/>
    <w:rsid w:val="005926A9"/>
    <w:rsid w:val="005B1F71"/>
    <w:rsid w:val="005B4040"/>
    <w:rsid w:val="005C1556"/>
    <w:rsid w:val="005C2380"/>
    <w:rsid w:val="005C5B25"/>
    <w:rsid w:val="005D44DD"/>
    <w:rsid w:val="005D65FF"/>
    <w:rsid w:val="005E41F2"/>
    <w:rsid w:val="005E5E3F"/>
    <w:rsid w:val="005E7513"/>
    <w:rsid w:val="005F52D2"/>
    <w:rsid w:val="0060061A"/>
    <w:rsid w:val="00600943"/>
    <w:rsid w:val="006033D9"/>
    <w:rsid w:val="00617ACD"/>
    <w:rsid w:val="006246A0"/>
    <w:rsid w:val="00634792"/>
    <w:rsid w:val="006441E9"/>
    <w:rsid w:val="0066435A"/>
    <w:rsid w:val="00671AF4"/>
    <w:rsid w:val="00672B09"/>
    <w:rsid w:val="00675471"/>
    <w:rsid w:val="00676120"/>
    <w:rsid w:val="00684073"/>
    <w:rsid w:val="00696188"/>
    <w:rsid w:val="006A4F83"/>
    <w:rsid w:val="006A5701"/>
    <w:rsid w:val="006B14EE"/>
    <w:rsid w:val="006B7E74"/>
    <w:rsid w:val="006D146F"/>
    <w:rsid w:val="006D2275"/>
    <w:rsid w:val="006F4C01"/>
    <w:rsid w:val="006F6E23"/>
    <w:rsid w:val="00711EDF"/>
    <w:rsid w:val="00731910"/>
    <w:rsid w:val="00732537"/>
    <w:rsid w:val="00743D21"/>
    <w:rsid w:val="007449E4"/>
    <w:rsid w:val="00747B47"/>
    <w:rsid w:val="007505F6"/>
    <w:rsid w:val="007630E8"/>
    <w:rsid w:val="007944E0"/>
    <w:rsid w:val="007A44EF"/>
    <w:rsid w:val="007C0026"/>
    <w:rsid w:val="007D1D3D"/>
    <w:rsid w:val="007D7CF4"/>
    <w:rsid w:val="007E2BB2"/>
    <w:rsid w:val="007F1248"/>
    <w:rsid w:val="00812912"/>
    <w:rsid w:val="00821469"/>
    <w:rsid w:val="008225EF"/>
    <w:rsid w:val="0082496B"/>
    <w:rsid w:val="00840F23"/>
    <w:rsid w:val="00841BA3"/>
    <w:rsid w:val="00856517"/>
    <w:rsid w:val="008579A7"/>
    <w:rsid w:val="00864D29"/>
    <w:rsid w:val="00866BAF"/>
    <w:rsid w:val="00870EA4"/>
    <w:rsid w:val="0087328C"/>
    <w:rsid w:val="00873A16"/>
    <w:rsid w:val="00886644"/>
    <w:rsid w:val="00896DF3"/>
    <w:rsid w:val="008A11A1"/>
    <w:rsid w:val="008A19B3"/>
    <w:rsid w:val="008A4FAE"/>
    <w:rsid w:val="008B1BFF"/>
    <w:rsid w:val="008B266B"/>
    <w:rsid w:val="008B2D7C"/>
    <w:rsid w:val="008C00BF"/>
    <w:rsid w:val="008C1C08"/>
    <w:rsid w:val="008C5F65"/>
    <w:rsid w:val="008C6783"/>
    <w:rsid w:val="008F1151"/>
    <w:rsid w:val="008F18F3"/>
    <w:rsid w:val="008F4DA7"/>
    <w:rsid w:val="00901A91"/>
    <w:rsid w:val="00901E18"/>
    <w:rsid w:val="00903844"/>
    <w:rsid w:val="00911510"/>
    <w:rsid w:val="00911E37"/>
    <w:rsid w:val="009146BD"/>
    <w:rsid w:val="00916BC6"/>
    <w:rsid w:val="00920E18"/>
    <w:rsid w:val="00921D0C"/>
    <w:rsid w:val="00922A56"/>
    <w:rsid w:val="00924334"/>
    <w:rsid w:val="0093312E"/>
    <w:rsid w:val="0094031A"/>
    <w:rsid w:val="00950926"/>
    <w:rsid w:val="0095783C"/>
    <w:rsid w:val="00962FD8"/>
    <w:rsid w:val="00964010"/>
    <w:rsid w:val="00966C42"/>
    <w:rsid w:val="00973633"/>
    <w:rsid w:val="00977197"/>
    <w:rsid w:val="00982018"/>
    <w:rsid w:val="009867B3"/>
    <w:rsid w:val="00991530"/>
    <w:rsid w:val="0099187C"/>
    <w:rsid w:val="009A6642"/>
    <w:rsid w:val="009A7B0E"/>
    <w:rsid w:val="009B3308"/>
    <w:rsid w:val="009B58A8"/>
    <w:rsid w:val="009B5F43"/>
    <w:rsid w:val="009D7AA2"/>
    <w:rsid w:val="009E1DCD"/>
    <w:rsid w:val="009F1FCF"/>
    <w:rsid w:val="00A042E5"/>
    <w:rsid w:val="00A0713F"/>
    <w:rsid w:val="00A15696"/>
    <w:rsid w:val="00A1678F"/>
    <w:rsid w:val="00A22AC7"/>
    <w:rsid w:val="00A2409E"/>
    <w:rsid w:val="00A35F6A"/>
    <w:rsid w:val="00A40ECD"/>
    <w:rsid w:val="00A53942"/>
    <w:rsid w:val="00A6468D"/>
    <w:rsid w:val="00A70813"/>
    <w:rsid w:val="00A74985"/>
    <w:rsid w:val="00A76EFF"/>
    <w:rsid w:val="00AA2A94"/>
    <w:rsid w:val="00AB26A5"/>
    <w:rsid w:val="00AB58F4"/>
    <w:rsid w:val="00AC2E5B"/>
    <w:rsid w:val="00AC77C5"/>
    <w:rsid w:val="00AD1BFF"/>
    <w:rsid w:val="00AD3EAE"/>
    <w:rsid w:val="00AD650E"/>
    <w:rsid w:val="00AF69F8"/>
    <w:rsid w:val="00B05FF1"/>
    <w:rsid w:val="00B112A5"/>
    <w:rsid w:val="00B16DD7"/>
    <w:rsid w:val="00B173B4"/>
    <w:rsid w:val="00B23195"/>
    <w:rsid w:val="00B26922"/>
    <w:rsid w:val="00B43905"/>
    <w:rsid w:val="00B528BB"/>
    <w:rsid w:val="00B55E49"/>
    <w:rsid w:val="00B61924"/>
    <w:rsid w:val="00B6793D"/>
    <w:rsid w:val="00B73A84"/>
    <w:rsid w:val="00B81CC2"/>
    <w:rsid w:val="00B90AAA"/>
    <w:rsid w:val="00B96E4D"/>
    <w:rsid w:val="00BA7234"/>
    <w:rsid w:val="00BA7C0D"/>
    <w:rsid w:val="00BB077A"/>
    <w:rsid w:val="00BB1DA4"/>
    <w:rsid w:val="00BB233C"/>
    <w:rsid w:val="00BB33AB"/>
    <w:rsid w:val="00BB6A3D"/>
    <w:rsid w:val="00BC01B0"/>
    <w:rsid w:val="00BC2CA2"/>
    <w:rsid w:val="00BC6078"/>
    <w:rsid w:val="00BD0AEE"/>
    <w:rsid w:val="00BD4244"/>
    <w:rsid w:val="00BF636C"/>
    <w:rsid w:val="00C07377"/>
    <w:rsid w:val="00C10F30"/>
    <w:rsid w:val="00C1203E"/>
    <w:rsid w:val="00C21CEE"/>
    <w:rsid w:val="00C302DA"/>
    <w:rsid w:val="00C445C3"/>
    <w:rsid w:val="00C4499B"/>
    <w:rsid w:val="00C677B4"/>
    <w:rsid w:val="00C77FE7"/>
    <w:rsid w:val="00C83DE7"/>
    <w:rsid w:val="00C90124"/>
    <w:rsid w:val="00C92E93"/>
    <w:rsid w:val="00C93D2A"/>
    <w:rsid w:val="00C947BA"/>
    <w:rsid w:val="00CA5734"/>
    <w:rsid w:val="00CB1994"/>
    <w:rsid w:val="00CB5E4B"/>
    <w:rsid w:val="00CC27B5"/>
    <w:rsid w:val="00CD12B2"/>
    <w:rsid w:val="00CE30A6"/>
    <w:rsid w:val="00CE7B57"/>
    <w:rsid w:val="00CF0947"/>
    <w:rsid w:val="00CF30F2"/>
    <w:rsid w:val="00CF632D"/>
    <w:rsid w:val="00D005BF"/>
    <w:rsid w:val="00D042AC"/>
    <w:rsid w:val="00D238F4"/>
    <w:rsid w:val="00D279E6"/>
    <w:rsid w:val="00D302BC"/>
    <w:rsid w:val="00D40EF8"/>
    <w:rsid w:val="00D41DD1"/>
    <w:rsid w:val="00D44E1A"/>
    <w:rsid w:val="00D50CD4"/>
    <w:rsid w:val="00D573BF"/>
    <w:rsid w:val="00D60428"/>
    <w:rsid w:val="00D724B4"/>
    <w:rsid w:val="00D74780"/>
    <w:rsid w:val="00D84430"/>
    <w:rsid w:val="00D857A5"/>
    <w:rsid w:val="00D939B0"/>
    <w:rsid w:val="00D94B14"/>
    <w:rsid w:val="00DA090D"/>
    <w:rsid w:val="00DA2F1D"/>
    <w:rsid w:val="00DB4AB4"/>
    <w:rsid w:val="00DD12B2"/>
    <w:rsid w:val="00DD1989"/>
    <w:rsid w:val="00DE1797"/>
    <w:rsid w:val="00DE1C93"/>
    <w:rsid w:val="00DF6BEE"/>
    <w:rsid w:val="00E05D84"/>
    <w:rsid w:val="00E11E88"/>
    <w:rsid w:val="00E23C84"/>
    <w:rsid w:val="00E37E58"/>
    <w:rsid w:val="00E42033"/>
    <w:rsid w:val="00E53C40"/>
    <w:rsid w:val="00E53FFF"/>
    <w:rsid w:val="00E57938"/>
    <w:rsid w:val="00E62815"/>
    <w:rsid w:val="00E66759"/>
    <w:rsid w:val="00E81401"/>
    <w:rsid w:val="00E860A3"/>
    <w:rsid w:val="00E8663A"/>
    <w:rsid w:val="00E86DF2"/>
    <w:rsid w:val="00E9038F"/>
    <w:rsid w:val="00EB3955"/>
    <w:rsid w:val="00EB5697"/>
    <w:rsid w:val="00EB7842"/>
    <w:rsid w:val="00EC08A1"/>
    <w:rsid w:val="00EC5784"/>
    <w:rsid w:val="00EE7D58"/>
    <w:rsid w:val="00EF001E"/>
    <w:rsid w:val="00EF472E"/>
    <w:rsid w:val="00EF4DE4"/>
    <w:rsid w:val="00F13A30"/>
    <w:rsid w:val="00F13DB9"/>
    <w:rsid w:val="00F2224B"/>
    <w:rsid w:val="00F24AE5"/>
    <w:rsid w:val="00F3013E"/>
    <w:rsid w:val="00F33D22"/>
    <w:rsid w:val="00F41F55"/>
    <w:rsid w:val="00F503D2"/>
    <w:rsid w:val="00F57AED"/>
    <w:rsid w:val="00F60600"/>
    <w:rsid w:val="00F615C3"/>
    <w:rsid w:val="00F63506"/>
    <w:rsid w:val="00F720C0"/>
    <w:rsid w:val="00F74DC0"/>
    <w:rsid w:val="00F91035"/>
    <w:rsid w:val="00F93318"/>
    <w:rsid w:val="00FA2884"/>
    <w:rsid w:val="00FA610B"/>
    <w:rsid w:val="00FA6F91"/>
    <w:rsid w:val="00FA7D3F"/>
    <w:rsid w:val="00FA7F0B"/>
    <w:rsid w:val="00FA7F25"/>
    <w:rsid w:val="00FB187B"/>
    <w:rsid w:val="00FC21D4"/>
    <w:rsid w:val="00FC5D85"/>
    <w:rsid w:val="00FC7162"/>
    <w:rsid w:val="00FC72E7"/>
    <w:rsid w:val="00FC763E"/>
    <w:rsid w:val="00FD0053"/>
    <w:rsid w:val="00FD3838"/>
    <w:rsid w:val="00FE22DB"/>
    <w:rsid w:val="00FE68D3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37CA34-2988-463D-A214-CBE5B08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FE2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FE22D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31">
    <w:name w:val="Font Style31"/>
    <w:rsid w:val="00476175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uiPriority w:val="99"/>
    <w:unhideWhenUsed/>
    <w:rsid w:val="0047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D279E6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91151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1151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1151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151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11510"/>
    <w:rPr>
      <w:b/>
      <w:bCs/>
      <w:sz w:val="20"/>
      <w:szCs w:val="20"/>
    </w:rPr>
  </w:style>
  <w:style w:type="character" w:customStyle="1" w:styleId="shading">
    <w:name w:val="shading"/>
    <w:basedOn w:val="a0"/>
    <w:rsid w:val="00C0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361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087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4652">
              <w:marLeft w:val="-24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691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178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FB973-8C09-4DB6-9C22-C88C9D7B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45</cp:revision>
  <cp:lastPrinted>2023-07-11T10:27:00Z</cp:lastPrinted>
  <dcterms:created xsi:type="dcterms:W3CDTF">2022-09-20T14:15:00Z</dcterms:created>
  <dcterms:modified xsi:type="dcterms:W3CDTF">2023-07-12T10:31:00Z</dcterms:modified>
</cp:coreProperties>
</file>