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D5" w:rsidRDefault="00C77E87" w:rsidP="0004434B">
      <w:pPr>
        <w:snapToGrid w:val="0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7F06D5" w:rsidRDefault="007F06D5">
      <w:pPr>
        <w:pStyle w:val="a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06D5" w:rsidRDefault="007F06D5">
      <w:pPr>
        <w:pStyle w:val="a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06D5" w:rsidRDefault="007F06D5">
      <w:pPr>
        <w:pStyle w:val="a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06D5" w:rsidRDefault="00C77E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F06D5">
        <w:tc>
          <w:tcPr>
            <w:tcW w:w="9356" w:type="dxa"/>
          </w:tcPr>
          <w:p w:rsidR="00B819A0" w:rsidRDefault="00B819A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</w:tbl>
    <w:p w:rsidR="007F06D5" w:rsidRDefault="007F06D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5494"/>
        <w:gridCol w:w="285"/>
        <w:gridCol w:w="3793"/>
      </w:tblGrid>
      <w:tr w:rsidR="007F06D5" w:rsidTr="004B011A">
        <w:trPr>
          <w:trHeight w:val="447"/>
        </w:trPr>
        <w:tc>
          <w:tcPr>
            <w:tcW w:w="5494" w:type="dxa"/>
          </w:tcPr>
          <w:p w:rsidR="00B819A0" w:rsidRDefault="00C77E87" w:rsidP="00DA1370">
            <w:pPr>
              <w:spacing w:after="12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Мерная посуда </w:t>
            </w:r>
          </w:p>
        </w:tc>
        <w:tc>
          <w:tcPr>
            <w:tcW w:w="285" w:type="dxa"/>
          </w:tcPr>
          <w:p w:rsidR="00B819A0" w:rsidRDefault="00B819A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819A0" w:rsidRDefault="00C77E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ОФС</w:t>
            </w:r>
            <w:r w:rsidR="0033591D">
              <w:rPr>
                <w:rFonts w:ascii="Times New Roman" w:hAnsi="Times New Roman"/>
                <w:b/>
                <w:sz w:val="28"/>
                <w:szCs w:val="28"/>
              </w:rPr>
              <w:t>.1.1.0022</w:t>
            </w:r>
            <w:bookmarkStart w:id="0" w:name="_GoBack"/>
            <w:bookmarkEnd w:id="0"/>
          </w:p>
        </w:tc>
      </w:tr>
      <w:tr w:rsidR="007F06D5" w:rsidTr="004B011A">
        <w:trPr>
          <w:trHeight w:val="425"/>
        </w:trPr>
        <w:tc>
          <w:tcPr>
            <w:tcW w:w="5494" w:type="dxa"/>
          </w:tcPr>
          <w:p w:rsidR="00B819A0" w:rsidRDefault="00C77E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[</w:t>
            </w:r>
          </w:p>
        </w:tc>
        <w:tc>
          <w:tcPr>
            <w:tcW w:w="285" w:type="dxa"/>
          </w:tcPr>
          <w:p w:rsidR="00B819A0" w:rsidRDefault="00B819A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819A0" w:rsidRDefault="00C77E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Взамен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ОФС.1.1.0022.18</w:t>
            </w:r>
          </w:p>
        </w:tc>
      </w:tr>
    </w:tbl>
    <w:p w:rsidR="007F06D5" w:rsidRDefault="007F06D5" w:rsidP="008A4C7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F06D5">
        <w:tc>
          <w:tcPr>
            <w:tcW w:w="9356" w:type="dxa"/>
          </w:tcPr>
          <w:p w:rsidR="007F06D5" w:rsidRDefault="007F06D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</w:tbl>
    <w:p w:rsidR="004B011A" w:rsidRDefault="004B011A">
      <w:pPr>
        <w:pStyle w:val="ae"/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7F06D5" w:rsidRDefault="00C77E87" w:rsidP="009F384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Требования настоящей общей фармакопейной статьи распространяются на мерную лабораторную посуду, используемую в фармакопейном анализе </w:t>
      </w:r>
      <w:r w:rsidRPr="00A51816">
        <w:rPr>
          <w:rFonts w:ascii="Times New Roman" w:hAnsi="Times New Roman"/>
          <w:bCs/>
          <w:iCs/>
          <w:sz w:val="28"/>
          <w:szCs w:val="28"/>
          <w:lang w:eastAsia="ru-RU"/>
        </w:rPr>
        <w:t>для измерения объ</w:t>
      </w:r>
      <w:r w:rsidR="0010041B" w:rsidRPr="00A51816">
        <w:rPr>
          <w:rFonts w:ascii="Times New Roman" w:hAnsi="Times New Roman"/>
          <w:bCs/>
          <w:iCs/>
          <w:sz w:val="28"/>
          <w:szCs w:val="28"/>
          <w:lang w:eastAsia="ru-RU"/>
        </w:rPr>
        <w:t>ё</w:t>
      </w:r>
      <w:r w:rsidRPr="00A51816">
        <w:rPr>
          <w:rFonts w:ascii="Times New Roman" w:hAnsi="Times New Roman"/>
          <w:bCs/>
          <w:iCs/>
          <w:sz w:val="28"/>
          <w:szCs w:val="28"/>
          <w:lang w:eastAsia="ru-RU"/>
        </w:rPr>
        <w:t>ма жидкостей</w:t>
      </w:r>
      <w:r w:rsidR="00891282" w:rsidRPr="00A5181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растворов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 мерной лабораторной посуде относятся мерные колбы, пикнометры, пипетки, бюретки, а также мерные цилиндры, мерные стаканы, мензурки, пробирки с делениями. В отличие от лабораторной посуды общего назначения мерная лабораторн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посуда имеет точную градуировку.</w:t>
      </w:r>
    </w:p>
    <w:p w:rsidR="00E16822" w:rsidRDefault="00C77E87">
      <w:pPr>
        <w:pStyle w:val="ae"/>
        <w:spacing w:before="24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Виды мерной лабораторной посуды</w:t>
      </w: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2586"/>
        <w:gridCol w:w="3190"/>
      </w:tblGrid>
      <w:tr w:rsidR="00E16822" w:rsidTr="008E5F24">
        <w:trPr>
          <w:trHeight w:val="3195"/>
        </w:trPr>
        <w:tc>
          <w:tcPr>
            <w:tcW w:w="3794" w:type="dxa"/>
          </w:tcPr>
          <w:p w:rsidR="00E16822" w:rsidRDefault="00E16822">
            <w:pPr>
              <w:pStyle w:val="ae"/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682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1BFF3F" wp14:editId="411BC75D">
                  <wp:extent cx="1081377" cy="2353584"/>
                  <wp:effectExtent l="19050" t="0" r="4473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51" cy="235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82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BC0C75" wp14:editId="0636BDE6">
                  <wp:extent cx="974863" cy="2352691"/>
                  <wp:effectExtent l="1905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62" cy="235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bottom"/>
          </w:tcPr>
          <w:p w:rsidR="00E16822" w:rsidRDefault="00E16822" w:rsidP="00E16822">
            <w:pPr>
              <w:jc w:val="center"/>
              <w:rPr>
                <w:lang w:eastAsia="ru-RU"/>
              </w:rPr>
            </w:pPr>
            <w:r w:rsidRPr="00E16822">
              <w:rPr>
                <w:noProof/>
                <w:lang w:eastAsia="ru-RU"/>
              </w:rPr>
              <w:drawing>
                <wp:inline distT="0" distB="0" distL="0" distR="0" wp14:anchorId="7D1FC86A" wp14:editId="47587CA0">
                  <wp:extent cx="1022571" cy="1825834"/>
                  <wp:effectExtent l="19050" t="0" r="6129" b="0"/>
                  <wp:docPr id="2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66" cy="1832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822" w:rsidRPr="00E16822" w:rsidRDefault="00E16822" w:rsidP="00E16822">
            <w:pPr>
              <w:ind w:firstLine="708"/>
              <w:jc w:val="center"/>
              <w:rPr>
                <w:lang w:eastAsia="ru-RU"/>
              </w:rPr>
            </w:pPr>
          </w:p>
        </w:tc>
        <w:tc>
          <w:tcPr>
            <w:tcW w:w="3190" w:type="dxa"/>
          </w:tcPr>
          <w:p w:rsidR="00E16822" w:rsidRDefault="00E16822">
            <w:pPr>
              <w:pStyle w:val="ae"/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682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B1D22E" wp14:editId="48D8F033">
                  <wp:extent cx="1197500" cy="2041006"/>
                  <wp:effectExtent l="19050" t="0" r="265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2909" cy="205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822" w:rsidRPr="00E16822" w:rsidRDefault="00E16822" w:rsidP="00E16822">
            <w:pPr>
              <w:jc w:val="right"/>
              <w:rPr>
                <w:lang w:eastAsia="ru-RU"/>
              </w:rPr>
            </w:pPr>
          </w:p>
        </w:tc>
      </w:tr>
      <w:tr w:rsidR="00E16822" w:rsidRPr="00E16822" w:rsidTr="008E5F24">
        <w:tc>
          <w:tcPr>
            <w:tcW w:w="3794" w:type="dxa"/>
          </w:tcPr>
          <w:p w:rsidR="00E16822" w:rsidRPr="00E16822" w:rsidRDefault="00E16822" w:rsidP="00E1682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682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86" w:type="dxa"/>
          </w:tcPr>
          <w:p w:rsidR="00E16822" w:rsidRPr="00E16822" w:rsidRDefault="00E16822" w:rsidP="00E1682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6822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190" w:type="dxa"/>
          </w:tcPr>
          <w:p w:rsidR="00E16822" w:rsidRPr="00E16822" w:rsidRDefault="00E16822" w:rsidP="00E1682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682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E16822" w:rsidRDefault="009F3845" w:rsidP="00E16822">
      <w:pPr>
        <w:pStyle w:val="ae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1 –</w:t>
      </w:r>
      <w:r w:rsidR="00E1682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Мерная </w:t>
      </w:r>
      <w:r w:rsidR="00E16822">
        <w:rPr>
          <w:rFonts w:ascii="Times New Roman" w:hAnsi="Times New Roman"/>
          <w:sz w:val="28"/>
          <w:szCs w:val="28"/>
          <w:lang w:eastAsia="ru-RU"/>
        </w:rPr>
        <w:t xml:space="preserve">лабораторная </w:t>
      </w:r>
      <w:r w:rsidR="00E16822">
        <w:rPr>
          <w:rFonts w:ascii="Times New Roman" w:eastAsia="Times New Roman" w:hAnsi="Times New Roman"/>
          <w:sz w:val="28"/>
          <w:szCs w:val="28"/>
          <w:lang w:eastAsia="ru-RU"/>
        </w:rPr>
        <w:t>посуда для приблизительных измерений</w:t>
      </w:r>
    </w:p>
    <w:p w:rsidR="00E16822" w:rsidRDefault="00E16822" w:rsidP="00E1682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22">
        <w:rPr>
          <w:rFonts w:ascii="Times New Roman" w:eastAsia="Times New Roman" w:hAnsi="Times New Roman"/>
          <w:sz w:val="24"/>
          <w:szCs w:val="24"/>
          <w:lang w:eastAsia="ru-RU"/>
        </w:rPr>
        <w:t>а – цилиндры, б – стакан, в – мензурка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6822" w:rsidRPr="00E16822" w:rsidRDefault="00E16822" w:rsidP="00E1682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F06D5" w:rsidRDefault="00C77E87" w:rsidP="00992E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Мерные цилиндры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(рис.</w:t>
      </w:r>
      <w:r w:rsidR="00992E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1а) – стеклянные (могут быть пластиковые) толстостенные сосуды с нанес</w:t>
      </w:r>
      <w:r w:rsidR="0010041B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нными на внешней стенке делениями, указывающими объём в 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(мл)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5D25FA">
        <w:rPr>
          <w:rFonts w:ascii="Times New Roman" w:eastAsia="Times New Roman" w:hAnsi="Times New Roman"/>
          <w:sz w:val="28"/>
          <w:szCs w:val="28"/>
          <w:lang w:eastAsia="ru-RU"/>
        </w:rPr>
        <w:t>(5–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2000 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(мл)). </w:t>
      </w:r>
      <w:r>
        <w:rPr>
          <w:rFonts w:ascii="Times New Roman" w:hAnsi="Times New Roman"/>
          <w:bCs/>
          <w:iCs/>
          <w:sz w:val="28"/>
          <w:szCs w:val="28"/>
        </w:rPr>
        <w:t>Цилиндры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применяют в тех случаях, когда измерение объ</w:t>
      </w:r>
      <w:r w:rsidR="0012012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ма жидкости не требует большой точности. </w:t>
      </w:r>
      <w:r w:rsidR="00C06035">
        <w:rPr>
          <w:rFonts w:ascii="Times New Roman" w:hAnsi="Times New Roman"/>
          <w:sz w:val="28"/>
          <w:szCs w:val="28"/>
        </w:rPr>
        <w:t xml:space="preserve">Существуют </w:t>
      </w:r>
      <w:r w:rsidR="000B1686">
        <w:rPr>
          <w:rFonts w:ascii="Times New Roman" w:eastAsia="Times New Roman" w:hAnsi="Times New Roman"/>
          <w:sz w:val="28"/>
          <w:szCs w:val="28"/>
          <w:lang w:eastAsia="ru-RU"/>
        </w:rPr>
        <w:t>цилиндры, снабжё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нные прит</w:t>
      </w:r>
      <w:r w:rsidR="0010041B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ртыми пробками.</w:t>
      </w:r>
    </w:p>
    <w:p w:rsidR="007F06D5" w:rsidRDefault="00C77E87" w:rsidP="00992E81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Градуированные м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ерные стаканы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(рис.</w:t>
      </w:r>
      <w:r w:rsidR="00F066D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1б) дают самую большую ошибку в измерении объёма из-за редких делений, указывающих объём.</w:t>
      </w:r>
    </w:p>
    <w:p w:rsidR="007F06D5" w:rsidRDefault="00C77E87" w:rsidP="00992E81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Мензурки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(рис.</w:t>
      </w:r>
      <w:r w:rsidR="006C336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1в)</w:t>
      </w:r>
      <w:r w:rsidR="00984A8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10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сосуды конической формы, на стенке которых нанесена шкала.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Мензурки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применяют в тех случаях, когда измерение объ</w:t>
      </w:r>
      <w:r w:rsidR="0012012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ма жидкости не требует большой точности.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Вместимость</w:t>
      </w:r>
      <w:r w:rsidR="001508E3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мензурок 50</w:t>
      </w:r>
      <w:r w:rsidR="001508E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1000 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(мл).</w:t>
      </w:r>
    </w:p>
    <w:p w:rsidR="007F06D5" w:rsidRDefault="00C77E87" w:rsidP="00992E81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Пробирки с делениями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984A8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сосуд</w:t>
      </w:r>
      <w:r w:rsidR="002C7C33">
        <w:rPr>
          <w:rFonts w:ascii="Times New Roman" w:hAnsi="Times New Roman"/>
          <w:sz w:val="28"/>
          <w:szCs w:val="28"/>
        </w:rPr>
        <w:t>ы цилиндрической формы, имеющие</w:t>
      </w:r>
      <w:r>
        <w:rPr>
          <w:rFonts w:ascii="Times New Roman" w:hAnsi="Times New Roman"/>
          <w:sz w:val="28"/>
          <w:szCs w:val="28"/>
        </w:rPr>
        <w:t xml:space="preserve"> полукруглое, коническое или плоское дно, объ</w:t>
      </w:r>
      <w:r w:rsidR="003940C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мом от 5 до 25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(мл)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предназначены для химических реакций, проводимых в малых объ</w:t>
      </w:r>
      <w:r w:rsidR="003940C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мах, биологических, микробиологических процедур, для отбора проб, о</w:t>
      </w:r>
      <w:r w:rsidR="001403DF">
        <w:rPr>
          <w:rFonts w:ascii="Times New Roman" w:hAnsi="Times New Roman"/>
          <w:sz w:val="28"/>
          <w:szCs w:val="28"/>
        </w:rPr>
        <w:t>тмеривания определё</w:t>
      </w:r>
      <w:r>
        <w:rPr>
          <w:rFonts w:ascii="Times New Roman" w:hAnsi="Times New Roman"/>
          <w:sz w:val="28"/>
          <w:szCs w:val="28"/>
        </w:rPr>
        <w:t>нного объ</w:t>
      </w:r>
      <w:r w:rsidR="003940C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ма наливаемой или выливаемой жидкости, или определения объ</w:t>
      </w:r>
      <w:r w:rsidR="0012012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ма осадка (центрифужные</w:t>
      </w:r>
      <w:r w:rsidR="003940CD">
        <w:rPr>
          <w:rFonts w:ascii="Times New Roman" w:hAnsi="Times New Roman"/>
          <w:sz w:val="28"/>
          <w:szCs w:val="28"/>
        </w:rPr>
        <w:t xml:space="preserve"> пробирки</w:t>
      </w:r>
      <w:r>
        <w:rPr>
          <w:rFonts w:ascii="Times New Roman" w:hAnsi="Times New Roman"/>
          <w:sz w:val="28"/>
          <w:szCs w:val="28"/>
        </w:rPr>
        <w:t>). Шкала, соответствующая вместимости пробирки, нанесена на всей боковой поверхности. Пробирки могут быть со шлифом, без шлифа, соответственно с пробками и без пробок.</w:t>
      </w:r>
    </w:p>
    <w:p w:rsidR="00B819A0" w:rsidRDefault="00C77E87" w:rsidP="00992E81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посуде для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точного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измерения объ</w:t>
      </w:r>
      <w:r w:rsidR="003940C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мов относят мерные колбы, мерные пипетки и бюретки.</w:t>
      </w:r>
    </w:p>
    <w:p w:rsidR="00521F73" w:rsidRDefault="00C77E87" w:rsidP="00992E81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Мерные колбы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(рис.</w:t>
      </w:r>
      <w:r w:rsidR="005D25F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2а) представляют собой стеклянные (могут быть пластиковые) круглые плоскодонные сосуды, предназнач</w:t>
      </w:r>
      <w:r w:rsidR="00120124">
        <w:rPr>
          <w:rFonts w:ascii="Times New Roman" w:eastAsia="Times New Roman" w:hAnsi="Times New Roman"/>
          <w:sz w:val="28"/>
          <w:szCs w:val="28"/>
          <w:lang w:eastAsia="ru-RU"/>
        </w:rPr>
        <w:t>енные для точного измерения объё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 (на </w:t>
      </w:r>
      <w:r w:rsidR="003940C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вливание</w:t>
      </w:r>
      <w:r w:rsidR="003940C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при приготовлении растворов известной концентрации. </w:t>
      </w:r>
      <w:r>
        <w:rPr>
          <w:rFonts w:ascii="Times New Roman" w:hAnsi="Times New Roman"/>
          <w:sz w:val="28"/>
          <w:szCs w:val="28"/>
        </w:rPr>
        <w:t xml:space="preserve">Различают </w:t>
      </w:r>
      <w:r>
        <w:rPr>
          <w:rStyle w:val="a9"/>
          <w:rFonts w:ascii="Times New Roman" w:hAnsi="Times New Roman"/>
          <w:i w:val="0"/>
          <w:sz w:val="28"/>
          <w:szCs w:val="28"/>
        </w:rPr>
        <w:t>узкогорлые и широкогорлые мерные колбы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Диаметр горла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(шейки) </w:t>
      </w:r>
      <w:r>
        <w:rPr>
          <w:rFonts w:ascii="Times New Roman" w:hAnsi="Times New Roman"/>
          <w:sz w:val="28"/>
          <w:szCs w:val="28"/>
        </w:rPr>
        <w:t>последних приблизительно в полтора раза больше по сравнению с узкогорлыми.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F73" w:rsidRPr="00A51816">
        <w:rPr>
          <w:rFonts w:ascii="Times New Roman" w:hAnsi="Times New Roman"/>
          <w:sz w:val="28"/>
          <w:szCs w:val="28"/>
        </w:rPr>
        <w:t xml:space="preserve">В большинстве случаев мерные колбы имеют пришлифованную стеклянную </w:t>
      </w:r>
      <w:r w:rsidR="00521F73" w:rsidRPr="00A51816">
        <w:rPr>
          <w:rFonts w:ascii="Times New Roman" w:hAnsi="Times New Roman"/>
          <w:color w:val="000000" w:themeColor="text1"/>
          <w:sz w:val="28"/>
          <w:szCs w:val="28"/>
        </w:rPr>
        <w:t xml:space="preserve">пробку и </w:t>
      </w:r>
      <w:r w:rsidR="00C80609" w:rsidRPr="00A51816">
        <w:rPr>
          <w:rFonts w:ascii="Times New Roman" w:hAnsi="Times New Roman"/>
          <w:color w:val="000000" w:themeColor="text1"/>
          <w:sz w:val="28"/>
          <w:szCs w:val="28"/>
        </w:rPr>
        <w:t>пришлифованный (</w:t>
      </w:r>
      <w:r w:rsidR="00521F73" w:rsidRPr="00A51816">
        <w:rPr>
          <w:rFonts w:ascii="Times New Roman" w:hAnsi="Times New Roman"/>
          <w:color w:val="000000" w:themeColor="text1"/>
          <w:sz w:val="28"/>
          <w:szCs w:val="28"/>
        </w:rPr>
        <w:t>прит</w:t>
      </w:r>
      <w:r w:rsidR="00120124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521F73" w:rsidRPr="00A51816">
        <w:rPr>
          <w:rFonts w:ascii="Times New Roman" w:hAnsi="Times New Roman"/>
          <w:color w:val="000000" w:themeColor="text1"/>
          <w:sz w:val="28"/>
          <w:szCs w:val="28"/>
        </w:rPr>
        <w:t>ртый</w:t>
      </w:r>
      <w:r w:rsidR="00C80609" w:rsidRPr="00A5181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21F73" w:rsidRPr="00A51816">
        <w:rPr>
          <w:rFonts w:ascii="Times New Roman" w:hAnsi="Times New Roman"/>
          <w:color w:val="000000" w:themeColor="text1"/>
          <w:sz w:val="28"/>
          <w:szCs w:val="28"/>
        </w:rPr>
        <w:t xml:space="preserve"> верх </w:t>
      </w:r>
      <w:r w:rsidR="00521F73" w:rsidRPr="00A51816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колбы (горло колбы). Часто для закрывания мерных</w:t>
      </w:r>
      <w:r w:rsidR="00521F73" w:rsidRPr="00A51816">
        <w:rPr>
          <w:rFonts w:ascii="Times New Roman" w:hAnsi="Times New Roman"/>
          <w:sz w:val="28"/>
          <w:szCs w:val="28"/>
        </w:rPr>
        <w:t xml:space="preserve"> колб используют пробки из полиэтилена или из полипропилена.</w:t>
      </w:r>
    </w:p>
    <w:p w:rsidR="00B819A0" w:rsidRDefault="00C77E87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шейке есть кольцевая метка, до которой следует наполнять колбу.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4914"/>
        <w:gridCol w:w="4657"/>
      </w:tblGrid>
      <w:tr w:rsidR="00A7798D" w:rsidTr="008E5F24">
        <w:trPr>
          <w:jc w:val="center"/>
        </w:trPr>
        <w:tc>
          <w:tcPr>
            <w:tcW w:w="4786" w:type="dxa"/>
            <w:shd w:val="clear" w:color="auto" w:fill="auto"/>
            <w:vAlign w:val="bottom"/>
          </w:tcPr>
          <w:p w:rsidR="00A7798D" w:rsidRDefault="00A7798D" w:rsidP="003940CD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B962E5" wp14:editId="0B13CD80">
                  <wp:extent cx="1809750" cy="3252083"/>
                  <wp:effectExtent l="19050" t="0" r="0" b="0"/>
                  <wp:docPr id="2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 l="14455" t="2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25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bottom"/>
          </w:tcPr>
          <w:p w:rsidR="00A7798D" w:rsidRDefault="00A7798D" w:rsidP="003940CD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0C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BF66F8" wp14:editId="76DDE5CC">
                  <wp:extent cx="1905138" cy="2777219"/>
                  <wp:effectExtent l="19050" t="0" r="0" b="0"/>
                  <wp:docPr id="2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84" cy="2795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98D" w:rsidTr="008E5F24">
        <w:trPr>
          <w:jc w:val="center"/>
        </w:trPr>
        <w:tc>
          <w:tcPr>
            <w:tcW w:w="4786" w:type="dxa"/>
            <w:shd w:val="clear" w:color="auto" w:fill="auto"/>
          </w:tcPr>
          <w:p w:rsidR="00A7798D" w:rsidRDefault="00A7798D" w:rsidP="006D11E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A7798D" w:rsidRDefault="00A7798D" w:rsidP="006D11E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A7798D" w:rsidRDefault="00A7798D" w:rsidP="00A7798D">
      <w:pPr>
        <w:pStyle w:val="ae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 w:rsidR="008E5F24">
        <w:rPr>
          <w:rFonts w:ascii="Times New Roman" w:hAnsi="Times New Roman"/>
          <w:sz w:val="28"/>
          <w:szCs w:val="28"/>
        </w:rPr>
        <w:t>2 –</w:t>
      </w:r>
      <w:r>
        <w:rPr>
          <w:rFonts w:ascii="Times New Roman" w:hAnsi="Times New Roman"/>
          <w:sz w:val="28"/>
          <w:szCs w:val="28"/>
        </w:rPr>
        <w:t xml:space="preserve"> Мерная колба (а), пикнометры (б)</w:t>
      </w:r>
    </w:p>
    <w:p w:rsidR="00A7798D" w:rsidRDefault="00A7798D" w:rsidP="00A7798D">
      <w:pPr>
        <w:pStyle w:val="ae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6D5" w:rsidRDefault="00C77E87" w:rsidP="006D11E3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Мерные колбы имеют вместимость 1, 2, 5, 10, 25, 50, 100, 200, 250, 500, 1000, 2000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C572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(мл) (</w:t>
      </w:r>
      <w:r>
        <w:rPr>
          <w:rFonts w:ascii="Times New Roman" w:hAnsi="Times New Roman"/>
          <w:sz w:val="28"/>
          <w:szCs w:val="28"/>
          <w:lang w:eastAsia="ru-RU"/>
        </w:rPr>
        <w:t>номинальная вместимость на колбах указана в мл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 служат для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приготовления растворов с точной концентрацией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06D5" w:rsidRDefault="00C77E87" w:rsidP="006D11E3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Пикнометры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мерные колбы с очень узким горлом вместимостью </w:t>
      </w:r>
      <w:r w:rsidR="003940C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 до 50 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C57258">
        <w:rPr>
          <w:rFonts w:ascii="Times New Roman" w:eastAsia="Times New Roman" w:hAnsi="Times New Roman"/>
          <w:sz w:val="28"/>
          <w:szCs w:val="28"/>
          <w:lang w:eastAsia="ru-RU"/>
        </w:rPr>
        <w:t> (мл) (рис.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2б). Пикнометр обязательно имеет пришлифованную пробку. Его используют для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определения плотности жидкости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819A0" w:rsidRDefault="00C77E87" w:rsidP="006D11E3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Пипетки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(рис.</w:t>
      </w:r>
      <w:r w:rsidR="00C572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3) представляют собой стеклянные (могут быть пластиковые) узкие длинные трубки, оттянутые с одного конца, предназн</w:t>
      </w:r>
      <w:r w:rsidR="00C57258">
        <w:rPr>
          <w:rFonts w:ascii="Times New Roman" w:eastAsia="Times New Roman" w:hAnsi="Times New Roman"/>
          <w:sz w:val="28"/>
          <w:szCs w:val="28"/>
          <w:lang w:eastAsia="ru-RU"/>
        </w:rPr>
        <w:t>ачены для точного измерения объё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мов растворов (на </w:t>
      </w:r>
      <w:r w:rsidR="003940C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выливание</w:t>
      </w:r>
      <w:r w:rsidR="003940C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819A0" w:rsidRDefault="00C77E87" w:rsidP="006D11E3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Различают следующие типы пипеток:</w:t>
      </w:r>
    </w:p>
    <w:p w:rsidR="00B819A0" w:rsidRDefault="00C77E87" w:rsidP="006D11E3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неградуированные с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одной кольцевой меткой </w:t>
      </w:r>
      <w:r w:rsidR="009E7E73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пипетки Мора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(рис.</w:t>
      </w:r>
      <w:r w:rsidR="00D8023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3а) – откалиброванные на полный слив. Жидкость в них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набирают до кольцевой отметки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выливают до конца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1380"/>
        <w:gridCol w:w="1271"/>
        <w:gridCol w:w="1132"/>
        <w:gridCol w:w="2406"/>
        <w:gridCol w:w="1838"/>
        <w:gridCol w:w="1544"/>
      </w:tblGrid>
      <w:tr w:rsidR="00A7798D" w:rsidTr="00DD2D22">
        <w:tc>
          <w:tcPr>
            <w:tcW w:w="1380" w:type="dxa"/>
          </w:tcPr>
          <w:p w:rsidR="00A7798D" w:rsidRDefault="00A7798D">
            <w:pPr>
              <w:pStyle w:val="ae"/>
              <w:spacing w:line="36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A77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2E6F951" wp14:editId="51F77436">
                  <wp:extent cx="625006" cy="3436993"/>
                  <wp:effectExtent l="19050" t="0" r="3644" b="0"/>
                  <wp:docPr id="8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511" cy="3483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:rsidR="00A7798D" w:rsidRDefault="00A7798D">
            <w:pPr>
              <w:pStyle w:val="ae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322904" wp14:editId="285C396C">
                  <wp:extent cx="553444" cy="3450866"/>
                  <wp:effectExtent l="19050" t="0" r="0" b="0"/>
                  <wp:docPr id="9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06" cy="3507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A7798D" w:rsidRDefault="00A7798D">
            <w:pPr>
              <w:pStyle w:val="ae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13BC33" wp14:editId="1127D3CF">
                  <wp:extent cx="521639" cy="3434963"/>
                  <wp:effectExtent l="19050" t="0" r="0" b="0"/>
                  <wp:docPr id="9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66" cy="346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A7798D" w:rsidRDefault="00A7798D">
            <w:pPr>
              <w:pStyle w:val="ae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F5799A" wp14:editId="4746D4C6">
                  <wp:extent cx="1292915" cy="3434963"/>
                  <wp:effectExtent l="19050" t="0" r="2485" b="0"/>
                  <wp:docPr id="9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 l="18114" b="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999" cy="343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A7798D" w:rsidRDefault="00A7798D">
            <w:pPr>
              <w:pStyle w:val="ae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5D82E1" wp14:editId="3572A823">
                  <wp:extent cx="919204" cy="3387255"/>
                  <wp:effectExtent l="19050" t="0" r="0" b="0"/>
                  <wp:docPr id="9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057" cy="3401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shd w:val="clear" w:color="auto" w:fill="auto"/>
          </w:tcPr>
          <w:p w:rsidR="00A7798D" w:rsidRDefault="00A7798D">
            <w:pPr>
              <w:pStyle w:val="ae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A91B9D" wp14:editId="149501CC">
                  <wp:extent cx="469265" cy="3450590"/>
                  <wp:effectExtent l="19050" t="0" r="6985" b="0"/>
                  <wp:docPr id="9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</a:blip>
                          <a:srcRect b="2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5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22" w:rsidTr="008773BF">
        <w:tc>
          <w:tcPr>
            <w:tcW w:w="1380" w:type="dxa"/>
          </w:tcPr>
          <w:p w:rsidR="00DD2D22" w:rsidRDefault="00DD2D22" w:rsidP="000A38F1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1" w:type="dxa"/>
          </w:tcPr>
          <w:p w:rsidR="00DD2D22" w:rsidRDefault="00DD2D22" w:rsidP="000A38F1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2" w:type="dxa"/>
          </w:tcPr>
          <w:p w:rsidR="00DD2D22" w:rsidRDefault="00DD2D22" w:rsidP="000A38F1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406" w:type="dxa"/>
          </w:tcPr>
          <w:p w:rsidR="00DD2D22" w:rsidRDefault="00DD2D22" w:rsidP="00DD2D22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3382" w:type="dxa"/>
            <w:gridSpan w:val="2"/>
          </w:tcPr>
          <w:p w:rsidR="00DD2D22" w:rsidRDefault="00DD2D22" w:rsidP="000A38F1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</w:tr>
    </w:tbl>
    <w:p w:rsidR="00DA1370" w:rsidRDefault="000A38F1" w:rsidP="0068523B">
      <w:pPr>
        <w:pStyle w:val="ae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3 –</w:t>
      </w:r>
      <w:r w:rsidR="00DA137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Мерные пипетки</w:t>
      </w:r>
    </w:p>
    <w:p w:rsidR="009057ED" w:rsidRDefault="00DA1370" w:rsidP="0068523B">
      <w:pPr>
        <w:pStyle w:val="ae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неградуированные (а, б);</w:t>
      </w:r>
    </w:p>
    <w:p w:rsidR="00A7798D" w:rsidRPr="00DA1370" w:rsidRDefault="00A7798D" w:rsidP="0068523B">
      <w:pPr>
        <w:pStyle w:val="ae"/>
        <w:ind w:firstLine="709"/>
        <w:jc w:val="center"/>
        <w:rPr>
          <w:rFonts w:ascii="Times New Roman" w:hAnsi="Times New Roman"/>
          <w:sz w:val="24"/>
          <w:szCs w:val="24"/>
        </w:rPr>
      </w:pPr>
      <w:r w:rsidRPr="00DA1370">
        <w:rPr>
          <w:rFonts w:ascii="Times New Roman" w:eastAsia="Times New Roman" w:hAnsi="Times New Roman"/>
          <w:sz w:val="24"/>
          <w:szCs w:val="24"/>
          <w:lang w:eastAsia="ru-RU"/>
        </w:rPr>
        <w:t>градуированные (в); пипетки – дозаторы (г, д)</w:t>
      </w:r>
      <w:r w:rsidR="00DA13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798D" w:rsidRDefault="00A7798D" w:rsidP="00DA137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6D5" w:rsidRDefault="00C77E87" w:rsidP="00A520FE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неградуированные с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двумя кольцевыми метками</w:t>
      </w:r>
      <w:r w:rsidR="00D43BE9" w:rsidRPr="00D43BE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пипетки Мора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(рис.</w:t>
      </w:r>
      <w:r w:rsidR="00D8023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3б) </w:t>
      </w:r>
      <w:r w:rsidR="0012012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C4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жидкость в них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набирают до верхней метки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выливают до нижней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06D5" w:rsidRDefault="00C77E87" w:rsidP="00A520FE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градуированные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(рис.</w:t>
      </w:r>
      <w:r w:rsidR="00D8023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3в), на которых по всей длине есть деления; этими пипетками можно отмерять любой объ</w:t>
      </w:r>
      <w:r w:rsidR="0012012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в пределах е</w:t>
      </w:r>
      <w:r w:rsidR="0012012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12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мкости, указанной на клейме.</w:t>
      </w:r>
    </w:p>
    <w:p w:rsidR="007F06D5" w:rsidRDefault="00C77E87" w:rsidP="00A520FE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Вместимость пипетки – обычно от 1 до 100 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D8023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(мл)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указывается производителем в верхней или средней их части. </w:t>
      </w:r>
    </w:p>
    <w:p w:rsidR="001B1DEC" w:rsidRDefault="00C77E87" w:rsidP="0077133B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Пипетки вместимостью менее 1 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77133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(мл)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называются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микропипетками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с их помощью можно отбирать объ</w:t>
      </w:r>
      <w:r w:rsidR="003D2E1E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мы, измеряемые десятыми и сотыми долями мл. Градуированные пипетки, у которых на шкале указан только минимальный (или максимальный) объ</w:t>
      </w:r>
      <w:r w:rsidR="0012012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м, называют пипетками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 полный слив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максимальный объ</w:t>
      </w:r>
      <w:r w:rsidR="00120124">
        <w:rPr>
          <w:rFonts w:ascii="Times New Roman" w:eastAsia="Times New Roman" w:hAnsi="Times New Roman"/>
          <w:iCs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этими пипетками отбирают, выливая жидкость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от верхнего деления до конца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Большое распространение получили более удобные и безопасные в обращении пипетки-дозаторы, гарантирующие</w:t>
      </w:r>
      <w:r w:rsidR="00120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высокую точность и повторяемость объ</w:t>
      </w:r>
      <w:r w:rsidR="003D2E1E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 измеряемых жидкостей в пределах от 0,002 до 10 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8825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(мл). </w:t>
      </w:r>
    </w:p>
    <w:p w:rsidR="007F06D5" w:rsidRDefault="00C77E87" w:rsidP="0077133B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Унипипетки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предназначены для измерения доз постоянного (фиксированного) объ</w:t>
      </w:r>
      <w:r w:rsidR="0012012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882559">
        <w:rPr>
          <w:rFonts w:ascii="Times New Roman" w:eastAsia="Times New Roman" w:hAnsi="Times New Roman"/>
          <w:sz w:val="28"/>
          <w:szCs w:val="28"/>
          <w:lang w:eastAsia="ru-RU"/>
        </w:rPr>
        <w:t>ма (рис.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3г).</w:t>
      </w:r>
    </w:p>
    <w:p w:rsidR="007F06D5" w:rsidRDefault="00C77E87" w:rsidP="0077133B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Варипипетки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пипетки регулируемой </w:t>
      </w:r>
      <w:r w:rsidR="0012012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мкости для измерения доз любого объ</w:t>
      </w:r>
      <w:r w:rsidR="0012012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 в указанных пределах (рис.</w:t>
      </w:r>
      <w:r w:rsidR="008825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3д). Дозаторы в этих пипетках могут быть механическими и электронными. </w:t>
      </w:r>
    </w:p>
    <w:p w:rsidR="007F06D5" w:rsidRDefault="00C77E87" w:rsidP="0077133B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Бюретки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12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цилиндрическая стеклянная трубка с делениями, краном или зажимом, проградуированная в миллилитрах. Бюретки применяют для точного измерения небольших объ</w:t>
      </w:r>
      <w:r w:rsidR="003D2E1E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мов (на </w:t>
      </w:r>
      <w:r w:rsidR="003D2E1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выливание</w:t>
      </w:r>
      <w:r w:rsidR="003D2E1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 титрования при определении количественного содержания вещества. </w:t>
      </w:r>
    </w:p>
    <w:p w:rsidR="007F06D5" w:rsidRDefault="00C77E87" w:rsidP="0077133B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Бюретки бывают двух типов:</w:t>
      </w:r>
    </w:p>
    <w:p w:rsidR="007F06D5" w:rsidRDefault="00C77E87" w:rsidP="0077133B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тип I </w:t>
      </w:r>
      <w:r w:rsidR="00BF22E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установленного времени ожидания 1-го и 2-го классов;</w:t>
      </w:r>
    </w:p>
    <w:p w:rsidR="007F06D5" w:rsidRDefault="00C77E87" w:rsidP="0077133B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тип II </w:t>
      </w:r>
      <w:r w:rsidR="00BF22E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установленным временем ожидания только 1-го класса.</w:t>
      </w:r>
    </w:p>
    <w:p w:rsidR="007F06D5" w:rsidRDefault="00C77E87" w:rsidP="0077133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Объ</w:t>
      </w:r>
      <w:r w:rsidR="003D2E1E">
        <w:rPr>
          <w:rFonts w:ascii="Times New Roman" w:hAnsi="Times New Roman"/>
          <w:i/>
          <w:sz w:val="28"/>
          <w:szCs w:val="28"/>
          <w:lang w:eastAsia="ru-RU"/>
        </w:rPr>
        <w:t>ё</w:t>
      </w:r>
      <w:r>
        <w:rPr>
          <w:rFonts w:ascii="Times New Roman" w:hAnsi="Times New Roman"/>
          <w:i/>
          <w:sz w:val="28"/>
          <w:szCs w:val="28"/>
          <w:lang w:eastAsia="ru-RU"/>
        </w:rPr>
        <w:t>мные бюретки</w:t>
      </w:r>
      <w:r>
        <w:rPr>
          <w:rFonts w:ascii="Times New Roman" w:hAnsi="Times New Roman"/>
          <w:sz w:val="28"/>
          <w:szCs w:val="28"/>
          <w:lang w:eastAsia="ru-RU"/>
        </w:rPr>
        <w:t xml:space="preserve"> (рис.</w:t>
      </w:r>
      <w:r w:rsidR="00882559">
        <w:rPr>
          <w:rFonts w:ascii="Times New Roman" w:hAnsi="Times New Roman"/>
          <w:sz w:val="28"/>
          <w:szCs w:val="28"/>
          <w:lang w:eastAsia="ru-RU"/>
        </w:rPr>
        <w:t> 4а–</w:t>
      </w:r>
      <w:r>
        <w:rPr>
          <w:rFonts w:ascii="Times New Roman" w:hAnsi="Times New Roman"/>
          <w:sz w:val="28"/>
          <w:szCs w:val="28"/>
          <w:lang w:eastAsia="ru-RU"/>
        </w:rPr>
        <w:t>4г) с ценой деления в 0,1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r w:rsidR="009E494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9E4940" w:rsidRPr="009E49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(мл)</w:t>
      </w:r>
      <w:r w:rsidR="009E4940">
        <w:rPr>
          <w:rFonts w:ascii="Times New Roman" w:hAnsi="Times New Roman"/>
          <w:sz w:val="28"/>
          <w:szCs w:val="28"/>
          <w:lang w:eastAsia="ru-RU"/>
        </w:rPr>
        <w:t xml:space="preserve"> позволяют вести отсчё</w:t>
      </w:r>
      <w:r>
        <w:rPr>
          <w:rFonts w:ascii="Times New Roman" w:hAnsi="Times New Roman"/>
          <w:sz w:val="28"/>
          <w:szCs w:val="28"/>
          <w:lang w:eastAsia="ru-RU"/>
        </w:rPr>
        <w:t>т с точностью до 0,02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9E49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(мл)</w:t>
      </w:r>
      <w:r>
        <w:rPr>
          <w:rFonts w:ascii="Times New Roman" w:hAnsi="Times New Roman"/>
          <w:sz w:val="28"/>
          <w:szCs w:val="28"/>
          <w:lang w:eastAsia="ru-RU"/>
        </w:rPr>
        <w:t>. Бескрановые бюретки Мора (рис.</w:t>
      </w:r>
      <w:r w:rsidR="00161FB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4б) имеют в нижней части резиновую трубку с капилляром. Резиновая трубка пережимается либо зажимом Мора (рис.</w:t>
      </w:r>
      <w:r w:rsidR="00161FB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4б), либо внутрь е</w:t>
      </w:r>
      <w:r w:rsidR="003D2E1E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закладывают стеклянный шарик или палочку с шарообразным утолщением. Жидкость из такой бюретки вытекает при нажатии пальцами на верхнюю часть шарика. 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DA1370" w:rsidTr="004217C8">
        <w:trPr>
          <w:jc w:val="center"/>
        </w:trPr>
        <w:tc>
          <w:tcPr>
            <w:tcW w:w="2259" w:type="dxa"/>
            <w:shd w:val="clear" w:color="auto" w:fill="auto"/>
          </w:tcPr>
          <w:p w:rsidR="00DA1370" w:rsidRDefault="00DA1370" w:rsidP="004217C8">
            <w:pPr>
              <w:pStyle w:val="ae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1013F5C" wp14:editId="07E88DAF">
                  <wp:extent cx="492760" cy="4429125"/>
                  <wp:effectExtent l="19050" t="0" r="2540" b="0"/>
                  <wp:docPr id="10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42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DA1370" w:rsidRPr="00DA1370" w:rsidRDefault="00DA1370" w:rsidP="004217C8">
            <w:pPr>
              <w:pStyle w:val="ae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A1370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BB2ABD" wp14:editId="3963661C">
                  <wp:extent cx="612140" cy="4389120"/>
                  <wp:effectExtent l="19050" t="0" r="0" b="0"/>
                  <wp:docPr id="1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38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DA1370" w:rsidRPr="00DA1370" w:rsidRDefault="00DA1370" w:rsidP="004217C8">
            <w:pPr>
              <w:pStyle w:val="ae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A1370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5104A8" wp14:editId="002C7BA0">
                  <wp:extent cx="604520" cy="4349115"/>
                  <wp:effectExtent l="19050" t="0" r="5080" b="0"/>
                  <wp:docPr id="10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b="2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34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shd w:val="clear" w:color="auto" w:fill="auto"/>
          </w:tcPr>
          <w:p w:rsidR="00DA1370" w:rsidRDefault="00DA1370" w:rsidP="004217C8">
            <w:pPr>
              <w:pStyle w:val="ae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A1370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8F4D64" wp14:editId="2598CBE0">
                  <wp:extent cx="699770" cy="4349115"/>
                  <wp:effectExtent l="19050" t="0" r="5080" b="0"/>
                  <wp:docPr id="10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434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370" w:rsidTr="004217C8">
        <w:trPr>
          <w:jc w:val="center"/>
        </w:trPr>
        <w:tc>
          <w:tcPr>
            <w:tcW w:w="2259" w:type="dxa"/>
            <w:shd w:val="clear" w:color="auto" w:fill="auto"/>
          </w:tcPr>
          <w:p w:rsidR="00DA1370" w:rsidRDefault="00DA1370" w:rsidP="004217C8">
            <w:pPr>
              <w:pStyle w:val="ae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0" w:type="dxa"/>
          </w:tcPr>
          <w:p w:rsidR="00DA1370" w:rsidRDefault="00DA1370" w:rsidP="004217C8">
            <w:pPr>
              <w:pStyle w:val="ae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59" w:type="dxa"/>
          </w:tcPr>
          <w:p w:rsidR="00DA1370" w:rsidRDefault="00DA1370" w:rsidP="004217C8">
            <w:pPr>
              <w:pStyle w:val="ae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260" w:type="dxa"/>
            <w:shd w:val="clear" w:color="auto" w:fill="auto"/>
          </w:tcPr>
          <w:p w:rsidR="00DA1370" w:rsidRDefault="00DA1370" w:rsidP="004217C8">
            <w:pPr>
              <w:pStyle w:val="ae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</w:p>
        </w:tc>
      </w:tr>
    </w:tbl>
    <w:p w:rsidR="00DA1370" w:rsidRDefault="00DA1370" w:rsidP="00DA1370">
      <w:pPr>
        <w:pStyle w:val="ae"/>
        <w:jc w:val="center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 w:rsidR="004217C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4 –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Бюретки</w:t>
      </w:r>
    </w:p>
    <w:p w:rsidR="00DA1370" w:rsidRPr="00DA1370" w:rsidRDefault="004217C8" w:rsidP="00DA1370">
      <w:pPr>
        <w:pStyle w:val="ae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а – с одноходовым краном; б –</w:t>
      </w:r>
      <w:r w:rsidR="00DA1370" w:rsidRPr="00DA1370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резиновой трубкой; в –</w:t>
      </w:r>
      <w:r w:rsidR="00DA1370" w:rsidRPr="00DA1370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двухходовым краном; </w:t>
      </w:r>
      <w:r w:rsidR="00DA1370" w:rsidRPr="00DA1370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br w:type="textWrapping" w:clear="all"/>
        <w:t xml:space="preserve">г 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–</w:t>
      </w:r>
      <w:r w:rsidR="00DA1370" w:rsidRPr="00DA1370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автоматическим нулём.</w:t>
      </w:r>
    </w:p>
    <w:p w:rsidR="00DA1370" w:rsidRDefault="00DA1370" w:rsidP="00DA1370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F06D5" w:rsidRDefault="00C77E87" w:rsidP="0027730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бюретки с автоматическим нул</w:t>
      </w:r>
      <w:r w:rsidR="003D2E1E">
        <w:rPr>
          <w:rFonts w:ascii="Times New Roman" w:hAnsi="Times New Roman"/>
          <w:bCs/>
          <w:i/>
          <w:sz w:val="28"/>
          <w:szCs w:val="28"/>
          <w:lang w:eastAsia="ru-RU"/>
        </w:rPr>
        <w:t>ё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(рис.</w:t>
      </w:r>
      <w:r w:rsidR="003E64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4г) нулевой отметкой является верхний срез отростка. </w:t>
      </w:r>
    </w:p>
    <w:p w:rsidR="007F06D5" w:rsidRDefault="00C77E87" w:rsidP="0027730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Микробюретки</w:t>
      </w:r>
      <w:r>
        <w:rPr>
          <w:rFonts w:ascii="Times New Roman" w:hAnsi="Times New Roman"/>
          <w:sz w:val="28"/>
          <w:szCs w:val="28"/>
          <w:lang w:eastAsia="ru-RU"/>
        </w:rPr>
        <w:t xml:space="preserve"> отличаются от объ</w:t>
      </w:r>
      <w:r w:rsidR="003D2E1E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мных бюреток небольшим объ</w:t>
      </w:r>
      <w:r w:rsidR="00120124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мом (2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3E64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(мл)</w:t>
      </w:r>
      <w:r>
        <w:rPr>
          <w:rFonts w:ascii="Times New Roman" w:hAnsi="Times New Roman"/>
          <w:sz w:val="28"/>
          <w:szCs w:val="28"/>
          <w:lang w:eastAsia="ru-RU"/>
        </w:rPr>
        <w:t>, 5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3E64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(мл)</w:t>
      </w:r>
      <w:r>
        <w:rPr>
          <w:rFonts w:ascii="Times New Roman" w:hAnsi="Times New Roman"/>
          <w:sz w:val="28"/>
          <w:szCs w:val="28"/>
          <w:lang w:eastAsia="ru-RU"/>
        </w:rPr>
        <w:t>). Они имеют градуировку по 0,01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3E64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(мл)</w:t>
      </w:r>
      <w:r w:rsidR="003E642C">
        <w:rPr>
          <w:rFonts w:ascii="Times New Roman" w:hAnsi="Times New Roman"/>
          <w:sz w:val="28"/>
          <w:szCs w:val="28"/>
          <w:lang w:eastAsia="ru-RU"/>
        </w:rPr>
        <w:t>, что даё</w:t>
      </w:r>
      <w:r>
        <w:rPr>
          <w:rFonts w:ascii="Times New Roman" w:hAnsi="Times New Roman"/>
          <w:sz w:val="28"/>
          <w:szCs w:val="28"/>
          <w:lang w:eastAsia="ru-RU"/>
        </w:rPr>
        <w:t>т возможность делать отсч</w:t>
      </w:r>
      <w:r w:rsidR="00120124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ты с точностью до 0,005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3E64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(мл)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F06D5" w:rsidRDefault="00C77E87">
      <w:pPr>
        <w:pStyle w:val="ae"/>
        <w:keepNext/>
        <w:spacing w:before="24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Материал</w:t>
      </w:r>
    </w:p>
    <w:p w:rsidR="007F06D5" w:rsidRDefault="00C77E87" w:rsidP="00936FA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Стеклянная мерная лабораторная посуда должна изготовляться из стекла, обладающего необходимыми химическими и термическими свойствами, обеспечивающими устойчивость к воздействию агрессивных сред, света и т.д.</w:t>
      </w:r>
    </w:p>
    <w:p w:rsidR="007F06D5" w:rsidRDefault="00C77E87" w:rsidP="00170FA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производства стеклянной посуды используется боросиликатное стекло, в состав кото</w:t>
      </w:r>
      <w:r w:rsidR="000D7A12">
        <w:rPr>
          <w:rFonts w:ascii="Times New Roman" w:hAnsi="Times New Roman"/>
          <w:sz w:val="28"/>
          <w:szCs w:val="28"/>
          <w:lang w:eastAsia="ru-RU"/>
        </w:rPr>
        <w:t>рого входят оксиды щелочных и щё</w:t>
      </w:r>
      <w:r>
        <w:rPr>
          <w:rFonts w:ascii="Times New Roman" w:hAnsi="Times New Roman"/>
          <w:sz w:val="28"/>
          <w:szCs w:val="28"/>
          <w:lang w:eastAsia="ru-RU"/>
        </w:rPr>
        <w:t xml:space="preserve">лочноземельных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металлов (кальция, натрия или калия), добавляемые к кремнезему в основе обычного (силикатного) стекла. При их замене на оксид бора стекло приобретает особые свойства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низкий коэффициент линейного теплового расширения, повышенную химическую и механическую устойчивость. </w:t>
      </w:r>
    </w:p>
    <w:p w:rsidR="007F06D5" w:rsidRDefault="00C77E87" w:rsidP="00170FA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Стекло, из которого сделана посуда, должно быть без видимых дефектов, а внутреннее напряжение должно быть снято до необходимых пределов.</w:t>
      </w:r>
    </w:p>
    <w:p w:rsidR="007F06D5" w:rsidRDefault="00C77E87" w:rsidP="00170FA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Пластиковая мерная лабораторная посуда, изготовленная, как правило, из </w:t>
      </w:r>
      <w:r>
        <w:rPr>
          <w:rFonts w:ascii="Times New Roman" w:hAnsi="Times New Roman"/>
          <w:sz w:val="28"/>
          <w:szCs w:val="28"/>
        </w:rPr>
        <w:t>полипропилена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полиэтилена </w:t>
      </w:r>
      <w:r w:rsidR="00D06A36">
        <w:rPr>
          <w:rFonts w:ascii="Times New Roman" w:hAnsi="Times New Roman"/>
          <w:sz w:val="28"/>
          <w:szCs w:val="28"/>
          <w:lang w:eastAsia="ru-RU"/>
        </w:rPr>
        <w:t>высокой плотности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обладает отличной химической стойкостью к сильным окислителям, щелочам, углеводородам, кетонам</w:t>
      </w:r>
      <w:r>
        <w:rPr>
          <w:rFonts w:ascii="Times New Roman" w:hAnsi="Times New Roman"/>
          <w:sz w:val="28"/>
          <w:szCs w:val="28"/>
          <w:lang w:eastAsia="ru-RU"/>
        </w:rPr>
        <w:t xml:space="preserve"> и низкой адгезией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06D5" w:rsidRDefault="00BF4C17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bookmarkStart w:id="1" w:name="i63494"/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Мытьё</w:t>
      </w:r>
      <w:r w:rsidR="00C77E8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мерной </w:t>
      </w:r>
      <w:r w:rsidR="00C77E87">
        <w:rPr>
          <w:rFonts w:ascii="Times New Roman" w:hAnsi="Times New Roman"/>
          <w:b/>
          <w:sz w:val="28"/>
          <w:szCs w:val="28"/>
          <w:lang w:eastAsia="ru-RU"/>
        </w:rPr>
        <w:t xml:space="preserve">лабораторной </w:t>
      </w:r>
      <w:r w:rsidR="00C77E8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посуды</w:t>
      </w:r>
    </w:p>
    <w:p w:rsidR="007F06D5" w:rsidRDefault="00BF4C17">
      <w:pPr>
        <w:pStyle w:val="ac"/>
        <w:tabs>
          <w:tab w:val="left" w:pos="-567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Мытьё</w:t>
      </w:r>
      <w:r w:rsidR="00C77E87">
        <w:rPr>
          <w:sz w:val="28"/>
          <w:szCs w:val="28"/>
        </w:rPr>
        <w:t xml:space="preserve"> (очистка) мерной лабораторной посуды проводят аналогично обычной лабораторной посуды, используемые средства не должны изменять состояние посуды. При очистке мерной лабораторной посуды последовательно выполня</w:t>
      </w:r>
      <w:r w:rsidR="00D43BE9">
        <w:rPr>
          <w:sz w:val="28"/>
          <w:szCs w:val="28"/>
        </w:rPr>
        <w:t xml:space="preserve">ют </w:t>
      </w:r>
      <w:r w:rsidR="00C77E87">
        <w:rPr>
          <w:sz w:val="28"/>
          <w:szCs w:val="28"/>
        </w:rPr>
        <w:t>следующие процедуры:</w:t>
      </w:r>
    </w:p>
    <w:p w:rsidR="007F06D5" w:rsidRDefault="00C77E87">
      <w:pPr>
        <w:pStyle w:val="ac"/>
        <w:tabs>
          <w:tab w:val="left" w:pos="-567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i/>
          <w:sz w:val="28"/>
          <w:szCs w:val="28"/>
        </w:rPr>
        <w:t xml:space="preserve">предварительные работы: </w:t>
      </w:r>
      <w:r w:rsidR="00002391">
        <w:rPr>
          <w:sz w:val="28"/>
          <w:szCs w:val="28"/>
        </w:rPr>
        <w:t xml:space="preserve">перед замачиванием салфеткой/ </w:t>
      </w:r>
      <w:r>
        <w:rPr>
          <w:sz w:val="28"/>
          <w:szCs w:val="28"/>
        </w:rPr>
        <w:t>фильтровальной бумагой удаляют смазку с кранов бюреток и соединений (если имеются), другие жировые пятна и надписи, сделанные во время работы;</w:t>
      </w:r>
    </w:p>
    <w:p w:rsidR="007F06D5" w:rsidRDefault="00C77E87">
      <w:pPr>
        <w:pStyle w:val="ac"/>
        <w:tabs>
          <w:tab w:val="left" w:pos="-567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з</w:t>
      </w:r>
      <w:r w:rsidR="00BD10D9">
        <w:rPr>
          <w:i/>
          <w:sz w:val="28"/>
          <w:szCs w:val="28"/>
        </w:rPr>
        <w:t>амачивание и мытьё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моющем растворе; срок годности раствора для замачивания посуды – 24 ч, повторное использование этого раствора не допускается;</w:t>
      </w:r>
      <w:r>
        <w:rPr>
          <w:b/>
          <w:sz w:val="28"/>
          <w:szCs w:val="28"/>
        </w:rPr>
        <w:t xml:space="preserve"> </w:t>
      </w:r>
    </w:p>
    <w:p w:rsidR="007F06D5" w:rsidRDefault="00C77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i/>
          <w:sz w:val="28"/>
          <w:szCs w:val="28"/>
        </w:rPr>
        <w:t>ополаскивание</w:t>
      </w:r>
      <w:r w:rsidR="00BD10D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проводят проточной водопроводной водой, а затем три раза водой</w:t>
      </w:r>
      <w:r w:rsidR="00D43BE9">
        <w:rPr>
          <w:rFonts w:ascii="Times New Roman" w:hAnsi="Times New Roman"/>
          <w:sz w:val="28"/>
          <w:szCs w:val="28"/>
        </w:rPr>
        <w:t xml:space="preserve"> очищенной</w:t>
      </w:r>
      <w:r>
        <w:rPr>
          <w:rFonts w:ascii="Times New Roman" w:hAnsi="Times New Roman"/>
          <w:sz w:val="28"/>
          <w:szCs w:val="28"/>
        </w:rPr>
        <w:t>;</w:t>
      </w:r>
    </w:p>
    <w:p w:rsidR="007F06D5" w:rsidRDefault="00C77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i/>
          <w:sz w:val="28"/>
          <w:szCs w:val="28"/>
        </w:rPr>
        <w:t xml:space="preserve">сушка, </w:t>
      </w:r>
      <w:r>
        <w:rPr>
          <w:rFonts w:ascii="Times New Roman" w:hAnsi="Times New Roman"/>
          <w:sz w:val="28"/>
          <w:szCs w:val="28"/>
        </w:rPr>
        <w:t>не рекомендуется нагревать посуду выше 180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344F9" w:rsidRPr="006E7FAC">
        <w:rPr>
          <w:rFonts w:ascii="Times New Roman" w:hAnsi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 xml:space="preserve">С; </w:t>
      </w:r>
    </w:p>
    <w:p w:rsidR="007F06D5" w:rsidRDefault="00C77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i/>
          <w:sz w:val="28"/>
          <w:szCs w:val="28"/>
        </w:rPr>
        <w:t xml:space="preserve">контроль чистоты посуды </w:t>
      </w:r>
      <w:r>
        <w:rPr>
          <w:rFonts w:ascii="Times New Roman" w:hAnsi="Times New Roman"/>
          <w:sz w:val="28"/>
          <w:szCs w:val="28"/>
        </w:rPr>
        <w:t>проводят визуально; посуда считается чистой, если вода не оставляет капель на внутренних стенках.</w:t>
      </w:r>
    </w:p>
    <w:p w:rsidR="007F06D5" w:rsidRDefault="00C77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Валидацию мытья (очистки) посуды проводят пут</w:t>
      </w:r>
      <w:r w:rsidR="004702F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периодического определения соответствующих моющих средств в промывных водах. </w:t>
      </w:r>
      <w:r>
        <w:rPr>
          <w:rFonts w:ascii="Times New Roman" w:hAnsi="Times New Roman"/>
          <w:sz w:val="28"/>
          <w:szCs w:val="28"/>
        </w:rPr>
        <w:lastRenderedPageBreak/>
        <w:t xml:space="preserve">Валидация процесса очистки может включать как качественную, так и количественную оценку эффективности очистки посуды. Качественная оценка процесса мытья (очистки) мерной </w:t>
      </w:r>
      <w:r>
        <w:rPr>
          <w:rFonts w:ascii="Times New Roman" w:hAnsi="Times New Roman"/>
          <w:sz w:val="28"/>
          <w:szCs w:val="28"/>
          <w:lang w:eastAsia="ru-RU"/>
        </w:rPr>
        <w:t>лабораторн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посуды предусматривае</w:t>
      </w:r>
      <w:r w:rsidR="005F2BDE">
        <w:rPr>
          <w:rFonts w:ascii="Times New Roman" w:hAnsi="Times New Roman"/>
          <w:sz w:val="28"/>
          <w:szCs w:val="28"/>
        </w:rPr>
        <w:t>т нанесение на наиболее загрязнё</w:t>
      </w:r>
      <w:r>
        <w:rPr>
          <w:rFonts w:ascii="Times New Roman" w:hAnsi="Times New Roman"/>
          <w:sz w:val="28"/>
          <w:szCs w:val="28"/>
        </w:rPr>
        <w:t xml:space="preserve">нную посуду растворов флуоресцирующих веществ (индикаторов) (например, </w:t>
      </w:r>
      <w:r>
        <w:rPr>
          <w:rFonts w:ascii="Times New Roman" w:hAnsi="Times New Roman"/>
          <w:color w:val="000000"/>
          <w:sz w:val="28"/>
          <w:szCs w:val="28"/>
        </w:rPr>
        <w:t>натрия флуоресцеината раствор 0,02 %</w:t>
      </w:r>
      <w:r>
        <w:rPr>
          <w:rFonts w:ascii="Times New Roman" w:hAnsi="Times New Roman"/>
          <w:sz w:val="28"/>
          <w:szCs w:val="28"/>
        </w:rPr>
        <w:t xml:space="preserve">), осмотр посуды с использованием </w:t>
      </w:r>
      <w:r w:rsidR="003D2E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УФ-лампы для проверки наличия покрытия флу</w:t>
      </w:r>
      <w:r w:rsidR="00EF213F">
        <w:rPr>
          <w:rFonts w:ascii="Times New Roman" w:hAnsi="Times New Roman"/>
          <w:sz w:val="28"/>
          <w:szCs w:val="28"/>
        </w:rPr>
        <w:t>оресцирующего индикатора и мытьё</w:t>
      </w:r>
      <w:r>
        <w:rPr>
          <w:rFonts w:ascii="Times New Roman" w:hAnsi="Times New Roman"/>
          <w:sz w:val="28"/>
          <w:szCs w:val="28"/>
        </w:rPr>
        <w:t xml:space="preserve"> (очистку) посуды. Посуду снова осматривают с использованием </w:t>
      </w:r>
      <w:r w:rsidR="003D2E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УФ-лампы для качественной оценки чистоты. Количественная оценка процесса мытья (очистки) мерной </w:t>
      </w:r>
      <w:r>
        <w:rPr>
          <w:rFonts w:ascii="Times New Roman" w:hAnsi="Times New Roman"/>
          <w:sz w:val="28"/>
          <w:szCs w:val="28"/>
          <w:lang w:eastAsia="ru-RU"/>
        </w:rPr>
        <w:t>лабораторн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посуды сводится к сбору промывочной воды и определению в ней загрязняющих веществ. Состав промывочной воды не должен существенно изменяться после ополаскивания посуды или не должен снижать требования к уровню чистоты посуды.</w:t>
      </w:r>
    </w:p>
    <w:p w:rsidR="007F06D5" w:rsidRDefault="00C77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мытья (очистки) мерной </w:t>
      </w:r>
      <w:r>
        <w:rPr>
          <w:rFonts w:ascii="Times New Roman" w:hAnsi="Times New Roman"/>
          <w:sz w:val="28"/>
          <w:szCs w:val="28"/>
          <w:lang w:eastAsia="ru-RU"/>
        </w:rPr>
        <w:t>лабораторн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посуды в зависимости от характера загрязнений используют: </w:t>
      </w:r>
    </w:p>
    <w:p w:rsidR="007F06D5" w:rsidRDefault="00C77E87">
      <w:pPr>
        <w:tabs>
          <w:tab w:val="left" w:pos="-524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i/>
          <w:sz w:val="28"/>
          <w:szCs w:val="28"/>
        </w:rPr>
        <w:t>ультразвуковые бани</w:t>
      </w:r>
      <w:r w:rsidR="00255A9C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F06D5" w:rsidRDefault="00C77E87">
      <w:pPr>
        <w:tabs>
          <w:tab w:val="left" w:pos="-524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i/>
          <w:sz w:val="28"/>
          <w:szCs w:val="28"/>
        </w:rPr>
        <w:t>посудомоечные машины</w:t>
      </w:r>
      <w:r w:rsidR="00255A9C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F06D5" w:rsidRPr="00DA0A20" w:rsidRDefault="00C77E87" w:rsidP="00DA0A20">
      <w:pPr>
        <w:tabs>
          <w:tab w:val="left" w:pos="-524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i/>
          <w:sz w:val="28"/>
          <w:szCs w:val="28"/>
        </w:rPr>
        <w:t>органические растворители (</w:t>
      </w:r>
      <w:r w:rsidRPr="003250D2">
        <w:rPr>
          <w:rFonts w:ascii="Times New Roman" w:hAnsi="Times New Roman"/>
          <w:i/>
          <w:sz w:val="28"/>
          <w:szCs w:val="28"/>
        </w:rPr>
        <w:t>полярные и неполярные</w:t>
      </w:r>
      <w:r w:rsidR="00DA0A20" w:rsidRPr="003250D2">
        <w:rPr>
          <w:rFonts w:ascii="Times New Roman" w:hAnsi="Times New Roman"/>
          <w:i/>
          <w:sz w:val="28"/>
          <w:szCs w:val="28"/>
        </w:rPr>
        <w:t>),</w:t>
      </w:r>
      <w:r w:rsidR="00DA0A2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мытья используют растворители категории чда, а для ополаскивания </w:t>
      </w:r>
      <w:r w:rsidR="004702F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растворители категории хч; при этом должны соблюдаться строгие меры безопасности (работа в вытяжном шкафу и др.), так как большинство органических растворителей токсичны и легко воспламеняемы; </w:t>
      </w:r>
    </w:p>
    <w:p w:rsidR="007F06D5" w:rsidRDefault="00C77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i/>
          <w:sz w:val="28"/>
          <w:szCs w:val="28"/>
        </w:rPr>
        <w:t>кислоты и окислители (</w:t>
      </w:r>
      <w:r>
        <w:rPr>
          <w:rFonts w:ascii="Times New Roman" w:hAnsi="Times New Roman"/>
          <w:sz w:val="28"/>
          <w:szCs w:val="28"/>
        </w:rPr>
        <w:t xml:space="preserve">концентрированные хлористоводородная, серная, азотная или их растворы, </w:t>
      </w:r>
      <w:r w:rsidRPr="00A51816">
        <w:rPr>
          <w:rFonts w:ascii="Times New Roman" w:hAnsi="Times New Roman"/>
          <w:sz w:val="28"/>
          <w:szCs w:val="28"/>
        </w:rPr>
        <w:t>хромовая смесь</w:t>
      </w:r>
      <w:r w:rsidR="004702F4">
        <w:rPr>
          <w:rFonts w:ascii="Times New Roman" w:hAnsi="Times New Roman"/>
          <w:sz w:val="28"/>
          <w:szCs w:val="28"/>
        </w:rPr>
        <w:t xml:space="preserve"> – 1 часть калия дихромата; 1–2 части воды; 8–</w:t>
      </w:r>
      <w:r>
        <w:rPr>
          <w:rFonts w:ascii="Times New Roman" w:hAnsi="Times New Roman"/>
          <w:sz w:val="28"/>
          <w:szCs w:val="28"/>
        </w:rPr>
        <w:t>10 частей се</w:t>
      </w:r>
      <w:r w:rsidR="004702F4">
        <w:rPr>
          <w:rFonts w:ascii="Times New Roman" w:hAnsi="Times New Roman"/>
          <w:sz w:val="28"/>
          <w:szCs w:val="28"/>
        </w:rPr>
        <w:t>рной кислоты концентрированной).</w:t>
      </w:r>
    </w:p>
    <w:p w:rsidR="00B819A0" w:rsidRDefault="006E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FAC">
        <w:rPr>
          <w:rFonts w:ascii="Times New Roman" w:hAnsi="Times New Roman"/>
          <w:sz w:val="28"/>
          <w:szCs w:val="28"/>
        </w:rPr>
        <w:t>Примечание</w:t>
      </w:r>
      <w:r w:rsidRPr="003250D2">
        <w:rPr>
          <w:rFonts w:ascii="Times New Roman" w:hAnsi="Times New Roman"/>
          <w:sz w:val="28"/>
          <w:szCs w:val="28"/>
        </w:rPr>
        <w:t xml:space="preserve"> –</w:t>
      </w:r>
      <w:r w:rsidR="00C77E87">
        <w:rPr>
          <w:rFonts w:ascii="Times New Roman" w:hAnsi="Times New Roman"/>
          <w:sz w:val="28"/>
          <w:szCs w:val="28"/>
        </w:rPr>
        <w:t xml:space="preserve"> Работу с кислотами проводят в вытяжном шкафу. Раствором аммиака нельзя ополаскивать посуду, в которой проводятся работы с органическими растворителями. Хромовая смесь очень агрессивна, в связи с чем, требуется проведение особого комплекса мероприятий по уничтожению отходов.</w:t>
      </w:r>
    </w:p>
    <w:p w:rsidR="00B819A0" w:rsidRDefault="00C77E87" w:rsidP="006E7FAC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Сушка посуды </w:t>
      </w:r>
    </w:p>
    <w:p w:rsidR="007F06D5" w:rsidRDefault="00C77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ополаскивания вымытую посуду переворачивают вверх дном, для чего используют устройство для сушки посуды, и оставляют при комнатной температуре до тех пор, пока она не высохнет. Чистые пипетки после мытья и сушки помещают в специальные подставки (штативы). </w:t>
      </w:r>
    </w:p>
    <w:p w:rsidR="007F06D5" w:rsidRDefault="00C77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указании производителя допускается сушить мерную </w:t>
      </w:r>
      <w:r>
        <w:rPr>
          <w:rFonts w:ascii="Times New Roman" w:hAnsi="Times New Roman"/>
          <w:sz w:val="28"/>
          <w:szCs w:val="28"/>
          <w:lang w:eastAsia="ru-RU"/>
        </w:rPr>
        <w:t>лабораторн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посуду в сухожаровом шкафу при температуре, рекомендованной производителем.</w:t>
      </w:r>
    </w:p>
    <w:p w:rsidR="007F06D5" w:rsidRDefault="00C77E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крайней необходимости посуду высушивают с помощью ополаскивания ацетоном или этанолом категории хч. Остатки растворителей собирают и сдают в соответствии с правилами, принятыми в лаборатории.</w:t>
      </w:r>
    </w:p>
    <w:bookmarkEnd w:id="1"/>
    <w:p w:rsidR="007F06D5" w:rsidRDefault="00C77E87">
      <w:pPr>
        <w:pStyle w:val="ae"/>
        <w:spacing w:before="24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Классы точности </w:t>
      </w:r>
      <w:r>
        <w:rPr>
          <w:rFonts w:ascii="Times New Roman" w:hAnsi="Times New Roman"/>
          <w:b/>
          <w:sz w:val="28"/>
          <w:szCs w:val="28"/>
          <w:lang w:eastAsia="ru-RU"/>
        </w:rPr>
        <w:t>мерной лабораторн</w:t>
      </w:r>
      <w:r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посуды</w:t>
      </w:r>
    </w:p>
    <w:p w:rsidR="007F06D5" w:rsidRDefault="00C77E87" w:rsidP="00255A9C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лабораторных испытаниях используется отечественная мерная лабораторн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посуда 1</w:t>
      </w:r>
      <w:r w:rsidR="00B924FF">
        <w:rPr>
          <w:rFonts w:ascii="Times New Roman" w:hAnsi="Times New Roman"/>
          <w:sz w:val="28"/>
          <w:szCs w:val="28"/>
          <w:lang w:eastAsia="ru-RU"/>
        </w:rPr>
        <w:t>-го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2</w:t>
      </w:r>
      <w:r w:rsidR="00B924FF">
        <w:rPr>
          <w:rFonts w:ascii="Times New Roman" w:hAnsi="Times New Roman"/>
          <w:sz w:val="28"/>
          <w:szCs w:val="28"/>
          <w:lang w:eastAsia="ru-RU"/>
        </w:rPr>
        <w:t>-го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класса точности или зарубежная мерная лабораторн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посуда А/</w:t>
      </w:r>
      <w:r>
        <w:rPr>
          <w:rFonts w:ascii="Times New Roman" w:hAnsi="Times New Roman"/>
          <w:sz w:val="28"/>
          <w:szCs w:val="28"/>
          <w:lang w:val="en-US" w:eastAsia="ru-RU"/>
        </w:rPr>
        <w:t>AS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В класса точности. 1</w:t>
      </w:r>
      <w:r w:rsidR="00B924FF">
        <w:rPr>
          <w:rFonts w:ascii="Times New Roman" w:hAnsi="Times New Roman"/>
          <w:sz w:val="28"/>
          <w:szCs w:val="28"/>
          <w:lang w:eastAsia="ru-RU"/>
        </w:rPr>
        <w:t>-й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 или класс А/</w:t>
      </w:r>
      <w:r>
        <w:rPr>
          <w:rFonts w:ascii="Times New Roman" w:hAnsi="Times New Roman"/>
          <w:sz w:val="28"/>
          <w:szCs w:val="28"/>
          <w:lang w:val="en-US" w:eastAsia="ru-RU"/>
        </w:rPr>
        <w:t>AS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предназначен для измерений с </w:t>
      </w:r>
      <w:r>
        <w:rPr>
          <w:rFonts w:ascii="Times New Roman" w:hAnsi="Times New Roman"/>
          <w:sz w:val="28"/>
          <w:szCs w:val="28"/>
        </w:rPr>
        <w:t>более высокой степенью точности</w:t>
      </w:r>
      <w:r>
        <w:rPr>
          <w:rFonts w:ascii="Times New Roman" w:hAnsi="Times New Roman"/>
          <w:sz w:val="28"/>
          <w:szCs w:val="28"/>
          <w:lang w:eastAsia="ru-RU"/>
        </w:rPr>
        <w:t>, используемых, например, при количественном определении; 2</w:t>
      </w:r>
      <w:r w:rsidR="00B924FF">
        <w:rPr>
          <w:rFonts w:ascii="Times New Roman" w:hAnsi="Times New Roman"/>
          <w:sz w:val="28"/>
          <w:szCs w:val="28"/>
          <w:lang w:eastAsia="ru-RU"/>
        </w:rPr>
        <w:t>-й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 или класс В </w:t>
      </w:r>
      <w:r w:rsidR="009C423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измерений с </w:t>
      </w:r>
      <w:r>
        <w:rPr>
          <w:rFonts w:ascii="Times New Roman" w:hAnsi="Times New Roman"/>
          <w:sz w:val="28"/>
          <w:szCs w:val="28"/>
        </w:rPr>
        <w:t>более низкой степенью точности</w:t>
      </w:r>
      <w:bookmarkStart w:id="2" w:name="i87753"/>
      <w:r>
        <w:rPr>
          <w:rFonts w:ascii="Times New Roman" w:hAnsi="Times New Roman"/>
          <w:sz w:val="28"/>
          <w:szCs w:val="28"/>
        </w:rPr>
        <w:t>.</w:t>
      </w:r>
    </w:p>
    <w:p w:rsidR="007F06D5" w:rsidRDefault="00C77E87">
      <w:pPr>
        <w:pStyle w:val="ae"/>
        <w:keepNext/>
        <w:spacing w:before="24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Пределы погрешности измерения</w:t>
      </w:r>
      <w:bookmarkEnd w:id="2"/>
    </w:p>
    <w:p w:rsidR="007F06D5" w:rsidRDefault="00C77E87">
      <w:pPr>
        <w:pStyle w:val="aa"/>
        <w:widowControl w:val="0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i98607"/>
      <w:bookmarkEnd w:id="3"/>
      <w:r>
        <w:rPr>
          <w:rFonts w:ascii="Times New Roman" w:hAnsi="Times New Roman"/>
          <w:sz w:val="28"/>
          <w:szCs w:val="28"/>
        </w:rPr>
        <w:t>Пределы погрешности по объ</w:t>
      </w:r>
      <w:r w:rsidR="0028654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му устанавливаются для каждого вида мерной </w:t>
      </w:r>
      <w:r>
        <w:rPr>
          <w:rFonts w:ascii="Times New Roman" w:hAnsi="Times New Roman"/>
          <w:sz w:val="28"/>
          <w:szCs w:val="28"/>
          <w:lang w:eastAsia="ru-RU"/>
        </w:rPr>
        <w:t>лабораторн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посуды в зависимости метода применения (на </w:t>
      </w:r>
      <w:r w:rsidR="00B924F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выливание</w:t>
      </w:r>
      <w:r w:rsidR="00B924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924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вливание</w:t>
      </w:r>
      <w:r w:rsidR="00B924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) и класса точности.</w:t>
      </w:r>
    </w:p>
    <w:p w:rsidR="007F06D5" w:rsidRDefault="00C77E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Допустимые погрешности от номинальной вместимости мерной </w:t>
      </w:r>
      <w:r>
        <w:rPr>
          <w:rFonts w:ascii="Times New Roman" w:hAnsi="Times New Roman"/>
          <w:sz w:val="28"/>
          <w:szCs w:val="28"/>
          <w:lang w:eastAsia="ru-RU"/>
        </w:rPr>
        <w:t>лабораторн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посуды при температуре 20 °С не должн</w:t>
      </w:r>
      <w:r w:rsidR="001F7066">
        <w:rPr>
          <w:rFonts w:ascii="Times New Roman" w:eastAsia="Times New Roman" w:hAnsi="Times New Roman"/>
          <w:sz w:val="28"/>
          <w:szCs w:val="28"/>
          <w:lang w:eastAsia="ru-RU"/>
        </w:rPr>
        <w:t>ы превышать указанных в табл.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и 2.</w:t>
      </w:r>
    </w:p>
    <w:p w:rsidR="00B819A0" w:rsidRDefault="00C77E87" w:rsidP="001F7066">
      <w:pPr>
        <w:keepNext/>
        <w:spacing w:before="24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 – Пределы допустимой погрешности объ</w:t>
      </w:r>
      <w:r w:rsidR="0028654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колб, цилиндров и мензурок,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(мл)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4"/>
        <w:gridCol w:w="1259"/>
        <w:gridCol w:w="1259"/>
        <w:gridCol w:w="1259"/>
        <w:gridCol w:w="1259"/>
        <w:gridCol w:w="1259"/>
        <w:gridCol w:w="1327"/>
      </w:tblGrid>
      <w:tr w:rsidR="007F06D5" w:rsidTr="00C96E89">
        <w:tc>
          <w:tcPr>
            <w:tcW w:w="1601" w:type="dxa"/>
            <w:vMerge w:val="restart"/>
            <w:shd w:val="clear" w:color="auto" w:fill="auto"/>
          </w:tcPr>
          <w:p w:rsidR="007F06D5" w:rsidRPr="00F85FFF" w:rsidRDefault="00497B90" w:rsidP="00C060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Номинальная вместимость</w:t>
            </w:r>
          </w:p>
        </w:tc>
        <w:tc>
          <w:tcPr>
            <w:tcW w:w="7969" w:type="dxa"/>
            <w:gridSpan w:val="6"/>
            <w:shd w:val="clear" w:color="auto" w:fill="auto"/>
          </w:tcPr>
          <w:p w:rsidR="007F06D5" w:rsidRPr="00F85FFF" w:rsidRDefault="00497B90" w:rsidP="00C060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</w:t>
            </w:r>
            <w:r w:rsidR="00C96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делы допустимой погрешности объё</w:t>
            </w: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 (</w:t>
            </w:r>
            <w:r w:rsidRPr="00497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±</w:t>
            </w: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F06D5" w:rsidTr="00C96E89">
        <w:tc>
          <w:tcPr>
            <w:tcW w:w="1601" w:type="dxa"/>
            <w:vMerge/>
            <w:shd w:val="clear" w:color="auto" w:fill="auto"/>
          </w:tcPr>
          <w:p w:rsidR="007F06D5" w:rsidRPr="00F85FFF" w:rsidRDefault="007F06D5" w:rsidP="00C060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7F06D5" w:rsidRPr="00F85FFF" w:rsidRDefault="00497B90" w:rsidP="00C060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Колбы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7F06D5" w:rsidRPr="00F85FFF" w:rsidRDefault="00497B90" w:rsidP="00C060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Цилиндры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7F06D5" w:rsidRPr="00F85FFF" w:rsidRDefault="00497B90" w:rsidP="00C060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Мензурки</w:t>
            </w:r>
          </w:p>
        </w:tc>
      </w:tr>
      <w:tr w:rsidR="007F06D5" w:rsidTr="00C96E89">
        <w:trPr>
          <w:trHeight w:val="288"/>
        </w:trPr>
        <w:tc>
          <w:tcPr>
            <w:tcW w:w="1601" w:type="dxa"/>
            <w:vMerge/>
            <w:shd w:val="clear" w:color="auto" w:fill="auto"/>
          </w:tcPr>
          <w:p w:rsidR="007F06D5" w:rsidRDefault="007F06D5" w:rsidP="00C060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7F06D5" w:rsidRDefault="00C77E87" w:rsidP="00C060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28" w:type="dxa"/>
            <w:shd w:val="clear" w:color="auto" w:fill="auto"/>
          </w:tcPr>
          <w:p w:rsidR="007F06D5" w:rsidRDefault="00C77E87" w:rsidP="00C060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класс</w:t>
            </w:r>
          </w:p>
        </w:tc>
        <w:tc>
          <w:tcPr>
            <w:tcW w:w="1328" w:type="dxa"/>
            <w:shd w:val="clear" w:color="auto" w:fill="auto"/>
          </w:tcPr>
          <w:p w:rsidR="007F06D5" w:rsidRDefault="00C77E87" w:rsidP="00C06035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9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28" w:type="dxa"/>
            <w:shd w:val="clear" w:color="auto" w:fill="auto"/>
          </w:tcPr>
          <w:p w:rsidR="007F06D5" w:rsidRDefault="00C77E87" w:rsidP="00C060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28" w:type="dxa"/>
            <w:shd w:val="clear" w:color="auto" w:fill="auto"/>
          </w:tcPr>
          <w:p w:rsidR="007F06D5" w:rsidRDefault="00C77E87" w:rsidP="00C060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9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29" w:type="dxa"/>
            <w:vMerge/>
            <w:shd w:val="clear" w:color="auto" w:fill="auto"/>
          </w:tcPr>
          <w:p w:rsidR="007F06D5" w:rsidRDefault="007F06D5" w:rsidP="00C060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6D5" w:rsidTr="00C96E89">
        <w:tc>
          <w:tcPr>
            <w:tcW w:w="1601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29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6D5" w:rsidTr="00C96E89">
        <w:tc>
          <w:tcPr>
            <w:tcW w:w="1601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29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6D5" w:rsidTr="00C96E89">
        <w:tc>
          <w:tcPr>
            <w:tcW w:w="1601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29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6D5" w:rsidTr="00C96E89">
        <w:tc>
          <w:tcPr>
            <w:tcW w:w="1601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29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7F06D5" w:rsidTr="00C96E89">
        <w:trPr>
          <w:trHeight w:val="128"/>
        </w:trPr>
        <w:tc>
          <w:tcPr>
            <w:tcW w:w="1601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29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F06D5" w:rsidTr="00C96E89">
        <w:tc>
          <w:tcPr>
            <w:tcW w:w="1601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6D5" w:rsidTr="00C96E89">
        <w:tc>
          <w:tcPr>
            <w:tcW w:w="1601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29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F06D5" w:rsidTr="00C96E89">
        <w:trPr>
          <w:trHeight w:val="234"/>
        </w:trPr>
        <w:tc>
          <w:tcPr>
            <w:tcW w:w="1601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6D5" w:rsidTr="00C96E89">
        <w:tc>
          <w:tcPr>
            <w:tcW w:w="1601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9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12,50</w:t>
            </w:r>
          </w:p>
        </w:tc>
      </w:tr>
      <w:tr w:rsidR="007F06D5" w:rsidTr="00C96E89">
        <w:trPr>
          <w:trHeight w:val="248"/>
        </w:trPr>
        <w:tc>
          <w:tcPr>
            <w:tcW w:w="1601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9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F06D5" w:rsidTr="00C96E89">
        <w:tc>
          <w:tcPr>
            <w:tcW w:w="1601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8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29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19A0" w:rsidRDefault="00C77E87">
      <w:pPr>
        <w:keepNext/>
        <w:spacing w:before="24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2 – Пределы допустимой погрешности объ</w:t>
      </w:r>
      <w:r w:rsidR="00286542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ма </w:t>
      </w:r>
      <w:r>
        <w:rPr>
          <w:rFonts w:ascii="Times New Roman" w:hAnsi="Times New Roman"/>
          <w:bCs/>
          <w:sz w:val="28"/>
          <w:szCs w:val="28"/>
          <w:lang w:eastAsia="ru-RU"/>
        </w:rPr>
        <w:t>пипеток,</w:t>
      </w:r>
      <w:r>
        <w:rPr>
          <w:rFonts w:ascii="Times New Roman" w:hAnsi="Times New Roman"/>
          <w:sz w:val="28"/>
          <w:szCs w:val="28"/>
          <w:lang w:eastAsia="ru-RU"/>
        </w:rPr>
        <w:t xml:space="preserve"> см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(мл)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1901"/>
        <w:gridCol w:w="1851"/>
        <w:gridCol w:w="1851"/>
        <w:gridCol w:w="1851"/>
      </w:tblGrid>
      <w:tr w:rsidR="007F06D5" w:rsidTr="00434523">
        <w:tc>
          <w:tcPr>
            <w:tcW w:w="1914" w:type="dxa"/>
            <w:vMerge w:val="restart"/>
            <w:shd w:val="clear" w:color="auto" w:fill="auto"/>
          </w:tcPr>
          <w:p w:rsidR="007F06D5" w:rsidRPr="00F85FFF" w:rsidRDefault="00497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Номинальная</w:t>
            </w: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F06D5" w:rsidRPr="00F85FFF" w:rsidRDefault="00497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наименьшего деления шкалы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7F06D5" w:rsidRPr="00F85FFF" w:rsidRDefault="00497B9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</w:t>
            </w:r>
            <w:r w:rsidR="004345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делы допустимой погрешности объё</w:t>
            </w: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 (</w:t>
            </w:r>
            <w:r w:rsidRPr="00497B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±</w:t>
            </w: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F06D5" w:rsidTr="00434523">
        <w:tc>
          <w:tcPr>
            <w:tcW w:w="1914" w:type="dxa"/>
            <w:vMerge/>
            <w:shd w:val="clear" w:color="auto" w:fill="auto"/>
          </w:tcPr>
          <w:p w:rsidR="007F06D5" w:rsidRPr="00F85FFF" w:rsidRDefault="007F06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F06D5" w:rsidRPr="00F85FFF" w:rsidRDefault="007F06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F06D5" w:rsidRPr="00F85FFF" w:rsidRDefault="00497B9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92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-й</w:t>
            </w: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4" w:type="dxa"/>
            <w:shd w:val="clear" w:color="auto" w:fill="auto"/>
          </w:tcPr>
          <w:p w:rsidR="007F06D5" w:rsidRPr="00F85FFF" w:rsidRDefault="00497B9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B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</w:t>
            </w:r>
            <w:r w:rsidRPr="00497B9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AS</w:t>
            </w: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4" w:type="dxa"/>
            <w:shd w:val="clear" w:color="auto" w:fill="auto"/>
          </w:tcPr>
          <w:p w:rsidR="007F06D5" w:rsidRPr="00F85FFF" w:rsidRDefault="00497B9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92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-й</w:t>
            </w: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7F06D5" w:rsidTr="00434523"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6D5" w:rsidTr="00434523"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7F06D5" w:rsidTr="00434523"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7F06D5" w:rsidTr="00434523"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6D5" w:rsidTr="00434523"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F06D5" w:rsidTr="009A6898">
        <w:tc>
          <w:tcPr>
            <w:tcW w:w="1914" w:type="dxa"/>
            <w:vMerge w:val="restart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54678C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54678C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7F06D5" w:rsidRPr="00784B54" w:rsidRDefault="00C77E87" w:rsidP="009A6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6D5" w:rsidTr="00434523">
        <w:tc>
          <w:tcPr>
            <w:tcW w:w="1914" w:type="dxa"/>
            <w:vMerge/>
            <w:shd w:val="clear" w:color="auto" w:fill="auto"/>
            <w:vAlign w:val="center"/>
          </w:tcPr>
          <w:p w:rsidR="007F06D5" w:rsidRPr="00784B54" w:rsidRDefault="007F06D5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14" w:type="dxa"/>
            <w:vMerge/>
            <w:shd w:val="clear" w:color="auto" w:fill="auto"/>
          </w:tcPr>
          <w:p w:rsidR="007F06D5" w:rsidRPr="00784B54" w:rsidRDefault="007F06D5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F06D5" w:rsidTr="00434523"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6D5" w:rsidTr="00434523"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784B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06D5" w:rsidRPr="00784B54" w:rsidRDefault="00C77E87" w:rsidP="0078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06D5" w:rsidRDefault="00C77E87" w:rsidP="0068523B">
      <w:pPr>
        <w:pStyle w:val="aa"/>
        <w:widowControl w:val="0"/>
        <w:shd w:val="clear" w:color="auto" w:fill="FFFFFF"/>
        <w:adjustRightInd w:val="0"/>
        <w:spacing w:before="120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Допустимые погрешности от номинальной вместимости мерной </w:t>
      </w:r>
      <w:r>
        <w:rPr>
          <w:rFonts w:ascii="Times New Roman" w:hAnsi="Times New Roman"/>
          <w:sz w:val="28"/>
          <w:szCs w:val="28"/>
          <w:lang w:eastAsia="ru-RU"/>
        </w:rPr>
        <w:t>лабораторн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посуды на </w:t>
      </w:r>
      <w:r w:rsidR="00B924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выливания</w:t>
      </w:r>
      <w:r w:rsidR="00B924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жидкости не должны превыша</w:t>
      </w:r>
      <w:r w:rsidR="000E502C">
        <w:rPr>
          <w:rFonts w:ascii="Times New Roman" w:eastAsia="Times New Roman" w:hAnsi="Times New Roman"/>
          <w:sz w:val="28"/>
          <w:szCs w:val="28"/>
          <w:lang w:eastAsia="ru-RU"/>
        </w:rPr>
        <w:t>ть значений, указанных в табл.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</w:p>
    <w:p w:rsidR="00B819A0" w:rsidRDefault="00C77E87" w:rsidP="00784B54">
      <w:pPr>
        <w:pStyle w:val="aa"/>
        <w:keepNext/>
        <w:keepLines/>
        <w:shd w:val="clear" w:color="auto" w:fill="FFFFFF"/>
        <w:adjustRightInd w:val="0"/>
        <w:spacing w:before="240" w:after="12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3 – Пределы допустимой погрешности объ</w:t>
      </w:r>
      <w:r w:rsidR="00B924FF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бюреток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(мл)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1901"/>
        <w:gridCol w:w="1851"/>
        <w:gridCol w:w="1851"/>
        <w:gridCol w:w="1851"/>
      </w:tblGrid>
      <w:tr w:rsidR="007F06D5" w:rsidRPr="00784B54" w:rsidTr="00B518A6">
        <w:trPr>
          <w:tblHeader/>
        </w:trPr>
        <w:tc>
          <w:tcPr>
            <w:tcW w:w="1914" w:type="dxa"/>
            <w:vMerge w:val="restart"/>
            <w:shd w:val="clear" w:color="auto" w:fill="auto"/>
          </w:tcPr>
          <w:p w:rsidR="007F06D5" w:rsidRPr="00784B54" w:rsidRDefault="00497B90" w:rsidP="006852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Номинальная</w:t>
            </w:r>
            <w:r w:rsidRPr="00784B5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84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F06D5" w:rsidRPr="00784B54" w:rsidRDefault="00497B90" w:rsidP="006852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наименьшего деления шкалы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7F06D5" w:rsidRPr="00784B54" w:rsidRDefault="00497B90" w:rsidP="006852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Пределы допустимой погрешности объ</w:t>
            </w:r>
            <w:r w:rsidR="00B924FF" w:rsidRPr="00784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ё</w:t>
            </w:r>
            <w:r w:rsidRPr="00784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 (</w:t>
            </w:r>
            <w:r w:rsidRPr="00784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±</w:t>
            </w:r>
            <w:r w:rsidRPr="00784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F06D5" w:rsidRPr="00784B54" w:rsidTr="00B518A6">
        <w:trPr>
          <w:tblHeader/>
        </w:trPr>
        <w:tc>
          <w:tcPr>
            <w:tcW w:w="1914" w:type="dxa"/>
            <w:vMerge/>
            <w:shd w:val="clear" w:color="auto" w:fill="auto"/>
          </w:tcPr>
          <w:p w:rsidR="007F06D5" w:rsidRPr="00784B54" w:rsidRDefault="007F06D5" w:rsidP="006852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F06D5" w:rsidRPr="00784B54" w:rsidRDefault="007F06D5" w:rsidP="006852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F06D5" w:rsidRPr="00784B54" w:rsidRDefault="00497B90" w:rsidP="006852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924FF" w:rsidRPr="00784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-й</w:t>
            </w:r>
            <w:r w:rsidRPr="00784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497B90" w:rsidP="006852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B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</w:t>
            </w:r>
            <w:r w:rsidRPr="00784B5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AS</w:t>
            </w:r>
            <w:r w:rsidRPr="00784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497B90" w:rsidP="006852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924FF" w:rsidRPr="00784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-й</w:t>
            </w:r>
            <w:r w:rsidRPr="00784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7F06D5" w:rsidRPr="00784B54" w:rsidTr="00784B54"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7F06D5" w:rsidRPr="00784B54" w:rsidTr="00784B54"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7F06D5" w:rsidRPr="00784B54" w:rsidTr="00784B54"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7F06D5" w:rsidRPr="00784B54" w:rsidTr="00784B54">
        <w:tc>
          <w:tcPr>
            <w:tcW w:w="1914" w:type="dxa"/>
            <w:vMerge w:val="restart"/>
            <w:shd w:val="clear" w:color="auto" w:fill="auto"/>
            <w:vAlign w:val="center"/>
          </w:tcPr>
          <w:p w:rsidR="007F06D5" w:rsidRPr="00784B54" w:rsidRDefault="00C77E87" w:rsidP="00B518A6">
            <w:pPr>
              <w:pStyle w:val="aa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6D5" w:rsidRPr="00784B54" w:rsidTr="00784B54">
        <w:tc>
          <w:tcPr>
            <w:tcW w:w="1914" w:type="dxa"/>
            <w:vMerge/>
            <w:shd w:val="clear" w:color="auto" w:fill="auto"/>
            <w:vAlign w:val="center"/>
          </w:tcPr>
          <w:p w:rsidR="007F06D5" w:rsidRPr="00784B54" w:rsidRDefault="007F06D5" w:rsidP="00B5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6D5" w:rsidRPr="00784B54" w:rsidTr="00784B54">
        <w:tc>
          <w:tcPr>
            <w:tcW w:w="1914" w:type="dxa"/>
            <w:vMerge w:val="restart"/>
            <w:shd w:val="clear" w:color="auto" w:fill="auto"/>
            <w:vAlign w:val="center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6D5" w:rsidRPr="00784B54" w:rsidTr="00784B54">
        <w:tc>
          <w:tcPr>
            <w:tcW w:w="1914" w:type="dxa"/>
            <w:vMerge/>
            <w:shd w:val="clear" w:color="auto" w:fill="auto"/>
            <w:vAlign w:val="center"/>
          </w:tcPr>
          <w:p w:rsidR="007F06D5" w:rsidRPr="00784B54" w:rsidRDefault="007F06D5" w:rsidP="00B5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F06D5" w:rsidRPr="00784B54" w:rsidTr="00784B54"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F06D5" w:rsidRPr="00784B54" w:rsidTr="00784B54"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7F06D5" w:rsidRPr="00784B54" w:rsidRDefault="00C77E87" w:rsidP="00B518A6">
            <w:pPr>
              <w:pStyle w:val="aa"/>
              <w:widowControl w:val="0"/>
              <w:shd w:val="clear" w:color="auto" w:fill="FFFFFF"/>
              <w:adjustRightIn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7F06D5" w:rsidRDefault="00C77E87" w:rsidP="00B42C0F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всей мерной </w:t>
      </w:r>
      <w:r>
        <w:rPr>
          <w:rFonts w:ascii="Times New Roman" w:hAnsi="Times New Roman"/>
          <w:sz w:val="28"/>
          <w:szCs w:val="28"/>
          <w:lang w:eastAsia="ru-RU"/>
        </w:rPr>
        <w:t>лабораторн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посуды со шкалой максимально допустимая погрешность для обоих классов точности не должна превышать объ</w:t>
      </w:r>
      <w:r w:rsidR="0028654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 наименьшего деления шкалы.</w:t>
      </w:r>
      <w:r w:rsidR="00DD629C" w:rsidRPr="00DD62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629C">
        <w:rPr>
          <w:rFonts w:ascii="Times New Roman" w:eastAsia="Times New Roman" w:hAnsi="Times New Roman"/>
          <w:sz w:val="28"/>
          <w:szCs w:val="28"/>
          <w:lang w:eastAsia="ru-RU"/>
        </w:rPr>
        <w:t>Для посуды 2 класса допустимые пределы погрешностей увеличены вдвое.</w:t>
      </w:r>
    </w:p>
    <w:p w:rsidR="007F06D5" w:rsidRDefault="00C77E87">
      <w:pPr>
        <w:pStyle w:val="ae"/>
        <w:keepNext/>
        <w:spacing w:before="240" w:line="360" w:lineRule="auto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Калибровка мерной </w:t>
      </w:r>
      <w:r>
        <w:rPr>
          <w:rFonts w:ascii="Times New Roman" w:hAnsi="Times New Roman"/>
          <w:b/>
          <w:sz w:val="28"/>
          <w:szCs w:val="28"/>
          <w:lang w:eastAsia="ru-RU"/>
        </w:rPr>
        <w:t>лабораторн</w:t>
      </w:r>
      <w:r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посуды</w:t>
      </w:r>
    </w:p>
    <w:p w:rsidR="00B819A0" w:rsidRDefault="00C77E8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Мерные колбы, пикнометры, пипетки и бюретки перед работой и ежегодно необходимо проверять на признаки износа или повреждения (царапины, замутнения, трещины или сколы, стирание калибровочных отметок). </w:t>
      </w:r>
      <w:r w:rsidR="00B924FF">
        <w:rPr>
          <w:rFonts w:ascii="Times New Roman" w:hAnsi="Times New Roman"/>
          <w:sz w:val="28"/>
          <w:szCs w:val="28"/>
          <w:lang w:eastAsia="ru-RU"/>
        </w:rPr>
        <w:t>Не допускается использование п</w:t>
      </w:r>
      <w:r>
        <w:rPr>
          <w:rFonts w:ascii="Times New Roman" w:hAnsi="Times New Roman"/>
          <w:sz w:val="28"/>
          <w:szCs w:val="28"/>
          <w:lang w:eastAsia="ru-RU"/>
        </w:rPr>
        <w:t>оврежд</w:t>
      </w:r>
      <w:r w:rsidR="00B924FF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нн</w:t>
      </w:r>
      <w:r w:rsidR="00B924FF">
        <w:rPr>
          <w:rFonts w:ascii="Times New Roman" w:hAnsi="Times New Roman"/>
          <w:sz w:val="28"/>
          <w:szCs w:val="28"/>
          <w:lang w:eastAsia="ru-RU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посуд</w:t>
      </w:r>
      <w:r w:rsidR="00B924FF">
        <w:rPr>
          <w:rFonts w:ascii="Times New Roman" w:hAnsi="Times New Roman"/>
          <w:sz w:val="28"/>
          <w:szCs w:val="28"/>
          <w:lang w:eastAsia="ru-RU"/>
        </w:rPr>
        <w:t>ы</w:t>
      </w:r>
      <w:r w:rsidR="00C0603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калибровкой мерную посуду тщательно моют и высушивают. </w:t>
      </w:r>
    </w:p>
    <w:p w:rsidR="00B819A0" w:rsidRDefault="00C77E8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Калибровка мерной лабораторной посуды может осуществлять</w:t>
      </w:r>
      <w:r w:rsidR="00B924FF">
        <w:rPr>
          <w:rFonts w:ascii="Times New Roman" w:hAnsi="Times New Roman"/>
          <w:sz w:val="28"/>
          <w:szCs w:val="28"/>
          <w:lang w:eastAsia="ru-RU"/>
        </w:rPr>
        <w:t>ся</w:t>
      </w:r>
      <w:r>
        <w:rPr>
          <w:rFonts w:ascii="Times New Roman" w:hAnsi="Times New Roman"/>
          <w:sz w:val="28"/>
          <w:szCs w:val="28"/>
          <w:lang w:eastAsia="ru-RU"/>
        </w:rPr>
        <w:t xml:space="preserve"> 2 способами.</w:t>
      </w:r>
    </w:p>
    <w:p w:rsidR="00B819A0" w:rsidRDefault="00286542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C77E87">
        <w:rPr>
          <w:rFonts w:ascii="Times New Roman" w:hAnsi="Times New Roman"/>
          <w:sz w:val="28"/>
          <w:szCs w:val="28"/>
          <w:lang w:eastAsia="ru-RU"/>
        </w:rPr>
        <w:t>Внешняя калибровка, когда посуда имеет сертификаты калибровки серий или индивидуальные сертификаты калибровки, предоставленные производителем или поставщиком.</w:t>
      </w:r>
    </w:p>
    <w:p w:rsidR="00B819A0" w:rsidRDefault="00286542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C77E87">
        <w:rPr>
          <w:rFonts w:ascii="Times New Roman" w:hAnsi="Times New Roman"/>
          <w:sz w:val="28"/>
          <w:szCs w:val="28"/>
          <w:lang w:eastAsia="ru-RU"/>
        </w:rPr>
        <w:t>Внутренняя калибровка, про</w:t>
      </w:r>
      <w:r>
        <w:rPr>
          <w:rFonts w:ascii="Times New Roman" w:hAnsi="Times New Roman"/>
          <w:sz w:val="28"/>
          <w:szCs w:val="28"/>
          <w:lang w:eastAsia="ru-RU"/>
        </w:rPr>
        <w:t>водимая в лаборатории по приведё</w:t>
      </w:r>
      <w:r w:rsidR="00C77E87">
        <w:rPr>
          <w:rFonts w:ascii="Times New Roman" w:hAnsi="Times New Roman"/>
          <w:sz w:val="28"/>
          <w:szCs w:val="28"/>
          <w:lang w:eastAsia="ru-RU"/>
        </w:rPr>
        <w:t>нной ниже процедуре.</w:t>
      </w:r>
    </w:p>
    <w:p w:rsidR="00B819A0" w:rsidRDefault="00C77E8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Проверка мерной лабораторн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посуды заключается в определении массы воды, не содержащей примесей и раствор</w:t>
      </w:r>
      <w:r w:rsidR="00286542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нного воздуха, налитой в посуду до метки (мерные колбы и пикнометры) или вылитой из не</w:t>
      </w:r>
      <w:r w:rsidR="00B924FF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 (пипетки и бюретки) при данной температуре и атмосферном давлении. </w:t>
      </w:r>
    </w:p>
    <w:p w:rsidR="00B819A0" w:rsidRDefault="00C77E8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проверке пипеток воду из них спускают в бюкс с крышкой и взвешивают. Не выливая воду из бюкса, спускают в него снова полную пипетку и взвешивают. Так поступают и в третий раз. Из тр</w:t>
      </w:r>
      <w:r w:rsidR="00286542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х значений массы воды берут среднее. При проверке бюреток измеряют массу всего е</w:t>
      </w:r>
      <w:r w:rsidR="00B924FF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 объ</w:t>
      </w:r>
      <w:r w:rsidR="00286542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ма, а затем </w:t>
      </w:r>
      <w:r w:rsidR="0074703F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массу воды через каждые 10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B518A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(мл)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точной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калибровки проверяют массу каждого м</w:t>
      </w:r>
      <w:r w:rsidR="00CA7E82">
        <w:rPr>
          <w:rFonts w:ascii="Times New Roman" w:hAnsi="Times New Roman"/>
          <w:sz w:val="28"/>
          <w:szCs w:val="28"/>
          <w:lang w:eastAsia="ru-RU"/>
        </w:rPr>
        <w:t>илли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="00CA7E82">
        <w:rPr>
          <w:rFonts w:ascii="Times New Roman" w:hAnsi="Times New Roman"/>
          <w:sz w:val="28"/>
          <w:szCs w:val="28"/>
          <w:lang w:eastAsia="ru-RU"/>
        </w:rPr>
        <w:t>итра</w:t>
      </w:r>
      <w:r>
        <w:rPr>
          <w:rFonts w:ascii="Times New Roman" w:hAnsi="Times New Roman"/>
          <w:sz w:val="28"/>
          <w:szCs w:val="28"/>
          <w:lang w:eastAsia="ru-RU"/>
        </w:rPr>
        <w:t>. Температура, при которой калибруется мерная лабораторн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посуда стеклянная, должна быть равна 20 °С. На практике при калибровании и проверке мерной лабораторн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посуды пользуются таблицами, показывающими, сколько воды определ</w:t>
      </w:r>
      <w:r w:rsidR="00B924FF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нной температуры надо отвесить в воздухе той же температуры, чтобы объ</w:t>
      </w:r>
      <w:r w:rsidR="00286542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м е</w:t>
      </w:r>
      <w:r w:rsidR="00286542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соответствовал 1000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B518A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(мл) </w:t>
      </w:r>
      <w:r>
        <w:rPr>
          <w:rFonts w:ascii="Times New Roman" w:hAnsi="Times New Roman"/>
          <w:sz w:val="28"/>
          <w:szCs w:val="28"/>
          <w:lang w:eastAsia="ru-RU"/>
        </w:rPr>
        <w:t>при 20</w:t>
      </w:r>
      <w:r w:rsidR="00B518A6" w:rsidRPr="00B518A6">
        <w:rPr>
          <w:rFonts w:ascii="Times New Roman" w:hAnsi="Times New Roman"/>
          <w:sz w:val="28"/>
          <w:szCs w:val="28"/>
          <w:lang w:eastAsia="ru-RU"/>
        </w:rPr>
        <w:t> °</w:t>
      </w: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таблицы рассчитаны на нормальное барометрическое давлени</w:t>
      </w:r>
      <w:r w:rsidR="00B924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(760 мм.</w:t>
      </w:r>
      <w:r w:rsidR="004B27D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рт.</w:t>
      </w:r>
      <w:r w:rsidR="004B27D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ст.) и на одну и ту же температуру воды и окружающего воздуха. Если барометрическое давление ниже нормального, на каждый миллиметр разницы прибавляют поправку,</w:t>
      </w:r>
      <w:r w:rsidR="00C4730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указанную в последнем столбце табл.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4. Если барометрическое давление выше нормального, поправку вычитают. </w:t>
      </w:r>
    </w:p>
    <w:p w:rsidR="00B819A0" w:rsidRDefault="00C77E87" w:rsidP="00A06322">
      <w:pPr>
        <w:pStyle w:val="ae"/>
        <w:spacing w:before="240" w:after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4 – Таблица массы 1000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6C3D2F">
        <w:rPr>
          <w:rFonts w:ascii="Times New Roman" w:eastAsia="Times New Roman" w:hAnsi="Times New Roman"/>
          <w:sz w:val="28"/>
          <w:szCs w:val="28"/>
          <w:lang w:eastAsia="ru-RU"/>
        </w:rPr>
        <w:t>мл воды, взвешенной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воздухе при помощи латунных гирь при разных температурах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977"/>
        <w:gridCol w:w="3402"/>
      </w:tblGrid>
      <w:tr w:rsidR="007F06D5" w:rsidTr="006648CE">
        <w:trPr>
          <w:trHeight w:val="770"/>
          <w:tblHeader/>
        </w:trPr>
        <w:tc>
          <w:tcPr>
            <w:tcW w:w="2977" w:type="dxa"/>
          </w:tcPr>
          <w:p w:rsidR="007F06D5" w:rsidRPr="00EC5475" w:rsidRDefault="00497B9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Температура воды и воздуха, </w:t>
            </w:r>
            <w:r w:rsidR="006648CE" w:rsidRPr="00B518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°</w:t>
            </w: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77" w:type="dxa"/>
          </w:tcPr>
          <w:p w:rsidR="007F06D5" w:rsidRPr="00EC5475" w:rsidRDefault="00497B90">
            <w:pPr>
              <w:spacing w:after="0" w:line="360" w:lineRule="atLeast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Масса 1000</w:t>
            </w: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мл воды, г </w:t>
            </w:r>
          </w:p>
        </w:tc>
        <w:tc>
          <w:tcPr>
            <w:tcW w:w="3402" w:type="dxa"/>
          </w:tcPr>
          <w:p w:rsidR="007F06D5" w:rsidRPr="00EC5475" w:rsidRDefault="00497B9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B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Поправка на барометрическое давление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998,386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0,00144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998,315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0,00144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998,234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0,00143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998,143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0,00143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998,042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0,00142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997,925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0,00142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997,798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0,00141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997,659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0,00141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997,510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0,00140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997,349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0,00140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997,177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0,00140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996,995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0,00139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996,802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0,00139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996,599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0,00138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996,386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0,00138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996,164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0,00137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995,930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0,00137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995,689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0,00136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995,438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0,00136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995,177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0,00136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994,908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0,00135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994,630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0,00135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994,343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0,00134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994,048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0,00134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993,744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0,00133</w:t>
            </w:r>
          </w:p>
        </w:tc>
      </w:tr>
      <w:tr w:rsidR="007F06D5" w:rsidTr="006648CE">
        <w:trPr>
          <w:trHeight w:val="270"/>
        </w:trPr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993,433</w:t>
            </w:r>
          </w:p>
        </w:tc>
        <w:tc>
          <w:tcPr>
            <w:tcW w:w="3402" w:type="dxa"/>
          </w:tcPr>
          <w:p w:rsidR="007F06D5" w:rsidRDefault="00C7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0,00133</w:t>
            </w:r>
          </w:p>
        </w:tc>
      </w:tr>
    </w:tbl>
    <w:p w:rsidR="007F06D5" w:rsidRDefault="00C77E87" w:rsidP="0068523B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Частота калибровки мерной лабораторн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посуд</w:t>
      </w:r>
      <w:r w:rsidR="00B7520B">
        <w:rPr>
          <w:rFonts w:ascii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/>
          <w:sz w:val="28"/>
          <w:szCs w:val="28"/>
          <w:lang w:eastAsia="ru-RU"/>
        </w:rPr>
        <w:t>зависит от е</w:t>
      </w:r>
      <w:r w:rsidR="00B924FF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характеристик, вида и частоты использования, а также предыдущих калибровок. </w:t>
      </w:r>
    </w:p>
    <w:p w:rsidR="007F06D5" w:rsidRDefault="00C77E87">
      <w:pPr>
        <w:pStyle w:val="ae"/>
        <w:keepNext/>
        <w:spacing w:before="24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Работа с мерной лабораторн</w:t>
      </w:r>
      <w:r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посудой</w:t>
      </w:r>
    </w:p>
    <w:p w:rsidR="00B819A0" w:rsidRDefault="00C77E8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</w:t>
      </w:r>
      <w:r w:rsidR="00286542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м жидкости можно измерить с различной степенью точности, которая определяется задачей анализа. В зависимости от относительной погрешности, допускаемой при измерении объ</w:t>
      </w:r>
      <w:r w:rsidR="00286542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ма, мерная лабораторн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посуда делится на две группы – для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приблизительного (класс 2 или В) и точного (класс 1 или A/AS) </w:t>
      </w:r>
      <w:r>
        <w:rPr>
          <w:rFonts w:ascii="Times New Roman" w:hAnsi="Times New Roman"/>
          <w:sz w:val="28"/>
          <w:szCs w:val="28"/>
          <w:lang w:eastAsia="ru-RU"/>
        </w:rPr>
        <w:t>измерения объ</w:t>
      </w:r>
      <w:r w:rsidR="00B924FF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ма. К посуде для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приблизительного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измерения объ</w:t>
      </w:r>
      <w:r w:rsidR="00286542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ма относятся мерные цилиндры, градуированные лабораторные стаканы, мензурки, пробирки с делениями. Относительная погрешность при измерении объ</w:t>
      </w:r>
      <w:r w:rsidR="002911FA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ма с помощью такой посуды составляет 1 % и более. Данная посуда предназначена в основном на </w:t>
      </w:r>
      <w:r w:rsidR="00B924F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выливание</w:t>
      </w:r>
      <w:r w:rsidR="00B924F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. Термин на </w:t>
      </w:r>
      <w:r w:rsidR="00B924F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выливание</w:t>
      </w:r>
      <w:r w:rsidR="00B924F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означает, что если перелить содержимое заполненного мерного сосуда в другой сосуд, то объ</w:t>
      </w:r>
      <w:r w:rsidR="002911FA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м вылитой жидкости при температуре 20</w:t>
      </w:r>
      <w:r w:rsidRPr="00AE3955">
        <w:rPr>
          <w:rFonts w:ascii="Times New Roman" w:hAnsi="Times New Roman"/>
          <w:sz w:val="28"/>
          <w:szCs w:val="28"/>
          <w:lang w:eastAsia="ru-RU"/>
        </w:rPr>
        <w:t> </w:t>
      </w:r>
      <w:r w:rsidR="00AE3955" w:rsidRPr="00AE3955">
        <w:rPr>
          <w:rFonts w:ascii="Times New Roman" w:hAnsi="Times New Roman"/>
          <w:sz w:val="28"/>
          <w:szCs w:val="28"/>
          <w:lang w:eastAsia="ru-RU"/>
        </w:rPr>
        <w:t>°</w:t>
      </w:r>
      <w:r>
        <w:rPr>
          <w:rFonts w:ascii="Times New Roman" w:hAnsi="Times New Roman"/>
          <w:sz w:val="28"/>
          <w:szCs w:val="28"/>
          <w:lang w:eastAsia="ru-RU"/>
        </w:rPr>
        <w:t>С будет соответствовать вместимости, обозначенной на сосуде.</w:t>
      </w:r>
    </w:p>
    <w:p w:rsidR="007F06D5" w:rsidRDefault="00C77E87" w:rsidP="00502D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Мерные цилиндры,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градуированные м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ерные стаканы, мензурки, </w:t>
      </w:r>
      <w:r>
        <w:rPr>
          <w:rFonts w:ascii="Times New Roman" w:hAnsi="Times New Roman"/>
          <w:i/>
          <w:sz w:val="28"/>
          <w:szCs w:val="28"/>
        </w:rPr>
        <w:t>пробирки с делениями.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Чтобы отмерить нужный объ</w:t>
      </w:r>
      <w:r w:rsidR="00B924FF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жидкости, е</w:t>
      </w:r>
      <w:r w:rsidR="00B924FF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наливают в мерный сосуд до тех пор, пока нижний край мениска не достигнет уровня нужного деления. </w:t>
      </w:r>
    </w:p>
    <w:p w:rsidR="007F06D5" w:rsidRDefault="00C77E87">
      <w:pPr>
        <w:pStyle w:val="ae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Мерные колбы.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каждой мерной колбе указана та температура, при которой она имеет точно обозначенный на ней объ</w:t>
      </w:r>
      <w:r w:rsidR="00B924FF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(как правило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E67477">
        <w:rPr>
          <w:rFonts w:ascii="Times New Roman" w:hAnsi="Times New Roman"/>
          <w:sz w:val="28"/>
          <w:szCs w:val="28"/>
          <w:lang w:eastAsia="ru-RU"/>
        </w:rPr>
        <w:t> </w:t>
      </w:r>
      <w:r w:rsidR="00E67477" w:rsidRPr="00E67477">
        <w:rPr>
          <w:rFonts w:ascii="Times New Roman" w:hAnsi="Times New Roman"/>
          <w:sz w:val="28"/>
          <w:szCs w:val="28"/>
          <w:lang w:eastAsia="ru-RU"/>
        </w:rPr>
        <w:t>°</w:t>
      </w:r>
      <w:r>
        <w:rPr>
          <w:rFonts w:ascii="Times New Roman" w:hAnsi="Times New Roman"/>
          <w:sz w:val="28"/>
          <w:szCs w:val="28"/>
          <w:lang w:eastAsia="ru-RU"/>
        </w:rPr>
        <w:t>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Термин на </w:t>
      </w:r>
      <w:r w:rsidR="00B924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вливание</w:t>
      </w:r>
      <w:r w:rsidR="00B924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означает, что если наполнить мерную колбу жидкостью точно до метки, то объ</w:t>
      </w:r>
      <w:r w:rsidR="002911FA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жидкости при </w:t>
      </w:r>
      <w:r>
        <w:rPr>
          <w:rFonts w:ascii="Times New Roman" w:hAnsi="Times New Roman"/>
          <w:sz w:val="28"/>
          <w:szCs w:val="28"/>
          <w:lang w:eastAsia="ru-RU"/>
        </w:rPr>
        <w:t>температуре 20</w:t>
      </w:r>
      <w:r w:rsidRPr="00BB6835">
        <w:rPr>
          <w:rFonts w:ascii="Times New Roman" w:hAnsi="Times New Roman"/>
          <w:sz w:val="28"/>
          <w:szCs w:val="28"/>
          <w:lang w:eastAsia="ru-RU"/>
        </w:rPr>
        <w:t> </w:t>
      </w:r>
      <w:r w:rsidR="00BB6835">
        <w:rPr>
          <w:rFonts w:ascii="Times New Roman" w:hAnsi="Times New Roman"/>
          <w:sz w:val="28"/>
          <w:szCs w:val="28"/>
          <w:lang w:eastAsia="ru-RU"/>
        </w:rPr>
        <w:t>°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соответствовать вместимости, обозначенной на колбе.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6D5" w:rsidRDefault="00C77E87">
      <w:pPr>
        <w:pStyle w:val="ae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Объ</w:t>
      </w:r>
      <w:r w:rsidR="002911F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вылитой из колбы жидкости будет несколько меньше помеченного, так как часть е</w:t>
      </w:r>
      <w:r w:rsidR="00B924F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останется на стенках. Поэтому обычные мерные колбы не пригодны для отмеривания точного объема жидкости с последующим выливанием е</w:t>
      </w:r>
      <w:r w:rsidR="002911F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. Мерные колбы, предназначенные для </w:t>
      </w:r>
      <w:r>
        <w:rPr>
          <w:rFonts w:ascii="Times New Roman" w:hAnsi="Times New Roman"/>
          <w:sz w:val="28"/>
          <w:szCs w:val="28"/>
        </w:rPr>
        <w:lastRenderedPageBreak/>
        <w:t xml:space="preserve">выливания, имеют две метки. Верхняя метка предназначена для </w:t>
      </w:r>
      <w:r w:rsidR="00B924F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выливания</w:t>
      </w:r>
      <w:r w:rsidR="00B924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т.е. если наполнить колбу до этой метки и вылить содержимое, вылитая жидкость будет иметь объ</w:t>
      </w:r>
      <w:r w:rsidR="002911F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м, указанный на колбе.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Раствор, находящийся в колбе, доводят до метки в несколько при</w:t>
      </w:r>
      <w:r w:rsidR="00CA7E8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мов. Сначала наливают воды на 0,5</w:t>
      </w:r>
      <w:r w:rsidR="00502DE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 ниже метки, затем, при помощи пипетки жидкость приливают по каплям до тех пор, пока край мениска раствора не коснется метки.</w:t>
      </w: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9369"/>
      </w:tblGrid>
      <w:tr w:rsidR="0068523B" w:rsidTr="004C50E6">
        <w:trPr>
          <w:trHeight w:val="4412"/>
          <w:jc w:val="center"/>
        </w:trPr>
        <w:tc>
          <w:tcPr>
            <w:tcW w:w="4361" w:type="dxa"/>
          </w:tcPr>
          <w:p w:rsidR="0068523B" w:rsidRDefault="0068523B">
            <w:pPr>
              <w:pStyle w:val="ae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C57831" wp14:editId="27A0E06B">
                  <wp:extent cx="5793354" cy="2846567"/>
                  <wp:effectExtent l="19050" t="0" r="0" b="0"/>
                  <wp:docPr id="11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144" cy="2845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23B" w:rsidRDefault="004C50E6" w:rsidP="0068523B">
      <w:pPr>
        <w:pStyle w:val="ae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5 –</w:t>
      </w:r>
      <w:r w:rsidR="006852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Правильное положение мениска</w:t>
      </w:r>
    </w:p>
    <w:p w:rsidR="0068523B" w:rsidRPr="0068523B" w:rsidRDefault="004C50E6" w:rsidP="0068523B">
      <w:pPr>
        <w:pStyle w:val="ae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– прозрачный водный раствор; б –</w:t>
      </w:r>
      <w:r w:rsidR="0068523B" w:rsidRPr="0068523B">
        <w:rPr>
          <w:rFonts w:ascii="Times New Roman" w:eastAsia="Times New Roman" w:hAnsi="Times New Roman"/>
          <w:sz w:val="24"/>
          <w:szCs w:val="24"/>
          <w:lang w:eastAsia="ru-RU"/>
        </w:rPr>
        <w:t xml:space="preserve"> мутный или окрашенный водный раствор;</w:t>
      </w:r>
    </w:p>
    <w:p w:rsidR="0068523B" w:rsidRPr="0068523B" w:rsidRDefault="004C50E6" w:rsidP="0068523B">
      <w:pPr>
        <w:spacing w:after="0"/>
        <w:jc w:val="center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–</w:t>
      </w:r>
      <w:r w:rsidR="0068523B" w:rsidRPr="0068523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раствор органической жидкости, плохо смачивающей стекло.</w:t>
      </w:r>
    </w:p>
    <w:p w:rsidR="0068523B" w:rsidRPr="001B166B" w:rsidRDefault="0068523B" w:rsidP="004C50E6">
      <w:pPr>
        <w:spacing w:after="0" w:line="240" w:lineRule="auto"/>
        <w:rPr>
          <w:rFonts w:ascii="Times New Roman" w:hAnsi="Times New Roman"/>
          <w:vanish/>
        </w:rPr>
      </w:pPr>
    </w:p>
    <w:p w:rsidR="0068523B" w:rsidRDefault="0068523B" w:rsidP="009A7686">
      <w:pPr>
        <w:pStyle w:val="ae"/>
        <w:keepNext/>
        <w:tabs>
          <w:tab w:val="left" w:pos="524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23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24527" cy="2999232"/>
            <wp:effectExtent l="0" t="0" r="0" b="0"/>
            <wp:docPr id="11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61" cy="301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E6" w:rsidRDefault="004C50E6" w:rsidP="0068523B">
      <w:pPr>
        <w:pStyle w:val="ae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6 –</w:t>
      </w:r>
      <w:r w:rsidR="0068523B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Наблюдение за правильностью установки мениска </w:t>
      </w:r>
    </w:p>
    <w:p w:rsidR="0068523B" w:rsidRDefault="0068523B" w:rsidP="0068523B">
      <w:pPr>
        <w:pStyle w:val="ae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мерной колбе</w:t>
      </w:r>
    </w:p>
    <w:p w:rsidR="007F06D5" w:rsidRDefault="00C77E87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прозрачных водных растворов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касаться метки должен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нижний край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мениска, для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мутных и ярко окрашенных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водных растворов –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верхний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(рис.</w:t>
      </w:r>
      <w:r w:rsidR="00F420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5). При этом колбу держат перед собой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за верхнюю часть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шейки так, чтобы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метка находилась на уровне глаз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(рис.</w:t>
      </w:r>
      <w:r w:rsidR="00F420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6). В колбе большого объ</w:t>
      </w:r>
      <w:r w:rsidR="004B57D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9A32ED">
        <w:rPr>
          <w:rFonts w:ascii="Times New Roman" w:eastAsia="Times New Roman" w:hAnsi="Times New Roman"/>
          <w:sz w:val="28"/>
          <w:szCs w:val="28"/>
          <w:lang w:eastAsia="ru-RU"/>
        </w:rPr>
        <w:t>ма (500–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9A32E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(мл)) доводить до метки раствор следует, размещая колбу на ровной горизонтальной поверхности. Нельзя держать колбу за е</w:t>
      </w:r>
      <w:r w:rsidR="004B57D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нижнюю часть, так как может произойти искажение объ</w:t>
      </w:r>
      <w:r w:rsidR="004B57D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 за сч</w:t>
      </w:r>
      <w:r w:rsidR="004B57D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тепла, сообщаемого рукой. </w:t>
      </w:r>
    </w:p>
    <w:p w:rsidR="007F06D5" w:rsidRDefault="00C77E87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Растворитель, как и раствор в колбе, должен иметь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температуру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9A32ED">
        <w:rPr>
          <w:rFonts w:ascii="Times New Roman" w:hAnsi="Times New Roman"/>
          <w:sz w:val="28"/>
          <w:szCs w:val="28"/>
          <w:lang w:eastAsia="ru-RU"/>
        </w:rPr>
        <w:t> </w:t>
      </w:r>
      <w:r w:rsidR="009A32ED" w:rsidRPr="009A32ED">
        <w:rPr>
          <w:rFonts w:ascii="Times New Roman" w:hAnsi="Times New Roman"/>
          <w:sz w:val="28"/>
          <w:szCs w:val="28"/>
          <w:lang w:eastAsia="ru-RU"/>
        </w:rPr>
        <w:t>°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Доводить до метки горячие или холодные растворы нельзя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т.к. плотность жидкостей зависит от температуры и, следовательно, определяемый объ</w:t>
      </w:r>
      <w:r w:rsidR="004B57D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будет отличаться от объ</w:t>
      </w:r>
      <w:r w:rsidR="004B57D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ма, указанного на мерной колбе. Спиртовые, водно-спиртовые растворы и растворы органических растворителей доводят до метки после выдерживания их при температуре 20 </w:t>
      </w:r>
      <w:r w:rsidR="00C4577F">
        <w:rPr>
          <w:rFonts w:ascii="Times New Roman" w:eastAsia="Times New Roman" w:hAnsi="Times New Roman"/>
          <w:sz w:val="28"/>
          <w:szCs w:val="28"/>
          <w:lang w:eastAsia="ru-RU"/>
        </w:rPr>
        <w:t>°С в течение 20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мин. </w:t>
      </w:r>
    </w:p>
    <w:p w:rsidR="007F06D5" w:rsidRDefault="00C77E87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доведения уровня жидкости до метки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колбу закрывают пробкой, и, придерживая последнюю большим или указательным пальцем правой руки или ладонью, х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орошо перемешивают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полученный раствор, переворачивая колбу вверх-вниз </w:t>
      </w:r>
      <w:r w:rsidR="00C4577F">
        <w:rPr>
          <w:rFonts w:ascii="Times New Roman" w:eastAsia="Times New Roman" w:hAnsi="Times New Roman"/>
          <w:iCs/>
          <w:sz w:val="28"/>
          <w:szCs w:val="28"/>
          <w:lang w:eastAsia="ru-RU"/>
        </w:rPr>
        <w:t>не менее 7–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10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Несмотря на то, что после перемешивания уровень жидкости в мерной колбе опускается ниже кольцевой метки, т.к. часть раствора остается на пробке, д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оводить еще раз уровень жидкости до кольцевой метки после перемешивания нельзя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06D5" w:rsidRDefault="00C77E87" w:rsidP="007B36FB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нагревают растворы в мерных колбах на водяной бане (до температуры, указанной в нормативно</w:t>
      </w:r>
      <w:r w:rsidR="00C06035">
        <w:rPr>
          <w:rFonts w:ascii="Times New Roman" w:eastAsia="Times New Roman" w:hAnsi="Times New Roman"/>
          <w:sz w:val="28"/>
          <w:szCs w:val="28"/>
          <w:lang w:eastAsia="ru-RU"/>
        </w:rPr>
        <w:t>й документации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затем перед доведением раствора до метки, колбы охлаждают и выдерживают при температуре 20 </w:t>
      </w:r>
      <w:r w:rsidR="004C182F">
        <w:rPr>
          <w:rFonts w:ascii="Times New Roman" w:eastAsia="Times New Roman" w:hAnsi="Times New Roman"/>
          <w:sz w:val="28"/>
          <w:szCs w:val="28"/>
          <w:lang w:eastAsia="ru-RU"/>
        </w:rPr>
        <w:t>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в течение 20</w:t>
      </w:r>
      <w:r w:rsidR="004B57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мин.</w:t>
      </w:r>
    </w:p>
    <w:p w:rsidR="00B819A0" w:rsidRDefault="00C77E87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Мерные пипетки.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Набирают жидкость в пипетку, используя дозатор или резиновую грушу.</w:t>
      </w:r>
    </w:p>
    <w:p w:rsidR="007F06D5" w:rsidRDefault="00C77E87" w:rsidP="007B36FB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наполнения любой пипетки уровень жидкости должен быть на </w:t>
      </w:r>
      <w:r w:rsidR="00CA7E8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57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 см выше метки. Пипетку следует держать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строго вертикально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приподняв над раствором таким образом, чтобы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метка находилась на уровне глаз,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идкость выпускать по каплям, пока </w:t>
      </w:r>
      <w:r w:rsidR="009F0694">
        <w:rPr>
          <w:rFonts w:ascii="Times New Roman" w:eastAsia="Times New Roman" w:hAnsi="Times New Roman"/>
          <w:iCs/>
          <w:sz w:val="28"/>
          <w:szCs w:val="28"/>
          <w:lang w:eastAsia="ru-RU"/>
        </w:rPr>
        <w:t>край мениска раствора не совпадё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 с меткой.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Далее пипетку переносят в другой сосуд, прикасаясь е</w:t>
      </w:r>
      <w:r w:rsidR="004B57D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нижним концом к внутренней поверхности этого сосуда, и дают жидкости медленно стечь. При быстром выливании жидкости значительная часть е</w:t>
      </w:r>
      <w:r w:rsidR="004B57D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останется на стенках пипетки. 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статок жидкости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(для пипеток с одной меткой или на полный слив)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удаляют прикосновением кончика пипетки к краю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наклоненного сосуда в течение нескольких секунд,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затем слегка поворачивают пипетку вокруг оси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Остаток жидкости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пипетки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выдувать нельзя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так как этот объ</w:t>
      </w:r>
      <w:r w:rsidR="004B57D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не учитывается при градуировке мерной </w:t>
      </w:r>
      <w:r>
        <w:rPr>
          <w:rFonts w:ascii="Times New Roman" w:hAnsi="Times New Roman"/>
          <w:sz w:val="28"/>
          <w:szCs w:val="28"/>
          <w:lang w:eastAsia="ru-RU"/>
        </w:rPr>
        <w:t>лабораторн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посуды. В случае полного выливания до носика, необходимо выдержать 15 с до удаления пипетки из при</w:t>
      </w:r>
      <w:r w:rsidR="004B57D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 сосуда.</w:t>
      </w:r>
    </w:p>
    <w:p w:rsidR="001B1DEC" w:rsidRDefault="00C77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Объ</w:t>
      </w:r>
      <w:r w:rsidR="00CA7E82">
        <w:rPr>
          <w:rFonts w:ascii="Times New Roman" w:hAnsi="Times New Roman"/>
          <w:i/>
          <w:iCs/>
          <w:sz w:val="28"/>
          <w:szCs w:val="28"/>
          <w:lang w:eastAsia="ru-RU"/>
        </w:rPr>
        <w:t>ё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мные бюретки.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работы бюретку два раза промывают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водой и дважды ополаскивают раствором, который в ней будет находиться.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1DEC" w:rsidRDefault="00C77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Подготовленную к работе бюретку закрепляют вертикально в штативе, затем заполняют бюретку раствором через воронку с коротким концом, не доходящим до нулевого деления. Если бюретка имеет двухходовой кран (рис.</w:t>
      </w:r>
      <w:r w:rsidR="00162A1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4в), то заполнение проводят, присоединяя к изогнутой трубке резиновый шланг от склянки с раствором. Бюретку наполняют жидкостью на несколько миллиметров выше нулевой линии и устанавливают опускающийся мениск на этой линии. Затем раствор спускают так, чтобы он заполнил бюретку до конца носика.</w:t>
      </w:r>
    </w:p>
    <w:p w:rsidR="007F06D5" w:rsidRDefault="00C77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бюретки со стеклянным краном забор жидкости осуществляется пут</w:t>
      </w:r>
      <w:r w:rsidR="004B57D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засасывания грушей через верхнее отверстие при открытом кране.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Для удаления пузырьков воздуха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кончик бюретки с резиновой трубкой поднимают под углом, слегка открывают зажим и выпускают жидкость до тех пор,</w:t>
      </w:r>
      <w:r w:rsidR="00162A1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 весь воздух не будет удалё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</w:t>
      </w:r>
    </w:p>
    <w:p w:rsidR="007F06D5" w:rsidRDefault="00C77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Бюретку устанавливают на нуль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только после 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убедятся, что кончик бюретки заполнен раствором.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Воронку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помощью которой в бюретку наливают раствор, удаляют.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Капли, оставшиеся на воронке, могут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увеличивать объ</w:t>
      </w:r>
      <w:r w:rsidR="004B5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жидкости в бюретке, что может привести к неправильному результату анализа.</w:t>
      </w:r>
    </w:p>
    <w:p w:rsidR="007F06D5" w:rsidRDefault="00C77E87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титрования нельзя касаться носиком бюретки стенок при</w:t>
      </w:r>
      <w:r w:rsidR="004B5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сосуда. Каплю, оставшуюся на носике после завершения выливания, добавляют к вылившемуся объ</w:t>
      </w:r>
      <w:r w:rsidR="004B5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прикосновением к внутренней стороне при</w:t>
      </w:r>
      <w:r w:rsidR="004B5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много сосуда. Если для бюретки не установлено время ожидания, дожидаться стекания жидкости, оставшейся на стенках, не нужно. </w:t>
      </w:r>
    </w:p>
    <w:p w:rsidR="007F06D5" w:rsidRDefault="00C77E87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выливания не должно превышать 45 с для бюреток объ</w:t>
      </w:r>
      <w:r w:rsidR="004B5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мом 1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E52CF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(мл)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некоторых бюреток 1</w:t>
      </w:r>
      <w:r w:rsidR="00CA7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(А) класса установлено время ожидания</w:t>
      </w:r>
      <w:r w:rsidR="00CA7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длительностью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 с. Только после этого раствор в бюретке устанавливают на нулевое деление, при этом в нижней е</w:t>
      </w:r>
      <w:r w:rsidR="004B5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не должно остаться ни одного пузырька воздуха. Если они останутся, объ</w:t>
      </w:r>
      <w:r w:rsidR="004B5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жидкости, пошедш</w:t>
      </w:r>
      <w:r w:rsidR="00E52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на титрование, будет определё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 неправильно.</w:t>
      </w:r>
    </w:p>
    <w:p w:rsidR="007F06D5" w:rsidRPr="007B36FB" w:rsidRDefault="00C77E8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При заполнении объ</w:t>
      </w:r>
      <w:r w:rsidR="004B57D8">
        <w:rPr>
          <w:rFonts w:ascii="Times New Roman" w:hAnsi="Times New Roman"/>
          <w:iCs/>
          <w:sz w:val="28"/>
          <w:szCs w:val="28"/>
          <w:lang w:eastAsia="ru-RU"/>
        </w:rPr>
        <w:t>ё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мных бюреток (а также другой мерной </w:t>
      </w:r>
      <w:r>
        <w:rPr>
          <w:rFonts w:ascii="Times New Roman" w:hAnsi="Times New Roman"/>
          <w:sz w:val="28"/>
          <w:szCs w:val="28"/>
          <w:lang w:eastAsia="ru-RU"/>
        </w:rPr>
        <w:t>лабораторн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посуды) легко пенящимися жидкостями время ожидания для оседания пены должно быть длительным – до исчезновения последнего пузырька, а доведение до мениска осуществляется осторожно по стенкам заполняемого сосуда. </w:t>
      </w:r>
      <w:r>
        <w:rPr>
          <w:rFonts w:ascii="Times New Roman" w:hAnsi="Times New Roman"/>
          <w:sz w:val="28"/>
          <w:szCs w:val="28"/>
          <w:lang w:eastAsia="ru-RU"/>
        </w:rPr>
        <w:t>Местом отсч</w:t>
      </w:r>
      <w:r w:rsidR="004B57D8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та уровня раствора в бюретке всегда выбирают нижний край мениска </w:t>
      </w:r>
      <w:r w:rsidRPr="0054678C">
        <w:rPr>
          <w:rFonts w:ascii="Times New Roman" w:hAnsi="Times New Roman"/>
          <w:sz w:val="28"/>
          <w:szCs w:val="28"/>
          <w:lang w:eastAsia="ru-RU"/>
        </w:rPr>
        <w:t>(рис.</w:t>
      </w:r>
      <w:r w:rsidR="00E52CFC" w:rsidRPr="0054678C">
        <w:rPr>
          <w:rFonts w:ascii="Times New Roman" w:hAnsi="Times New Roman"/>
          <w:sz w:val="28"/>
          <w:szCs w:val="28"/>
          <w:lang w:eastAsia="ru-RU"/>
        </w:rPr>
        <w:t> </w:t>
      </w:r>
      <w:r w:rsidR="0054678C" w:rsidRPr="0054678C">
        <w:rPr>
          <w:rFonts w:ascii="Times New Roman" w:hAnsi="Times New Roman"/>
          <w:sz w:val="28"/>
          <w:szCs w:val="28"/>
          <w:lang w:eastAsia="ru-RU"/>
        </w:rPr>
        <w:t>4</w:t>
      </w:r>
      <w:r w:rsidRPr="0054678C">
        <w:rPr>
          <w:rFonts w:ascii="Times New Roman" w:hAnsi="Times New Roman"/>
          <w:sz w:val="28"/>
          <w:szCs w:val="28"/>
          <w:lang w:eastAsia="ru-RU"/>
        </w:rPr>
        <w:t xml:space="preserve">). </w:t>
      </w:r>
      <w:r>
        <w:rPr>
          <w:rFonts w:ascii="Times New Roman" w:hAnsi="Times New Roman"/>
          <w:sz w:val="28"/>
          <w:szCs w:val="28"/>
          <w:lang w:eastAsia="ru-RU"/>
        </w:rPr>
        <w:t>По этому краю и калибруют бюретку. Только в случае непрозрачных растворов (</w:t>
      </w:r>
      <w:r>
        <w:rPr>
          <w:rFonts w:ascii="Times New Roman" w:hAnsi="Times New Roman"/>
          <w:color w:val="000000"/>
          <w:sz w:val="28"/>
          <w:szCs w:val="28"/>
        </w:rPr>
        <w:t xml:space="preserve">калия перманганата </w:t>
      </w:r>
      <w:r w:rsidRPr="007B36FB">
        <w:rPr>
          <w:rFonts w:ascii="Times New Roman" w:hAnsi="Times New Roman"/>
          <w:color w:val="000000"/>
          <w:sz w:val="28"/>
          <w:szCs w:val="28"/>
        </w:rPr>
        <w:t>растворы</w:t>
      </w:r>
      <w:r w:rsidRPr="007B36FB">
        <w:rPr>
          <w:rFonts w:ascii="Times New Roman" w:hAnsi="Times New Roman"/>
          <w:sz w:val="28"/>
          <w:szCs w:val="28"/>
          <w:lang w:eastAsia="ru-RU"/>
        </w:rPr>
        <w:t>, йода растворы в растворе калия йодида и др.) необходимо делать отсч</w:t>
      </w:r>
      <w:r w:rsidR="004B57D8">
        <w:rPr>
          <w:rFonts w:ascii="Times New Roman" w:hAnsi="Times New Roman"/>
          <w:sz w:val="28"/>
          <w:szCs w:val="28"/>
          <w:lang w:eastAsia="ru-RU"/>
        </w:rPr>
        <w:t>ё</w:t>
      </w:r>
      <w:r w:rsidRPr="007B36FB">
        <w:rPr>
          <w:rFonts w:ascii="Times New Roman" w:hAnsi="Times New Roman"/>
          <w:sz w:val="28"/>
          <w:szCs w:val="28"/>
          <w:lang w:eastAsia="ru-RU"/>
        </w:rPr>
        <w:t>т по верхнему краю мениска.</w:t>
      </w:r>
    </w:p>
    <w:p w:rsidR="007F06D5" w:rsidRPr="007B36FB" w:rsidRDefault="00D37EA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бюретку с автоматическим нул</w:t>
      </w:r>
      <w:r w:rsidR="004B57D8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м раствор, подаваемый снизу через трубку, поднимается до верхнего среза отростка, избыток его будет стекать из бюретки через трубку</w:t>
      </w:r>
      <w:r w:rsidR="0054678C" w:rsidRPr="0054678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прекращения подачи раствора уровень его установится автоматически на верхнем срезе отростка. Первую метку на шкале такой бюретки обозначают 1 мл. Стеклянные краны бюреток должны быть очень слабо смазаны вазелином или сплавом ланолина с воском. Особенно опасна обильная смазка у микробюреток, поскольку она может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подниматься вверх по бюретке и, загрязняя внутреннюю поверхность е</w:t>
      </w:r>
      <w:r w:rsidR="004B57D8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, нарушает нормальное смачивание стенок бюретки раствором. </w:t>
      </w:r>
    </w:p>
    <w:p w:rsidR="007F06D5" w:rsidRPr="007B36FB" w:rsidRDefault="00D37EA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Растворы едких и углекислых щелочей держат в бюретках с зажимами, так как при хранении этих растворов в бюретках со стеклянными кранами часто происходит «заедание» кранов. Верхний конец бюретки закрывают от попадания пыли и испарения раствора маленьким стаканчиком или широкой, но короткой пробиркой.</w:t>
      </w:r>
    </w:p>
    <w:p w:rsidR="007F06D5" w:rsidRPr="007B36FB" w:rsidRDefault="00D37EAF" w:rsidP="00E52CFC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Установка мениска </w:t>
      </w:r>
    </w:p>
    <w:p w:rsidR="007F06D5" w:rsidRPr="007B36FB" w:rsidRDefault="00D37EA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Перед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каждым титрованием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нужно обязательно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установить уровень </w:t>
      </w:r>
      <w:r>
        <w:rPr>
          <w:rFonts w:ascii="Times New Roman" w:hAnsi="Times New Roman"/>
          <w:sz w:val="28"/>
          <w:szCs w:val="28"/>
          <w:lang w:eastAsia="ru-RU"/>
        </w:rPr>
        <w:t xml:space="preserve">жидкости в бюретке </w:t>
      </w:r>
      <w:r>
        <w:rPr>
          <w:rFonts w:ascii="Times New Roman" w:hAnsi="Times New Roman"/>
          <w:iCs/>
          <w:sz w:val="28"/>
          <w:szCs w:val="28"/>
          <w:lang w:eastAsia="ru-RU"/>
        </w:rPr>
        <w:t>на нулевое деление шкалы</w:t>
      </w:r>
      <w:r>
        <w:rPr>
          <w:rFonts w:ascii="Times New Roman" w:hAnsi="Times New Roman"/>
          <w:sz w:val="28"/>
          <w:szCs w:val="28"/>
          <w:lang w:eastAsia="ru-RU"/>
        </w:rPr>
        <w:t>. Отсч</w:t>
      </w:r>
      <w:r w:rsidR="004B57D8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т объ</w:t>
      </w:r>
      <w:r w:rsidR="004B57D8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ма по бюретке проводят по соответствующему краю мениска (рис.</w:t>
      </w:r>
      <w:r w:rsidR="00A334B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5), при этом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глаза наблюдателя должны находиться на уровне мениска </w:t>
      </w:r>
      <w:r>
        <w:rPr>
          <w:rFonts w:ascii="Times New Roman" w:hAnsi="Times New Roman"/>
          <w:sz w:val="28"/>
          <w:szCs w:val="28"/>
          <w:lang w:eastAsia="ru-RU"/>
        </w:rPr>
        <w:t>во избежание ошибки измерения.</w:t>
      </w:r>
    </w:p>
    <w:p w:rsidR="007F06D5" w:rsidRPr="007B36FB" w:rsidRDefault="00D37EAF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i/>
          <w:color w:val="38445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Точное определение нижнего края мениска затруднено явлением отражения, возможны погрешности и от параллакса (относительное смещение мениска вследствие перемещения глаза наблюдателя), если глаза не будут находиться точно на высоте мениска. У мерных колб и пипеток метка окружает горло или трубку целиком, </w:t>
      </w:r>
      <w:r w:rsidR="0007496C">
        <w:rPr>
          <w:rFonts w:ascii="Times New Roman" w:hAnsi="Times New Roman"/>
          <w:sz w:val="28"/>
          <w:szCs w:val="28"/>
          <w:lang w:eastAsia="ru-RU"/>
        </w:rPr>
        <w:t>что позволяет взять точный отсчё</w:t>
      </w:r>
      <w:r>
        <w:rPr>
          <w:rFonts w:ascii="Times New Roman" w:hAnsi="Times New Roman"/>
          <w:sz w:val="28"/>
          <w:szCs w:val="28"/>
          <w:lang w:eastAsia="ru-RU"/>
        </w:rPr>
        <w:t>т. У бюреток же метка занимает только часть окружности трубки. Поэтому для правильного отсч</w:t>
      </w:r>
      <w:r w:rsidR="0007496C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та уровня раствора в бюретке применяют разные приспособления. Например, держат позади бюретки кусок белого картона или матовую стеклянную пластинку, либо надевают на бюретку бумажную рамочку.</w:t>
      </w:r>
    </w:p>
    <w:sectPr w:rsidR="007F06D5" w:rsidRPr="007B36FB" w:rsidSect="009057E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21" w:rsidRDefault="00C32421">
      <w:pPr>
        <w:spacing w:after="0" w:line="240" w:lineRule="auto"/>
      </w:pPr>
      <w:r>
        <w:separator/>
      </w:r>
    </w:p>
  </w:endnote>
  <w:endnote w:type="continuationSeparator" w:id="0">
    <w:p w:rsidR="00C32421" w:rsidRDefault="00C3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86" w:rsidRDefault="009A76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2203"/>
      <w:docPartObj>
        <w:docPartGallery w:val="Page Numbers (Bottom of Page)"/>
        <w:docPartUnique/>
      </w:docPartObj>
    </w:sdtPr>
    <w:sdtEndPr/>
    <w:sdtContent>
      <w:p w:rsidR="009A7686" w:rsidRPr="00B96735" w:rsidRDefault="009A7686" w:rsidP="00244C4B">
        <w:pPr>
          <w:pStyle w:val="a6"/>
          <w:spacing w:after="0" w:line="240" w:lineRule="auto"/>
          <w:jc w:val="center"/>
        </w:pPr>
        <w:r w:rsidRPr="00B96735">
          <w:rPr>
            <w:rFonts w:ascii="Times New Roman" w:hAnsi="Times New Roman"/>
            <w:sz w:val="28"/>
            <w:szCs w:val="28"/>
          </w:rPr>
          <w:fldChar w:fldCharType="begin"/>
        </w:r>
        <w:r w:rsidRPr="00B9673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96735">
          <w:rPr>
            <w:rFonts w:ascii="Times New Roman" w:hAnsi="Times New Roman"/>
            <w:sz w:val="28"/>
            <w:szCs w:val="28"/>
          </w:rPr>
          <w:fldChar w:fldCharType="separate"/>
        </w:r>
        <w:r w:rsidR="0033591D">
          <w:rPr>
            <w:rFonts w:ascii="Times New Roman" w:hAnsi="Times New Roman"/>
            <w:noProof/>
            <w:sz w:val="28"/>
            <w:szCs w:val="28"/>
          </w:rPr>
          <w:t>2</w:t>
        </w:r>
        <w:r w:rsidRPr="00B967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86" w:rsidRPr="00244C4B" w:rsidRDefault="009A7686" w:rsidP="00244C4B">
    <w:pPr>
      <w:pStyle w:val="a6"/>
      <w:spacing w:after="0" w:line="240" w:lineRule="auto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21" w:rsidRDefault="00C32421">
      <w:pPr>
        <w:spacing w:after="0" w:line="240" w:lineRule="auto"/>
      </w:pPr>
      <w:r>
        <w:separator/>
      </w:r>
    </w:p>
  </w:footnote>
  <w:footnote w:type="continuationSeparator" w:id="0">
    <w:p w:rsidR="00C32421" w:rsidRDefault="00C3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86" w:rsidRDefault="009A76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86" w:rsidRPr="00244C4B" w:rsidRDefault="009A7686" w:rsidP="00244C4B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86" w:rsidRPr="00244C4B" w:rsidRDefault="009A7686" w:rsidP="00244C4B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39BA"/>
    <w:multiLevelType w:val="multilevel"/>
    <w:tmpl w:val="C7965324"/>
    <w:lvl w:ilvl="0">
      <w:start w:val="1"/>
      <w:numFmt w:val="decimal"/>
      <w:lvlText w:val="7.%1"/>
      <w:lvlJc w:val="left"/>
      <w:pPr>
        <w:ind w:left="90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">
    <w:nsid w:val="192C6CDE"/>
    <w:multiLevelType w:val="multilevel"/>
    <w:tmpl w:val="94E6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D7C98"/>
    <w:multiLevelType w:val="multilevel"/>
    <w:tmpl w:val="40A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65B28"/>
    <w:multiLevelType w:val="multilevel"/>
    <w:tmpl w:val="174AEB3E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6.5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5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244BAF"/>
    <w:multiLevelType w:val="multilevel"/>
    <w:tmpl w:val="79D0BF80"/>
    <w:lvl w:ilvl="0">
      <w:start w:val="1"/>
      <w:numFmt w:val="decimal"/>
      <w:lvlText w:val="7.%1"/>
      <w:lvlJc w:val="left"/>
      <w:pPr>
        <w:ind w:left="2062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5">
    <w:nsid w:val="3C9A203A"/>
    <w:multiLevelType w:val="multilevel"/>
    <w:tmpl w:val="160E5918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none"/>
      <w:isLgl/>
      <w:lvlText w:val="6.8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8.%3.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6D1688"/>
    <w:multiLevelType w:val="multilevel"/>
    <w:tmpl w:val="9C6C80EE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6.4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4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7F40DD4"/>
    <w:multiLevelType w:val="multilevel"/>
    <w:tmpl w:val="F1981F64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6.6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6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F44EB7"/>
    <w:multiLevelType w:val="multilevel"/>
    <w:tmpl w:val="5D82AAEE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none"/>
      <w:isLgl/>
      <w:lvlText w:val="6.7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7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E2E66A7"/>
    <w:multiLevelType w:val="multilevel"/>
    <w:tmpl w:val="7822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5177F"/>
    <w:multiLevelType w:val="multilevel"/>
    <w:tmpl w:val="6DE8D358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none"/>
      <w:isLgl/>
      <w:lvlText w:val="6.9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9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6F3945"/>
    <w:multiLevelType w:val="multilevel"/>
    <w:tmpl w:val="E8FCB6F0"/>
    <w:lvl w:ilvl="0">
      <w:start w:val="1"/>
      <w:numFmt w:val="decimal"/>
      <w:lvlText w:val="7.%1"/>
      <w:lvlJc w:val="left"/>
      <w:pPr>
        <w:ind w:left="90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2">
    <w:nsid w:val="6ECB3719"/>
    <w:multiLevelType w:val="hybridMultilevel"/>
    <w:tmpl w:val="EBC6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6D5"/>
    <w:rsid w:val="00002391"/>
    <w:rsid w:val="000137B9"/>
    <w:rsid w:val="0004434B"/>
    <w:rsid w:val="000445BE"/>
    <w:rsid w:val="000513A4"/>
    <w:rsid w:val="0006045C"/>
    <w:rsid w:val="00064ED4"/>
    <w:rsid w:val="00071DF9"/>
    <w:rsid w:val="0007496C"/>
    <w:rsid w:val="00077208"/>
    <w:rsid w:val="0009296D"/>
    <w:rsid w:val="000A38F1"/>
    <w:rsid w:val="000B1686"/>
    <w:rsid w:val="000C377E"/>
    <w:rsid w:val="000D7A12"/>
    <w:rsid w:val="000E3B92"/>
    <w:rsid w:val="000E502C"/>
    <w:rsid w:val="0010041B"/>
    <w:rsid w:val="00120124"/>
    <w:rsid w:val="001344F9"/>
    <w:rsid w:val="001403DF"/>
    <w:rsid w:val="001435CF"/>
    <w:rsid w:val="00147727"/>
    <w:rsid w:val="001508E3"/>
    <w:rsid w:val="00153CFD"/>
    <w:rsid w:val="00161FBD"/>
    <w:rsid w:val="00162A10"/>
    <w:rsid w:val="00167705"/>
    <w:rsid w:val="00170FAF"/>
    <w:rsid w:val="001A0DAC"/>
    <w:rsid w:val="001A7E03"/>
    <w:rsid w:val="001B166B"/>
    <w:rsid w:val="001B1DEC"/>
    <w:rsid w:val="001F7066"/>
    <w:rsid w:val="00244C4B"/>
    <w:rsid w:val="00255A9C"/>
    <w:rsid w:val="00265BB2"/>
    <w:rsid w:val="0027730B"/>
    <w:rsid w:val="00286542"/>
    <w:rsid w:val="002911FA"/>
    <w:rsid w:val="002C1CE2"/>
    <w:rsid w:val="002C7C33"/>
    <w:rsid w:val="003250D2"/>
    <w:rsid w:val="0033591D"/>
    <w:rsid w:val="003940CD"/>
    <w:rsid w:val="00396D9F"/>
    <w:rsid w:val="003A7D0A"/>
    <w:rsid w:val="003C412F"/>
    <w:rsid w:val="003C7FCE"/>
    <w:rsid w:val="003D2E1E"/>
    <w:rsid w:val="003E642C"/>
    <w:rsid w:val="004217C8"/>
    <w:rsid w:val="00434523"/>
    <w:rsid w:val="004702F4"/>
    <w:rsid w:val="00497B90"/>
    <w:rsid w:val="004A49A3"/>
    <w:rsid w:val="004B011A"/>
    <w:rsid w:val="004B27DE"/>
    <w:rsid w:val="004B57D8"/>
    <w:rsid w:val="004C182F"/>
    <w:rsid w:val="004C50E6"/>
    <w:rsid w:val="004E2048"/>
    <w:rsid w:val="00500E5B"/>
    <w:rsid w:val="00502DEC"/>
    <w:rsid w:val="00504E19"/>
    <w:rsid w:val="005145DF"/>
    <w:rsid w:val="00521F73"/>
    <w:rsid w:val="005337CE"/>
    <w:rsid w:val="0054678C"/>
    <w:rsid w:val="005D25FA"/>
    <w:rsid w:val="005D2E70"/>
    <w:rsid w:val="005F2BDE"/>
    <w:rsid w:val="00624166"/>
    <w:rsid w:val="00631FD3"/>
    <w:rsid w:val="006648CE"/>
    <w:rsid w:val="00677223"/>
    <w:rsid w:val="00683375"/>
    <w:rsid w:val="0068523B"/>
    <w:rsid w:val="00696DF9"/>
    <w:rsid w:val="006C3367"/>
    <w:rsid w:val="006C3D2F"/>
    <w:rsid w:val="006D11E3"/>
    <w:rsid w:val="006E784E"/>
    <w:rsid w:val="006E7FAC"/>
    <w:rsid w:val="0074703F"/>
    <w:rsid w:val="0077133B"/>
    <w:rsid w:val="00784B54"/>
    <w:rsid w:val="007B36FB"/>
    <w:rsid w:val="007C357F"/>
    <w:rsid w:val="007F06D5"/>
    <w:rsid w:val="00825255"/>
    <w:rsid w:val="00842879"/>
    <w:rsid w:val="00882559"/>
    <w:rsid w:val="00891282"/>
    <w:rsid w:val="008A2598"/>
    <w:rsid w:val="008A4C73"/>
    <w:rsid w:val="008E5F24"/>
    <w:rsid w:val="0090136E"/>
    <w:rsid w:val="009057ED"/>
    <w:rsid w:val="00917323"/>
    <w:rsid w:val="00936FAE"/>
    <w:rsid w:val="009433AC"/>
    <w:rsid w:val="00984A8D"/>
    <w:rsid w:val="00992E81"/>
    <w:rsid w:val="009A32ED"/>
    <w:rsid w:val="009A6898"/>
    <w:rsid w:val="009A7686"/>
    <w:rsid w:val="009B7B62"/>
    <w:rsid w:val="009C4230"/>
    <w:rsid w:val="009D4391"/>
    <w:rsid w:val="009D5CD1"/>
    <w:rsid w:val="009E4940"/>
    <w:rsid w:val="009E7E73"/>
    <w:rsid w:val="009F0694"/>
    <w:rsid w:val="009F3845"/>
    <w:rsid w:val="00A06322"/>
    <w:rsid w:val="00A1703E"/>
    <w:rsid w:val="00A334B2"/>
    <w:rsid w:val="00A37853"/>
    <w:rsid w:val="00A51816"/>
    <w:rsid w:val="00A520FE"/>
    <w:rsid w:val="00A65EEC"/>
    <w:rsid w:val="00A7798D"/>
    <w:rsid w:val="00A9546C"/>
    <w:rsid w:val="00AA01E1"/>
    <w:rsid w:val="00AB13A6"/>
    <w:rsid w:val="00AD791F"/>
    <w:rsid w:val="00AE3955"/>
    <w:rsid w:val="00B42C0F"/>
    <w:rsid w:val="00B518A6"/>
    <w:rsid w:val="00B7520B"/>
    <w:rsid w:val="00B819A0"/>
    <w:rsid w:val="00B924FF"/>
    <w:rsid w:val="00B96735"/>
    <w:rsid w:val="00BB6835"/>
    <w:rsid w:val="00BC31C5"/>
    <w:rsid w:val="00BD10D9"/>
    <w:rsid w:val="00BF22EB"/>
    <w:rsid w:val="00BF4C17"/>
    <w:rsid w:val="00C06035"/>
    <w:rsid w:val="00C32421"/>
    <w:rsid w:val="00C4577F"/>
    <w:rsid w:val="00C4730D"/>
    <w:rsid w:val="00C57258"/>
    <w:rsid w:val="00C579EE"/>
    <w:rsid w:val="00C77E87"/>
    <w:rsid w:val="00C80609"/>
    <w:rsid w:val="00C96E89"/>
    <w:rsid w:val="00CA7CD4"/>
    <w:rsid w:val="00CA7E82"/>
    <w:rsid w:val="00D06A36"/>
    <w:rsid w:val="00D1352B"/>
    <w:rsid w:val="00D2643A"/>
    <w:rsid w:val="00D37EAF"/>
    <w:rsid w:val="00D43BE9"/>
    <w:rsid w:val="00D80239"/>
    <w:rsid w:val="00DA0A20"/>
    <w:rsid w:val="00DA1370"/>
    <w:rsid w:val="00DD2D22"/>
    <w:rsid w:val="00DD629C"/>
    <w:rsid w:val="00DF4156"/>
    <w:rsid w:val="00E035B4"/>
    <w:rsid w:val="00E16822"/>
    <w:rsid w:val="00E27AFD"/>
    <w:rsid w:val="00E47EF1"/>
    <w:rsid w:val="00E52CFC"/>
    <w:rsid w:val="00E67477"/>
    <w:rsid w:val="00E857C7"/>
    <w:rsid w:val="00EB433E"/>
    <w:rsid w:val="00EC5475"/>
    <w:rsid w:val="00EF213F"/>
    <w:rsid w:val="00F066D6"/>
    <w:rsid w:val="00F12789"/>
    <w:rsid w:val="00F4207C"/>
    <w:rsid w:val="00F726C3"/>
    <w:rsid w:val="00F85FFF"/>
    <w:rsid w:val="00F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C8CE54A-0BB6-458F-B4C4-15C45B85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F06D5"/>
    <w:pPr>
      <w:spacing w:after="0" w:line="240" w:lineRule="auto"/>
      <w:outlineLvl w:val="1"/>
    </w:pPr>
    <w:rPr>
      <w:rFonts w:ascii="Arial" w:eastAsia="Times New Roman" w:hAnsi="Arial"/>
      <w:color w:val="000000"/>
      <w:sz w:val="23"/>
      <w:szCs w:val="2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6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F06D5"/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7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0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06D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F0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F06D5"/>
    <w:rPr>
      <w:sz w:val="22"/>
      <w:szCs w:val="22"/>
      <w:lang w:eastAsia="en-US"/>
    </w:rPr>
  </w:style>
  <w:style w:type="character" w:styleId="a8">
    <w:name w:val="Strong"/>
    <w:uiPriority w:val="22"/>
    <w:qFormat/>
    <w:rsid w:val="007F06D5"/>
    <w:rPr>
      <w:b/>
      <w:bCs/>
    </w:rPr>
  </w:style>
  <w:style w:type="paragraph" w:customStyle="1" w:styleId="imgleft1">
    <w:name w:val="img_left1"/>
    <w:basedOn w:val="a"/>
    <w:rsid w:val="007F06D5"/>
    <w:pPr>
      <w:spacing w:before="75" w:after="225" w:line="360" w:lineRule="atLeast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ommentimg1">
    <w:name w:val="komment_img1"/>
    <w:basedOn w:val="a"/>
    <w:rsid w:val="007F06D5"/>
    <w:pPr>
      <w:spacing w:before="75" w:after="225" w:line="360" w:lineRule="atLeast"/>
    </w:pPr>
    <w:rPr>
      <w:rFonts w:ascii="Verdana" w:eastAsia="Times New Roman" w:hAnsi="Verdana"/>
      <w:sz w:val="18"/>
      <w:szCs w:val="18"/>
      <w:lang w:eastAsia="ru-RU"/>
    </w:rPr>
  </w:style>
  <w:style w:type="character" w:styleId="a9">
    <w:name w:val="Emphasis"/>
    <w:uiPriority w:val="20"/>
    <w:qFormat/>
    <w:rsid w:val="007F06D5"/>
    <w:rPr>
      <w:i/>
      <w:iCs/>
    </w:rPr>
  </w:style>
  <w:style w:type="paragraph" w:styleId="aa">
    <w:name w:val="List Paragraph"/>
    <w:basedOn w:val="a"/>
    <w:link w:val="ab"/>
    <w:uiPriority w:val="34"/>
    <w:qFormat/>
    <w:rsid w:val="007F06D5"/>
    <w:pPr>
      <w:ind w:left="720"/>
      <w:contextualSpacing/>
    </w:pPr>
  </w:style>
  <w:style w:type="paragraph" w:customStyle="1" w:styleId="formattext">
    <w:name w:val="formattext"/>
    <w:basedOn w:val="a"/>
    <w:rsid w:val="007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7F06D5"/>
  </w:style>
  <w:style w:type="paragraph" w:styleId="ac">
    <w:name w:val="Body Text Indent"/>
    <w:basedOn w:val="a"/>
    <w:link w:val="ad"/>
    <w:rsid w:val="007F06D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7F06D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7F06D5"/>
    <w:pPr>
      <w:shd w:val="clear" w:color="auto" w:fill="FFFFFF"/>
      <w:spacing w:before="19" w:after="0" w:line="312" w:lineRule="exact"/>
      <w:ind w:left="82" w:firstLine="142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7F06D5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b">
    <w:name w:val="Абзац списка Знак"/>
    <w:link w:val="aa"/>
    <w:uiPriority w:val="34"/>
    <w:locked/>
    <w:rsid w:val="007F06D5"/>
    <w:rPr>
      <w:sz w:val="22"/>
      <w:szCs w:val="22"/>
      <w:lang w:eastAsia="en-US"/>
    </w:rPr>
  </w:style>
  <w:style w:type="paragraph" w:styleId="ae">
    <w:name w:val="No Spacing"/>
    <w:uiPriority w:val="1"/>
    <w:qFormat/>
    <w:rsid w:val="007F06D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7F06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">
    <w:name w:val="Body Text"/>
    <w:basedOn w:val="a"/>
    <w:link w:val="af0"/>
    <w:semiHidden/>
    <w:unhideWhenUsed/>
    <w:rsid w:val="007F06D5"/>
    <w:pPr>
      <w:spacing w:after="120"/>
    </w:pPr>
    <w:rPr>
      <w:rFonts w:eastAsia="Times New Roman"/>
    </w:rPr>
  </w:style>
  <w:style w:type="character" w:customStyle="1" w:styleId="af0">
    <w:name w:val="Основной текст Знак"/>
    <w:link w:val="af"/>
    <w:semiHidden/>
    <w:rsid w:val="007F06D5"/>
    <w:rPr>
      <w:rFonts w:eastAsia="Times New Roman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F06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F06D5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7F06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7F0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E857C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857C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857C7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857C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857C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170">
              <w:marLeft w:val="600"/>
              <w:marRight w:val="105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558">
              <w:marLeft w:val="600"/>
              <w:marRight w:val="105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126">
              <w:marLeft w:val="600"/>
              <w:marRight w:val="105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2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9158B-3FF9-44D6-9226-8C40CFF4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18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Gernikova</dc:creator>
  <cp:lastModifiedBy>Болобан Екатерина Александровна</cp:lastModifiedBy>
  <cp:revision>88</cp:revision>
  <cp:lastPrinted>2023-07-11T06:08:00Z</cp:lastPrinted>
  <dcterms:created xsi:type="dcterms:W3CDTF">2022-04-22T11:12:00Z</dcterms:created>
  <dcterms:modified xsi:type="dcterms:W3CDTF">2023-07-12T06:38:00Z</dcterms:modified>
</cp:coreProperties>
</file>