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8E" w:rsidRPr="00473CC5" w:rsidRDefault="00C0198E" w:rsidP="00C019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</w:pPr>
      <w:r w:rsidRPr="00473CC5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C0198E" w:rsidRPr="00473CC5" w:rsidRDefault="00C0198E" w:rsidP="00C0198E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98E" w:rsidRPr="00473CC5" w:rsidRDefault="00C0198E" w:rsidP="00C0198E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98E" w:rsidRPr="00473CC5" w:rsidRDefault="00C0198E" w:rsidP="00C0198E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98E" w:rsidRPr="00473CC5" w:rsidRDefault="00C0198E" w:rsidP="00C01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C5">
        <w:rPr>
          <w:rFonts w:ascii="Times New Roman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198E" w:rsidRPr="00473CC5" w:rsidTr="001E6801">
        <w:tc>
          <w:tcPr>
            <w:tcW w:w="9356" w:type="dxa"/>
          </w:tcPr>
          <w:p w:rsidR="00C0198E" w:rsidRPr="00473CC5" w:rsidRDefault="00C0198E" w:rsidP="001E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98E" w:rsidRPr="00473CC5" w:rsidRDefault="00C0198E" w:rsidP="00C0198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C0198E" w:rsidRPr="00473CC5" w:rsidTr="001E6801">
        <w:tc>
          <w:tcPr>
            <w:tcW w:w="5495" w:type="dxa"/>
          </w:tcPr>
          <w:p w:rsidR="00C0198E" w:rsidRPr="00473CC5" w:rsidRDefault="00C0198E" w:rsidP="001E68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Масс-спектрометрия с индуктивно связанной плазмой</w:t>
            </w:r>
          </w:p>
        </w:tc>
        <w:tc>
          <w:tcPr>
            <w:tcW w:w="283" w:type="dxa"/>
          </w:tcPr>
          <w:p w:rsidR="00C0198E" w:rsidRPr="00473CC5" w:rsidRDefault="00C0198E" w:rsidP="001E68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0198E" w:rsidRPr="00473CC5" w:rsidRDefault="00C0198E" w:rsidP="001E68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3CC5"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7E7A85">
              <w:rPr>
                <w:rFonts w:ascii="Times New Roman" w:hAnsi="Times New Roman" w:cs="Times New Roman"/>
                <w:b/>
                <w:sz w:val="28"/>
                <w:szCs w:val="28"/>
              </w:rPr>
              <w:t>.1.2.1.1.0015</w:t>
            </w:r>
          </w:p>
        </w:tc>
      </w:tr>
      <w:tr w:rsidR="00C0198E" w:rsidRPr="00473CC5" w:rsidTr="001E6801">
        <w:tc>
          <w:tcPr>
            <w:tcW w:w="5495" w:type="dxa"/>
          </w:tcPr>
          <w:p w:rsidR="00C0198E" w:rsidRPr="00473CC5" w:rsidRDefault="00C0198E" w:rsidP="001E68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C0198E" w:rsidRPr="00473CC5" w:rsidRDefault="00C0198E" w:rsidP="001E68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C0198E" w:rsidRPr="00473CC5" w:rsidRDefault="00C0198E" w:rsidP="001E68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0198E" w:rsidRPr="00473CC5" w:rsidRDefault="00C0198E" w:rsidP="00C0198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198E" w:rsidRPr="00473CC5" w:rsidTr="001E6801">
        <w:tc>
          <w:tcPr>
            <w:tcW w:w="9356" w:type="dxa"/>
          </w:tcPr>
          <w:p w:rsidR="00C0198E" w:rsidRPr="00473CC5" w:rsidRDefault="00C0198E" w:rsidP="001E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ED" w:rsidRDefault="001568ED" w:rsidP="00644AC1">
      <w:pPr>
        <w:pStyle w:val="a7"/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577D7A" w:rsidRDefault="00644AC1" w:rsidP="00644AC1">
      <w:pPr>
        <w:pStyle w:val="a7"/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Масс-спектрометрия с индуктивно связанной плазмой (ИСП-МС) </w:t>
      </w:r>
      <w:r w:rsidRPr="00644AC1">
        <w:rPr>
          <w:rFonts w:eastAsia="Times New Roman"/>
          <w:sz w:val="28"/>
          <w:szCs w:val="28"/>
          <w:lang w:eastAsia="ru-RU"/>
        </w:rPr>
        <w:t>представляет собой масс-спектрометрический метод, в котором в качестве источника ионизации</w:t>
      </w:r>
      <w:r w:rsidR="00375D15">
        <w:rPr>
          <w:rFonts w:eastAsia="Times New Roman"/>
          <w:sz w:val="28"/>
          <w:szCs w:val="28"/>
          <w:lang w:eastAsia="ru-RU"/>
        </w:rPr>
        <w:t xml:space="preserve"> атомов используется </w:t>
      </w:r>
      <w:bookmarkStart w:id="0" w:name="_GoBack"/>
      <w:bookmarkEnd w:id="0"/>
      <w:r w:rsidR="00375D15">
        <w:rPr>
          <w:rFonts w:eastAsia="Times New Roman"/>
          <w:sz w:val="28"/>
          <w:szCs w:val="28"/>
          <w:lang w:eastAsia="ru-RU"/>
        </w:rPr>
        <w:t xml:space="preserve">индуктивно </w:t>
      </w:r>
      <w:r w:rsidRPr="00644AC1">
        <w:rPr>
          <w:rFonts w:eastAsia="Times New Roman"/>
          <w:sz w:val="28"/>
          <w:szCs w:val="28"/>
          <w:lang w:eastAsia="ru-RU"/>
        </w:rPr>
        <w:t>связанная плазма (ИСП).</w:t>
      </w:r>
      <w:r w:rsidRPr="00644AC1">
        <w:rPr>
          <w:rFonts w:eastAsia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644AC1">
        <w:rPr>
          <w:rFonts w:eastAsia="Times New Roman"/>
          <w:sz w:val="28"/>
          <w:szCs w:val="28"/>
          <w:lang w:eastAsia="ru-RU"/>
        </w:rPr>
        <w:t xml:space="preserve">Данный метод основан на прямом измерении отношений массы к заряду </w:t>
      </w:r>
      <w:r w:rsidRPr="00C02CA4">
        <w:rPr>
          <w:rFonts w:eastAsia="Times New Roman"/>
          <w:sz w:val="28"/>
          <w:szCs w:val="28"/>
          <w:lang w:eastAsia="ru-RU"/>
        </w:rPr>
        <w:t>(m/z)</w:t>
      </w:r>
      <w:r w:rsidRPr="00644AC1">
        <w:rPr>
          <w:rFonts w:eastAsia="Times New Roman"/>
          <w:sz w:val="28"/>
          <w:szCs w:val="28"/>
          <w:lang w:eastAsia="ru-RU"/>
        </w:rPr>
        <w:t xml:space="preserve"> элементарных положительно заряженных ионов, полученных из анализируемого вещества в газовой фазе.</w:t>
      </w:r>
    </w:p>
    <w:p w:rsidR="00577D7A" w:rsidRPr="00577D7A" w:rsidRDefault="00577D7A" w:rsidP="00A67CEA">
      <w:pPr>
        <w:pStyle w:val="a7"/>
        <w:shd w:val="clear" w:color="auto" w:fill="FFFFFF"/>
        <w:spacing w:before="240" w:after="0" w:line="36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D273CB">
        <w:rPr>
          <w:rFonts w:eastAsia="Times New Roman"/>
          <w:b/>
          <w:sz w:val="28"/>
          <w:szCs w:val="28"/>
          <w:lang w:eastAsia="ru-RU"/>
        </w:rPr>
        <w:t>Область применения</w:t>
      </w:r>
    </w:p>
    <w:p w:rsidR="00644AC1" w:rsidRPr="00644AC1" w:rsidRDefault="00577D7A" w:rsidP="00644AC1">
      <w:pPr>
        <w:pStyle w:val="a7"/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Метод </w:t>
      </w:r>
      <w:r w:rsidR="00644AC1" w:rsidRPr="00644AC1">
        <w:rPr>
          <w:rFonts w:eastAsia="Times New Roman"/>
          <w:sz w:val="28"/>
          <w:szCs w:val="28"/>
          <w:lang w:eastAsia="ru-RU"/>
        </w:rPr>
        <w:t xml:space="preserve">ИСП-МС </w:t>
      </w:r>
      <w:r>
        <w:rPr>
          <w:rFonts w:eastAsia="Times New Roman"/>
          <w:sz w:val="28"/>
          <w:szCs w:val="28"/>
          <w:lang w:eastAsia="ru-RU"/>
        </w:rPr>
        <w:t>применяется</w:t>
      </w:r>
      <w:r w:rsidR="00644AC1" w:rsidRPr="00644AC1">
        <w:rPr>
          <w:rFonts w:eastAsia="Times New Roman"/>
          <w:sz w:val="28"/>
          <w:szCs w:val="28"/>
          <w:lang w:eastAsia="ru-RU"/>
        </w:rPr>
        <w:t xml:space="preserve"> для качественного и количественного элементного анализа лекарственных средств и их примесей. </w:t>
      </w:r>
      <w:r w:rsidR="0011407B">
        <w:rPr>
          <w:rFonts w:eastAsia="Times New Roman"/>
          <w:sz w:val="28"/>
          <w:szCs w:val="28"/>
          <w:lang w:eastAsia="ru-RU"/>
        </w:rPr>
        <w:t>Данным методом возможно провести количественное определение более 70 элементов</w:t>
      </w:r>
      <w:r w:rsidR="00EB354C">
        <w:rPr>
          <w:rFonts w:eastAsia="Times New Roman"/>
          <w:sz w:val="28"/>
          <w:szCs w:val="28"/>
          <w:lang w:eastAsia="ru-RU"/>
        </w:rPr>
        <w:t xml:space="preserve"> (аналитов)</w:t>
      </w:r>
      <w:r w:rsidR="0011407B">
        <w:rPr>
          <w:rFonts w:eastAsia="Times New Roman"/>
          <w:sz w:val="28"/>
          <w:szCs w:val="28"/>
          <w:lang w:eastAsia="ru-RU"/>
        </w:rPr>
        <w:t xml:space="preserve"> с пределами измерения от 10</w:t>
      </w:r>
      <w:r w:rsidR="0017437C">
        <w:rPr>
          <w:rFonts w:eastAsia="Times New Roman"/>
          <w:sz w:val="28"/>
          <w:szCs w:val="28"/>
          <w:lang w:eastAsia="ru-RU"/>
        </w:rPr>
        <w:t>000 </w:t>
      </w:r>
      <w:r w:rsidR="0017437C">
        <w:rPr>
          <w:rFonts w:eastAsia="Times New Roman"/>
          <w:sz w:val="28"/>
          <w:szCs w:val="28"/>
          <w:lang w:val="en-US" w:eastAsia="ru-RU"/>
        </w:rPr>
        <w:t>ppm</w:t>
      </w:r>
      <w:r w:rsidR="0017437C" w:rsidRPr="0017437C">
        <w:rPr>
          <w:rFonts w:eastAsia="Times New Roman"/>
          <w:sz w:val="28"/>
          <w:szCs w:val="28"/>
          <w:lang w:eastAsia="ru-RU"/>
        </w:rPr>
        <w:t xml:space="preserve"> </w:t>
      </w:r>
      <w:r w:rsidR="0017437C" w:rsidRPr="00E10B4F">
        <w:rPr>
          <w:rFonts w:eastAsia="Times New Roman"/>
          <w:sz w:val="28"/>
          <w:szCs w:val="28"/>
          <w:lang w:eastAsia="ru-RU"/>
        </w:rPr>
        <w:t>(</w:t>
      </w:r>
      <w:r w:rsidR="0017437C" w:rsidRPr="00E10B4F">
        <w:rPr>
          <w:rFonts w:eastAsia="Times New Roman"/>
          <w:sz w:val="28"/>
          <w:szCs w:val="28"/>
          <w:lang w:val="en-US" w:eastAsia="ru-RU"/>
        </w:rPr>
        <w:t>parts</w:t>
      </w:r>
      <w:r w:rsidR="0017437C" w:rsidRPr="00E10B4F">
        <w:rPr>
          <w:rFonts w:eastAsia="Times New Roman"/>
          <w:sz w:val="28"/>
          <w:szCs w:val="28"/>
          <w:lang w:eastAsia="ru-RU"/>
        </w:rPr>
        <w:t xml:space="preserve"> </w:t>
      </w:r>
      <w:r w:rsidR="0017437C" w:rsidRPr="00E10B4F">
        <w:rPr>
          <w:rFonts w:eastAsia="Times New Roman"/>
          <w:sz w:val="28"/>
          <w:szCs w:val="28"/>
          <w:lang w:val="en-US" w:eastAsia="ru-RU"/>
        </w:rPr>
        <w:t>per</w:t>
      </w:r>
      <w:r w:rsidR="0017437C" w:rsidRPr="00E10B4F">
        <w:rPr>
          <w:rFonts w:eastAsia="Times New Roman"/>
          <w:sz w:val="28"/>
          <w:szCs w:val="28"/>
          <w:lang w:eastAsia="ru-RU"/>
        </w:rPr>
        <w:t xml:space="preserve"> </w:t>
      </w:r>
      <w:r w:rsidR="0017437C" w:rsidRPr="00E10B4F">
        <w:rPr>
          <w:rFonts w:eastAsia="Times New Roman"/>
          <w:sz w:val="28"/>
          <w:szCs w:val="28"/>
          <w:lang w:val="en-US" w:eastAsia="ru-RU"/>
        </w:rPr>
        <w:t>million</w:t>
      </w:r>
      <w:r w:rsidR="0017437C" w:rsidRPr="00E10B4F">
        <w:rPr>
          <w:rFonts w:eastAsia="Times New Roman"/>
          <w:sz w:val="28"/>
          <w:szCs w:val="28"/>
          <w:lang w:eastAsia="ru-RU"/>
        </w:rPr>
        <w:t>)</w:t>
      </w:r>
      <w:r w:rsidR="0011407B" w:rsidRPr="00E10B4F">
        <w:rPr>
          <w:rFonts w:eastAsia="Times New Roman"/>
          <w:sz w:val="28"/>
          <w:szCs w:val="28"/>
          <w:lang w:eastAsia="ru-RU"/>
        </w:rPr>
        <w:t xml:space="preserve"> до 0,1 </w:t>
      </w:r>
      <w:r w:rsidR="0011407B" w:rsidRPr="00E10B4F">
        <w:rPr>
          <w:rFonts w:eastAsia="Times New Roman"/>
          <w:sz w:val="28"/>
          <w:szCs w:val="28"/>
          <w:lang w:val="en-US" w:eastAsia="ru-RU"/>
        </w:rPr>
        <w:t>ppt</w:t>
      </w:r>
      <w:r w:rsidR="0011407B" w:rsidRPr="00E10B4F">
        <w:rPr>
          <w:rFonts w:eastAsia="Times New Roman"/>
          <w:sz w:val="28"/>
          <w:szCs w:val="28"/>
          <w:lang w:eastAsia="ru-RU"/>
        </w:rPr>
        <w:t xml:space="preserve"> (</w:t>
      </w:r>
      <w:r w:rsidR="0011407B" w:rsidRPr="00E10B4F">
        <w:rPr>
          <w:rFonts w:eastAsia="Times New Roman"/>
          <w:sz w:val="28"/>
          <w:szCs w:val="28"/>
          <w:lang w:val="en-US" w:eastAsia="ru-RU"/>
        </w:rPr>
        <w:t>parts</w:t>
      </w:r>
      <w:r w:rsidR="0011407B" w:rsidRPr="00E10B4F">
        <w:rPr>
          <w:rFonts w:eastAsia="Times New Roman"/>
          <w:sz w:val="28"/>
          <w:szCs w:val="28"/>
          <w:lang w:eastAsia="ru-RU"/>
        </w:rPr>
        <w:t xml:space="preserve"> </w:t>
      </w:r>
      <w:r w:rsidR="0011407B" w:rsidRPr="00E10B4F">
        <w:rPr>
          <w:rFonts w:eastAsia="Times New Roman"/>
          <w:sz w:val="28"/>
          <w:szCs w:val="28"/>
          <w:lang w:val="en-US" w:eastAsia="ru-RU"/>
        </w:rPr>
        <w:t>per</w:t>
      </w:r>
      <w:r w:rsidR="0011407B" w:rsidRPr="00E10B4F">
        <w:rPr>
          <w:rFonts w:eastAsia="Times New Roman"/>
          <w:sz w:val="28"/>
          <w:szCs w:val="28"/>
          <w:lang w:eastAsia="ru-RU"/>
        </w:rPr>
        <w:t xml:space="preserve"> </w:t>
      </w:r>
      <w:r w:rsidR="0011407B" w:rsidRPr="00E10B4F">
        <w:rPr>
          <w:rFonts w:eastAsia="Times New Roman"/>
          <w:sz w:val="28"/>
          <w:szCs w:val="28"/>
          <w:lang w:val="en-US" w:eastAsia="ru-RU"/>
        </w:rPr>
        <w:t>trillion</w:t>
      </w:r>
      <w:r w:rsidR="0011407B" w:rsidRPr="00E10B4F">
        <w:rPr>
          <w:rFonts w:eastAsia="Times New Roman"/>
          <w:sz w:val="28"/>
          <w:szCs w:val="28"/>
          <w:lang w:eastAsia="ru-RU"/>
        </w:rPr>
        <w:t xml:space="preserve">). </w:t>
      </w:r>
      <w:r w:rsidR="00644AC1" w:rsidRPr="00E10B4F">
        <w:rPr>
          <w:rFonts w:eastAsia="Times New Roman"/>
          <w:sz w:val="28"/>
          <w:szCs w:val="28"/>
          <w:lang w:eastAsia="ru-RU"/>
        </w:rPr>
        <w:t>Минимальное определяемое содерж</w:t>
      </w:r>
      <w:r w:rsidR="002161F3" w:rsidRPr="00E10B4F">
        <w:rPr>
          <w:rFonts w:eastAsia="Times New Roman"/>
          <w:sz w:val="28"/>
          <w:szCs w:val="28"/>
          <w:lang w:eastAsia="ru-RU"/>
        </w:rPr>
        <w:t>ание элементов</w:t>
      </w:r>
      <w:r w:rsidR="002161F3">
        <w:rPr>
          <w:rFonts w:eastAsia="Times New Roman"/>
          <w:sz w:val="28"/>
          <w:szCs w:val="28"/>
          <w:lang w:eastAsia="ru-RU"/>
        </w:rPr>
        <w:t xml:space="preserve"> в образце </w:t>
      </w:r>
      <w:r w:rsidR="00644AC1" w:rsidRPr="00644AC1">
        <w:rPr>
          <w:rFonts w:eastAsia="Times New Roman"/>
          <w:sz w:val="28"/>
          <w:szCs w:val="28"/>
          <w:lang w:eastAsia="ru-RU"/>
        </w:rPr>
        <w:t>методом</w:t>
      </w:r>
      <w:r w:rsidR="002161F3">
        <w:rPr>
          <w:rFonts w:eastAsia="Times New Roman"/>
          <w:sz w:val="28"/>
          <w:szCs w:val="28"/>
          <w:lang w:eastAsia="ru-RU"/>
        </w:rPr>
        <w:t xml:space="preserve"> ИСП-МС</w:t>
      </w:r>
      <w:r w:rsidR="00644AC1" w:rsidRPr="00644AC1">
        <w:rPr>
          <w:rFonts w:eastAsia="Times New Roman"/>
          <w:sz w:val="28"/>
          <w:szCs w:val="28"/>
          <w:lang w:eastAsia="ru-RU"/>
        </w:rPr>
        <w:t xml:space="preserve"> </w:t>
      </w:r>
      <w:r w:rsidR="002161F3">
        <w:rPr>
          <w:rFonts w:eastAsia="Times New Roman"/>
          <w:sz w:val="28"/>
          <w:szCs w:val="28"/>
          <w:lang w:eastAsia="ru-RU"/>
        </w:rPr>
        <w:t>может достигать 1·10</w:t>
      </w:r>
      <w:r w:rsidR="00155624" w:rsidRPr="00D273CB">
        <w:rPr>
          <w:rFonts w:eastAsia="Times New Roman"/>
          <w:sz w:val="28"/>
          <w:szCs w:val="28"/>
          <w:vertAlign w:val="superscript"/>
          <w:lang w:eastAsia="ru-RU"/>
        </w:rPr>
        <w:t>−</w:t>
      </w:r>
      <w:r w:rsidR="002161F3">
        <w:rPr>
          <w:rFonts w:eastAsia="Times New Roman"/>
          <w:sz w:val="28"/>
          <w:szCs w:val="28"/>
          <w:vertAlign w:val="superscript"/>
          <w:lang w:eastAsia="ru-RU"/>
        </w:rPr>
        <w:t>15</w:t>
      </w:r>
      <w:r w:rsidR="004573A5">
        <w:rPr>
          <w:rFonts w:eastAsia="Times New Roman"/>
          <w:sz w:val="28"/>
          <w:szCs w:val="28"/>
          <w:lang w:eastAsia="ru-RU"/>
        </w:rPr>
        <w:t xml:space="preserve"> (одна </w:t>
      </w:r>
      <w:r w:rsidR="00D273CB">
        <w:rPr>
          <w:rFonts w:eastAsia="Times New Roman"/>
          <w:sz w:val="28"/>
          <w:szCs w:val="28"/>
          <w:lang w:eastAsia="ru-RU"/>
        </w:rPr>
        <w:t>часть</w:t>
      </w:r>
      <w:r w:rsidR="004573A5">
        <w:rPr>
          <w:rFonts w:eastAsia="Times New Roman"/>
          <w:sz w:val="28"/>
          <w:szCs w:val="28"/>
          <w:lang w:eastAsia="ru-RU"/>
        </w:rPr>
        <w:t xml:space="preserve"> на квадриллион)</w:t>
      </w:r>
      <w:r w:rsidR="00644AC1" w:rsidRPr="00644AC1">
        <w:rPr>
          <w:rFonts w:eastAsia="Times New Roman"/>
          <w:sz w:val="28"/>
          <w:szCs w:val="28"/>
          <w:lang w:eastAsia="ru-RU"/>
        </w:rPr>
        <w:t>.</w:t>
      </w:r>
    </w:p>
    <w:p w:rsidR="00644AC1" w:rsidRPr="000F3101" w:rsidRDefault="000F3101" w:rsidP="00A67CEA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ИСП представляет собой сильно ионизированный инертный газ (обычно аргон) с равновесным количеством электронов и ионов, поддерживаемый радиочастотным (РЧ) полем. 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lastRenderedPageBreak/>
        <w:t>Плазма формируе</w:t>
      </w:r>
      <w:r w:rsidR="002E021E">
        <w:rPr>
          <w:rFonts w:ascii="Times New Roman" w:eastAsia="Calibri" w:hAnsi="Times New Roman" w:cs="Times New Roman"/>
          <w:sz w:val="28"/>
          <w:szCs w:val="28"/>
        </w:rPr>
        <w:t>тся в специальной горелке за счё</w:t>
      </w:r>
      <w:r w:rsidRPr="00644AC1">
        <w:rPr>
          <w:rFonts w:ascii="Times New Roman" w:eastAsia="Calibri" w:hAnsi="Times New Roman" w:cs="Times New Roman"/>
          <w:sz w:val="28"/>
          <w:szCs w:val="28"/>
        </w:rPr>
        <w:t>т поглощения аргоном высокочастотного электромагнитного из</w:t>
      </w:r>
      <w:r w:rsidR="002E021E">
        <w:rPr>
          <w:rFonts w:ascii="Times New Roman" w:eastAsia="Calibri" w:hAnsi="Times New Roman" w:cs="Times New Roman"/>
          <w:sz w:val="28"/>
          <w:szCs w:val="28"/>
        </w:rPr>
        <w:t>лучения от индуктора, присоединё</w:t>
      </w:r>
      <w:r w:rsidR="00D86904">
        <w:rPr>
          <w:rFonts w:ascii="Times New Roman" w:eastAsia="Calibri" w:hAnsi="Times New Roman" w:cs="Times New Roman"/>
          <w:sz w:val="28"/>
          <w:szCs w:val="28"/>
        </w:rPr>
        <w:t>нного к РЧ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генератору. Горелка помещается соплом в индуктор. При подаче на индуктор напряжен</w:t>
      </w:r>
      <w:r w:rsidR="002E021E">
        <w:rPr>
          <w:rFonts w:ascii="Times New Roman" w:eastAsia="Calibri" w:hAnsi="Times New Roman" w:cs="Times New Roman"/>
          <w:sz w:val="28"/>
          <w:szCs w:val="28"/>
        </w:rPr>
        <w:t>ия высокой мощности (обычно 700–</w:t>
      </w:r>
      <w:r w:rsidR="00C86DEC">
        <w:rPr>
          <w:rFonts w:ascii="Times New Roman" w:eastAsia="Calibri" w:hAnsi="Times New Roman" w:cs="Times New Roman"/>
          <w:sz w:val="28"/>
          <w:szCs w:val="28"/>
        </w:rPr>
        <w:t>1600 </w:t>
      </w:r>
      <w:r w:rsidRPr="00644AC1">
        <w:rPr>
          <w:rFonts w:ascii="Times New Roman" w:eastAsia="Calibri" w:hAnsi="Times New Roman" w:cs="Times New Roman"/>
          <w:sz w:val="28"/>
          <w:szCs w:val="28"/>
        </w:rPr>
        <w:t>Вт) в горелке образуется переменное электромагнитное поле с частотой, соответствующей частоте генератора (</w:t>
      </w:r>
      <w:r w:rsidR="00C86DEC">
        <w:rPr>
          <w:rFonts w:ascii="Times New Roman" w:eastAsia="Calibri" w:hAnsi="Times New Roman" w:cs="Times New Roman"/>
          <w:sz w:val="28"/>
          <w:szCs w:val="28"/>
        </w:rPr>
        <w:t>в большинстве случаев 27 или 40 </w:t>
      </w:r>
      <w:r w:rsidRPr="00644AC1">
        <w:rPr>
          <w:rFonts w:ascii="Times New Roman" w:eastAsia="Calibri" w:hAnsi="Times New Roman" w:cs="Times New Roman"/>
          <w:sz w:val="28"/>
          <w:szCs w:val="28"/>
        </w:rPr>
        <w:t>МГц). В качестве первичного источника ионизации выступает искровой разряд между специальным электродом и индуктором, срывающий с атомов аргона электроны. Захватываемые и ускоряемые магнитным полем электроны вызывают дальнейшую ионизацию вновь поступающего газа в виде цепной реакции. Процесс увеличения энергии электронов под действием электромагнитного поля индуктора называется индуктивным связыванием. Ударная ионизация аргона превращает газ в плазму, состоящую из атомов аргона, электронов и ионов аргона. Плазма самоподд</w:t>
      </w:r>
      <w:r w:rsidR="00C2300A">
        <w:rPr>
          <w:rFonts w:ascii="Times New Roman" w:eastAsia="Calibri" w:hAnsi="Times New Roman" w:cs="Times New Roman"/>
          <w:sz w:val="28"/>
          <w:szCs w:val="28"/>
        </w:rPr>
        <w:t>ерживается внутри горелки за счё</w:t>
      </w:r>
      <w:r w:rsidRPr="00644AC1">
        <w:rPr>
          <w:rFonts w:ascii="Times New Roman" w:eastAsia="Calibri" w:hAnsi="Times New Roman" w:cs="Times New Roman"/>
          <w:sz w:val="28"/>
          <w:szCs w:val="28"/>
        </w:rPr>
        <w:t>т процесса индуктивного связывания. ИСП проявляется в виде очень яркого факе</w:t>
      </w:r>
      <w:r w:rsidR="00B35F50">
        <w:rPr>
          <w:rFonts w:ascii="Times New Roman" w:eastAsia="Calibri" w:hAnsi="Times New Roman" w:cs="Times New Roman"/>
          <w:sz w:val="28"/>
          <w:szCs w:val="28"/>
        </w:rPr>
        <w:t>ла, имеющего в основании тороидальн</w:t>
      </w:r>
      <w:r w:rsidRPr="00644AC1">
        <w:rPr>
          <w:rFonts w:ascii="Times New Roman" w:eastAsia="Calibri" w:hAnsi="Times New Roman" w:cs="Times New Roman"/>
          <w:sz w:val="28"/>
          <w:szCs w:val="28"/>
        </w:rPr>
        <w:t>ую форму. Этот участок ИСП называю</w:t>
      </w:r>
      <w:r w:rsidR="00C2300A">
        <w:rPr>
          <w:rFonts w:ascii="Times New Roman" w:eastAsia="Calibri" w:hAnsi="Times New Roman" w:cs="Times New Roman"/>
          <w:sz w:val="28"/>
          <w:szCs w:val="28"/>
        </w:rPr>
        <w:t xml:space="preserve">т зоной индукции – </w:t>
      </w:r>
      <w:r w:rsidRPr="00644AC1">
        <w:rPr>
          <w:rFonts w:ascii="Times New Roman" w:eastAsia="Calibri" w:hAnsi="Times New Roman" w:cs="Times New Roman"/>
          <w:sz w:val="28"/>
          <w:szCs w:val="28"/>
        </w:rPr>
        <w:t>областью, в которой происходит индуктивная передача РЧ энергии от индуктора к плазме (рис. 1).</w:t>
      </w:r>
    </w:p>
    <w:p w:rsidR="00644AC1" w:rsidRPr="00644AC1" w:rsidRDefault="00644AC1" w:rsidP="00644A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2346" cy="2946400"/>
            <wp:effectExtent l="19050" t="0" r="0" b="0"/>
            <wp:docPr id="2" name="Рисунок 0" descr="горелка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елка++.jpg"/>
                    <pic:cNvPicPr/>
                  </pic:nvPicPr>
                  <pic:blipFill>
                    <a:blip r:embed="rId8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208" cy="295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AC1" w:rsidRPr="00644AC1" w:rsidRDefault="00644AC1" w:rsidP="001568ED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3CB">
        <w:rPr>
          <w:rFonts w:ascii="Times New Roman" w:eastAsia="Calibri" w:hAnsi="Times New Roman" w:cs="Times New Roman"/>
          <w:sz w:val="28"/>
          <w:szCs w:val="28"/>
        </w:rPr>
        <w:t>Рисунок 1 – Строение плазменного факела</w:t>
      </w:r>
    </w:p>
    <w:p w:rsidR="00644AC1" w:rsidRPr="00644AC1" w:rsidRDefault="00644AC1" w:rsidP="00644AC1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lastRenderedPageBreak/>
        <w:t>Важной особенностью ИСП является ввод аэрозоля пробы сквозь зону индукции в центр плазмы, вследствие чего компоненты пробы, включая аналит</w:t>
      </w:r>
      <w:r w:rsidR="00F940D7">
        <w:rPr>
          <w:rFonts w:ascii="Times New Roman" w:eastAsia="Calibri" w:hAnsi="Times New Roman" w:cs="Times New Roman"/>
          <w:sz w:val="28"/>
          <w:szCs w:val="28"/>
        </w:rPr>
        <w:t>,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последовательно десольватируют, превращаются в пар, атомизируются и ионизируются (рис. 2). Окружение ионов аналита высокотемпературной плазмой сравнительно продолжительное время (приблизительно 2 мс) обуславливает малые помехи матрицы в ИСП относительно других методов ионизации.</w:t>
      </w:r>
    </w:p>
    <w:p w:rsidR="00644AC1" w:rsidRPr="00644AC1" w:rsidRDefault="00644AC1" w:rsidP="00EA0362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536" cy="2983996"/>
            <wp:effectExtent l="19050" t="0" r="0" b="0"/>
            <wp:docPr id="3" name="Рисунок 4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59" cy="299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AC1" w:rsidRPr="00644AC1" w:rsidRDefault="00644AC1" w:rsidP="001568ED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3CB">
        <w:rPr>
          <w:rFonts w:ascii="Times New Roman" w:eastAsia="Calibri" w:hAnsi="Times New Roman" w:cs="Times New Roman"/>
          <w:sz w:val="28"/>
          <w:szCs w:val="28"/>
        </w:rPr>
        <w:t>Рисунок 2 – Пример масс-спектрометрического метода анализа</w:t>
      </w:r>
    </w:p>
    <w:p w:rsidR="00644AC1" w:rsidRPr="00644AC1" w:rsidRDefault="00644AC1" w:rsidP="00EA03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Ионы транспортируются из плазмы, находящейся при атмосферном давлении, в вакуумную часть масс-спектрометра через набор конусов (интерфейс). За интерфейсом находится ионная оптика. Основными функциями ионной оптики являются: экстракция анализируемых ионов из плазменного потока и их осевое концентрирование; организация управляемого движения потока ионов от интерфейса до масс-анализатора; освобождение потока ионов от электронов, нейтральных частиц и фотонов; ослабление матричных помех и уменьшение количества двухзарядных и полиатомных ионов; защита ионного тракта от загрязнений. </w:t>
      </w:r>
    </w:p>
    <w:p w:rsidR="00644AC1" w:rsidRPr="00555BC0" w:rsidRDefault="00644AC1" w:rsidP="00555B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Масс-анализатор, представляющий собой обычно квадрупольную, магнитную или времяпролётную систему, разделяет ионы компонентов </w:t>
      </w:r>
      <w:r w:rsidRPr="00644A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пробы в зависимости от соотношения </w:t>
      </w:r>
      <w:r w:rsidRPr="003A4C7D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A4C7D">
        <w:rPr>
          <w:rFonts w:ascii="Times New Roman" w:eastAsia="Calibri" w:hAnsi="Times New Roman" w:cs="Times New Roman"/>
          <w:sz w:val="28"/>
          <w:szCs w:val="28"/>
        </w:rPr>
        <w:t>/</w:t>
      </w:r>
      <w:r w:rsidRPr="003A4C7D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3A4C7D">
        <w:rPr>
          <w:rFonts w:ascii="Times New Roman" w:eastAsia="Calibri" w:hAnsi="Times New Roman" w:cs="Times New Roman"/>
          <w:sz w:val="28"/>
          <w:szCs w:val="28"/>
        </w:rPr>
        <w:t>.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62F">
        <w:rPr>
          <w:rFonts w:ascii="Times New Roman" w:eastAsia="Calibri" w:hAnsi="Times New Roman" w:cs="Times New Roman"/>
          <w:sz w:val="28"/>
          <w:szCs w:val="28"/>
        </w:rPr>
        <w:t>После разделения ионы с определё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нной величиной </w:t>
      </w:r>
      <w:r w:rsidRPr="003A4C7D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3A4C7D">
        <w:rPr>
          <w:rFonts w:ascii="Times New Roman" w:eastAsia="Calibri" w:hAnsi="Times New Roman" w:cs="Times New Roman"/>
          <w:sz w:val="28"/>
          <w:szCs w:val="28"/>
        </w:rPr>
        <w:t>/</w:t>
      </w:r>
      <w:r w:rsidRPr="003A4C7D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3A4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направляются на детектор, где поток ионов преобразуется в электрические сигналы. Количество аналита в пробе определяют на основании числа ионов, генерирующих электрические импульсы в единицу времени. </w:t>
      </w:r>
    </w:p>
    <w:p w:rsidR="00644AC1" w:rsidRPr="00644AC1" w:rsidRDefault="009A2384" w:rsidP="00A67CEA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3CB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Прибор состоит из следующих основных компонентов (рис. 3):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систе</w:t>
      </w:r>
      <w:r w:rsidR="00F94AEB">
        <w:rPr>
          <w:rFonts w:ascii="Times New Roman" w:eastAsia="Calibri" w:hAnsi="Times New Roman" w:cs="Times New Roman"/>
          <w:sz w:val="28"/>
          <w:szCs w:val="28"/>
        </w:rPr>
        <w:t xml:space="preserve">ма </w:t>
      </w:r>
      <w:r w:rsidR="002B0D0A">
        <w:rPr>
          <w:rFonts w:ascii="Times New Roman" w:eastAsia="Calibri" w:hAnsi="Times New Roman" w:cs="Times New Roman"/>
          <w:sz w:val="28"/>
          <w:szCs w:val="28"/>
        </w:rPr>
        <w:t>ввода проб для жидких или твё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рдых образцов;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94AEB">
        <w:rPr>
          <w:rFonts w:ascii="Times New Roman" w:eastAsia="Calibri" w:hAnsi="Times New Roman" w:cs="Times New Roman"/>
          <w:sz w:val="28"/>
          <w:szCs w:val="28"/>
        </w:rPr>
        <w:t>генератор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радиочастотных сигналов;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плазменн</w:t>
      </w:r>
      <w:r w:rsidR="00F94AEB">
        <w:rPr>
          <w:rFonts w:ascii="Times New Roman" w:eastAsia="Calibri" w:hAnsi="Times New Roman" w:cs="Times New Roman"/>
          <w:sz w:val="28"/>
          <w:szCs w:val="28"/>
        </w:rPr>
        <w:t>ая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горелк</w:t>
      </w:r>
      <w:r w:rsidR="00F94AEB">
        <w:rPr>
          <w:rFonts w:ascii="Times New Roman" w:eastAsia="Calibri" w:hAnsi="Times New Roman" w:cs="Times New Roman"/>
          <w:sz w:val="28"/>
          <w:szCs w:val="28"/>
        </w:rPr>
        <w:t>а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94AEB">
        <w:rPr>
          <w:rFonts w:ascii="Times New Roman" w:eastAsia="Calibri" w:hAnsi="Times New Roman" w:cs="Times New Roman"/>
          <w:sz w:val="28"/>
          <w:szCs w:val="28"/>
        </w:rPr>
        <w:t>интерфейс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;</w:t>
      </w:r>
      <w:r w:rsidR="00644AC1" w:rsidRPr="00644A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ионн</w:t>
      </w:r>
      <w:r w:rsidR="00F94AEB">
        <w:rPr>
          <w:rFonts w:ascii="Times New Roman" w:eastAsia="Calibri" w:hAnsi="Times New Roman" w:cs="Times New Roman"/>
          <w:sz w:val="28"/>
          <w:szCs w:val="28"/>
        </w:rPr>
        <w:t>ая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оптик</w:t>
      </w:r>
      <w:r w:rsidR="00F94AEB">
        <w:rPr>
          <w:rFonts w:ascii="Times New Roman" w:eastAsia="Calibri" w:hAnsi="Times New Roman" w:cs="Times New Roman"/>
          <w:sz w:val="28"/>
          <w:szCs w:val="28"/>
        </w:rPr>
        <w:t>а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, включающ</w:t>
      </w:r>
      <w:r w:rsidR="00F94AEB">
        <w:rPr>
          <w:rFonts w:ascii="Times New Roman" w:eastAsia="Calibri" w:hAnsi="Times New Roman" w:cs="Times New Roman"/>
          <w:sz w:val="28"/>
          <w:szCs w:val="28"/>
        </w:rPr>
        <w:t>ая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в себя ионные линзы и реакционно-столкновительную ячейку;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94AEB">
        <w:rPr>
          <w:rFonts w:ascii="Times New Roman" w:eastAsia="Calibri" w:hAnsi="Times New Roman" w:cs="Times New Roman"/>
          <w:sz w:val="28"/>
          <w:szCs w:val="28"/>
        </w:rPr>
        <w:t>масс-спектрометр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94AEB">
        <w:rPr>
          <w:rFonts w:ascii="Times New Roman" w:eastAsia="Calibri" w:hAnsi="Times New Roman" w:cs="Times New Roman"/>
          <w:sz w:val="28"/>
          <w:szCs w:val="28"/>
        </w:rPr>
        <w:t>детектор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94AEB">
        <w:rPr>
          <w:rFonts w:ascii="Times New Roman" w:eastAsia="Calibri" w:hAnsi="Times New Roman" w:cs="Times New Roman"/>
          <w:sz w:val="28"/>
          <w:szCs w:val="28"/>
        </w:rPr>
        <w:t>блок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обработки данных.</w:t>
      </w:r>
      <w:r w:rsidR="00644AC1" w:rsidRPr="00644A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4AC1" w:rsidRPr="00644AC1" w:rsidRDefault="00644AC1" w:rsidP="00644A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3387" cy="2538805"/>
            <wp:effectExtent l="19050" t="0" r="6913" b="0"/>
            <wp:docPr id="4" name="Рисунок 3" descr="Схема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++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955" cy="253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AC1" w:rsidRPr="00644AC1" w:rsidRDefault="00644AC1" w:rsidP="001568ED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3CB">
        <w:rPr>
          <w:rFonts w:ascii="Times New Roman" w:eastAsia="Calibri" w:hAnsi="Times New Roman" w:cs="Times New Roman"/>
          <w:sz w:val="28"/>
          <w:szCs w:val="28"/>
        </w:rPr>
        <w:t>Рисунок 3 – Принципиальная схема прибора</w:t>
      </w:r>
    </w:p>
    <w:p w:rsidR="00C71551" w:rsidRPr="00EA0362" w:rsidRDefault="00644AC1" w:rsidP="00EA03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Основная характеристика прибора ИСП-МС – его разрешение, т.е. эффективность разделения двух близких масс. </w:t>
      </w:r>
      <w:r w:rsidR="002B0D0A">
        <w:rPr>
          <w:rFonts w:ascii="Times New Roman" w:eastAsia="Calibri" w:hAnsi="Times New Roman" w:cs="Times New Roman"/>
          <w:sz w:val="28"/>
          <w:szCs w:val="28"/>
        </w:rPr>
        <w:t>Магнитные</w:t>
      </w:r>
      <w:r w:rsidR="00932411">
        <w:rPr>
          <w:rFonts w:ascii="Times New Roman" w:eastAsia="Calibri" w:hAnsi="Times New Roman" w:cs="Times New Roman"/>
          <w:sz w:val="28"/>
          <w:szCs w:val="28"/>
        </w:rPr>
        <w:t>,</w:t>
      </w:r>
      <w:r w:rsidR="002B0D0A">
        <w:rPr>
          <w:rFonts w:ascii="Times New Roman" w:eastAsia="Calibri" w:hAnsi="Times New Roman" w:cs="Times New Roman"/>
          <w:sz w:val="28"/>
          <w:szCs w:val="28"/>
        </w:rPr>
        <w:t xml:space="preserve"> секторные и </w:t>
      </w:r>
      <w:r w:rsidR="002B0D0A">
        <w:rPr>
          <w:rFonts w:ascii="Times New Roman" w:eastAsia="Calibri" w:hAnsi="Times New Roman" w:cs="Times New Roman"/>
          <w:sz w:val="28"/>
          <w:szCs w:val="28"/>
        </w:rPr>
        <w:lastRenderedPageBreak/>
        <w:t>времяпролё</w:t>
      </w:r>
      <w:r w:rsidRPr="00644AC1">
        <w:rPr>
          <w:rFonts w:ascii="Times New Roman" w:eastAsia="Calibri" w:hAnsi="Times New Roman" w:cs="Times New Roman"/>
          <w:sz w:val="28"/>
          <w:szCs w:val="28"/>
        </w:rPr>
        <w:t>тные ИСП-масс-спектрометры характеризуются лучшим разрешением по сравнению с квадрупольными приборами.</w:t>
      </w:r>
    </w:p>
    <w:p w:rsidR="00644AC1" w:rsidRPr="00644AC1" w:rsidRDefault="00644AC1" w:rsidP="00353D06">
      <w:pPr>
        <w:keepNext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3CB">
        <w:rPr>
          <w:rFonts w:ascii="Times New Roman" w:eastAsia="Calibri" w:hAnsi="Times New Roman" w:cs="Times New Roman"/>
          <w:b/>
          <w:sz w:val="28"/>
          <w:szCs w:val="28"/>
        </w:rPr>
        <w:t>Мешающие факторы, приводящие к интерференциям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Основными мешающими факторами, искажающими результаты измерения, являются матричные эффекты (неспектральные интерференции) и спектральные наложения (спектральные интерференции). </w:t>
      </w:r>
    </w:p>
    <w:p w:rsidR="00644AC1" w:rsidRPr="00644AC1" w:rsidRDefault="001561E9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Матричные эффекты проявляю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тся в случаях: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сильного отличия вязкости испытуемого раствора от вязкости градуировочных растворов, следствием которого является различие в эффективности распыления и составе аэрозоля по размеру капель для указанных выше растворов;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высокой общей концентрации ионов в аэрозоле, что снижает эффективность ионизации трудно ионизируемых элементов вследствие недостаточности энергии плазмы и увеличивает рассеивание ионного потока. 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Матричные эффекты могут быть смягчены увеличением степени разбавления образца в испытуемом растворе, практикуется т</w:t>
      </w:r>
      <w:r w:rsidR="00F1519C">
        <w:rPr>
          <w:rFonts w:ascii="Times New Roman" w:eastAsia="Calibri" w:hAnsi="Times New Roman" w:cs="Times New Roman"/>
          <w:sz w:val="28"/>
          <w:szCs w:val="28"/>
        </w:rPr>
        <w:t>акже экстракция матрицы. Для учёта мешающего влияния матрицы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широко применяют </w:t>
      </w:r>
      <w:r w:rsidR="00F1519C">
        <w:rPr>
          <w:rFonts w:ascii="Times New Roman" w:eastAsia="Calibri" w:hAnsi="Times New Roman" w:cs="Times New Roman"/>
          <w:sz w:val="28"/>
          <w:szCs w:val="28"/>
        </w:rPr>
        <w:t>методы внутреннего стандарта и/или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стандартных добавок. Элемент, используемый в качестве внутреннего стандарта, выбирают в зависимости от потенциала ионизации и массы анализируемого элемента, а также состава матрицы. 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К спектральным интерференциям относится изменение интенсивности сигналов определ</w:t>
      </w:r>
      <w:r w:rsidR="00723115">
        <w:rPr>
          <w:rFonts w:ascii="Times New Roman" w:eastAsia="Calibri" w:hAnsi="Times New Roman" w:cs="Times New Roman"/>
          <w:sz w:val="28"/>
          <w:szCs w:val="28"/>
        </w:rPr>
        <w:t>яемых ионов за счё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т наложения на них сигналов других ионов, обладающих таким же значением величины </w:t>
      </w:r>
      <w:r w:rsidRPr="005F694C">
        <w:rPr>
          <w:rFonts w:ascii="Times New Roman" w:eastAsia="Calibri" w:hAnsi="Times New Roman" w:cs="Times New Roman"/>
          <w:sz w:val="28"/>
          <w:szCs w:val="28"/>
        </w:rPr>
        <w:t>m/z</w:t>
      </w:r>
      <w:r w:rsidRPr="00644AC1">
        <w:rPr>
          <w:rFonts w:ascii="Times New Roman" w:eastAsia="Calibri" w:hAnsi="Times New Roman" w:cs="Times New Roman"/>
          <w:sz w:val="28"/>
          <w:szCs w:val="28"/>
        </w:rPr>
        <w:t>. Спектральные интерференции подразделяются на: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изобарные наложения, вызванные перекрыванием сигналов ионов изотопов различных элементов с близкой номинальной массой, например,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40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r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40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58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58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87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Sr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87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Rb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наложения двухзарядных ионов на однозарядные с той же величиной</w:t>
      </w:r>
      <w:r w:rsidR="00644AC1" w:rsidRPr="00644AC1">
        <w:rPr>
          <w:rFonts w:ascii="Calibri" w:eastAsia="Calibri" w:hAnsi="Calibri" w:cs="Times New Roman"/>
        </w:rPr>
        <w:t xml:space="preserve"> </w:t>
      </w:r>
      <w:r w:rsidR="00644AC1" w:rsidRPr="00954CE0">
        <w:rPr>
          <w:rFonts w:ascii="Times New Roman" w:eastAsia="Calibri" w:hAnsi="Times New Roman" w:cs="Times New Roman"/>
          <w:i/>
          <w:sz w:val="28"/>
          <w:szCs w:val="28"/>
        </w:rPr>
        <w:t>m/z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, например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48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Ti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2+ 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на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24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138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Ва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69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Ga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полиатомные наложения, вызванные образованием в</w:t>
      </w:r>
      <w:r w:rsidR="008B6B6F">
        <w:rPr>
          <w:rFonts w:ascii="Times New Roman" w:eastAsia="Calibri" w:hAnsi="Times New Roman" w:cs="Times New Roman"/>
          <w:sz w:val="28"/>
          <w:szCs w:val="28"/>
        </w:rPr>
        <w:t xml:space="preserve"> плазме ионов, содержащих более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чем один атом элемента (оксиды, аргиды, гидриды, хлориды и т.д.), например, 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14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14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12</w:t>
      </w:r>
      <w:r w:rsidR="00644AC1" w:rsidRPr="001868E3">
        <w:rPr>
          <w:rFonts w:ascii="Times New Roman" w:eastAsia="Calibri" w:hAnsi="Times New Roman" w:cs="Times New Roman"/>
          <w:sz w:val="28"/>
          <w:szCs w:val="28"/>
        </w:rPr>
        <w:t>C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16</w:t>
      </w:r>
      <w:r w:rsidR="00644AC1" w:rsidRPr="001868E3">
        <w:rPr>
          <w:rFonts w:ascii="Times New Roman" w:eastAsia="Calibri" w:hAnsi="Times New Roman" w:cs="Times New Roman"/>
          <w:sz w:val="28"/>
          <w:szCs w:val="28"/>
        </w:rPr>
        <w:t>O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28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32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16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48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Ti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40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16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56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40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35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75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As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,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40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 w:rsidR="001868E3">
        <w:rPr>
          <w:rFonts w:ascii="Times New Roman" w:eastAsia="Calibri" w:hAnsi="Times New Roman" w:cs="Times New Roman"/>
          <w:sz w:val="28"/>
          <w:szCs w:val="28"/>
          <w:vertAlign w:val="superscript"/>
        </w:rPr>
        <w:t>40</w:t>
      </w:r>
      <w:r w:rsidR="00644AC1" w:rsidRPr="001868E3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44AC1"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80</w:t>
      </w:r>
      <w:r w:rsidR="00644AC1"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Se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4AC1" w:rsidRPr="00644AC1" w:rsidRDefault="00C74712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учё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та спектральных наложений используют системы подавления интерференций (реакционно-столкновительные ячейки), варьируют условия проведения эксперимента (режим холодной плазмы, охлаждение распылительной камеры, устранение вторичного разряда), применяют уравнения математической коррекции. Современное программное обеспечение ИСП-масс-спектрометров позволяет проводить математическую коррекцию интерференций непосредственно в процессе измерений, а уравнения для изобарных наложений включены в программы.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Основными методами анализа в ИСП-МС являются: </w:t>
      </w:r>
    </w:p>
    <w:p w:rsidR="00644AC1" w:rsidRPr="00644AC1" w:rsidRDefault="00644AC1" w:rsidP="00644AC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метод калибровочной кривой</w:t>
      </w:r>
      <w:r w:rsidR="00116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C1" w:rsidRPr="00644AC1" w:rsidRDefault="00644AC1" w:rsidP="00644AC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116B29">
        <w:rPr>
          <w:rFonts w:ascii="Times New Roman" w:eastAsia="Calibri" w:hAnsi="Times New Roman" w:cs="Times New Roman"/>
          <w:sz w:val="28"/>
          <w:szCs w:val="28"/>
        </w:rPr>
        <w:t xml:space="preserve">стандартных </w:t>
      </w:r>
      <w:r w:rsidRPr="00644AC1">
        <w:rPr>
          <w:rFonts w:ascii="Times New Roman" w:eastAsia="Calibri" w:hAnsi="Times New Roman" w:cs="Times New Roman"/>
          <w:sz w:val="28"/>
          <w:szCs w:val="28"/>
        </w:rPr>
        <w:t>добавок</w:t>
      </w:r>
      <w:r w:rsidR="00116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4AC1" w:rsidRPr="00644AC1" w:rsidRDefault="00644AC1" w:rsidP="00644AC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метод изотопного разбавления</w:t>
      </w:r>
      <w:r w:rsidR="00116B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4AC1" w:rsidRPr="00644AC1" w:rsidRDefault="00644AC1" w:rsidP="001568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Раздел с описанием метода</w:t>
      </w:r>
      <w:r w:rsidR="00116B29">
        <w:rPr>
          <w:rFonts w:ascii="Times New Roman" w:eastAsia="Calibri" w:hAnsi="Times New Roman" w:cs="Times New Roman"/>
          <w:sz w:val="28"/>
          <w:szCs w:val="28"/>
        </w:rPr>
        <w:t xml:space="preserve"> стандартных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добавок и мет</w:t>
      </w:r>
      <w:r w:rsidR="00116B29">
        <w:rPr>
          <w:rFonts w:ascii="Times New Roman" w:eastAsia="Calibri" w:hAnsi="Times New Roman" w:cs="Times New Roman"/>
          <w:sz w:val="28"/>
          <w:szCs w:val="28"/>
        </w:rPr>
        <w:t>ода калибровочной кривой приведён в ОФС «</w:t>
      </w:r>
      <w:r w:rsidRPr="00644AC1">
        <w:rPr>
          <w:rFonts w:ascii="Times New Roman" w:eastAsia="Calibri" w:hAnsi="Times New Roman" w:cs="Times New Roman"/>
          <w:sz w:val="28"/>
          <w:szCs w:val="28"/>
        </w:rPr>
        <w:t>А</w:t>
      </w:r>
      <w:r w:rsidR="00116B29">
        <w:rPr>
          <w:rFonts w:ascii="Times New Roman" w:eastAsia="Calibri" w:hAnsi="Times New Roman" w:cs="Times New Roman"/>
          <w:sz w:val="28"/>
          <w:szCs w:val="28"/>
        </w:rPr>
        <w:t>томно-эмиссионная спектрометрия»</w:t>
      </w:r>
      <w:r w:rsidRPr="00644A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4AC1" w:rsidRPr="00644AC1" w:rsidRDefault="00644AC1" w:rsidP="001568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Самым точным методом анализа в ИСП-МС, свободным от неспектральных и спектральных интерференций, является метод изотопного разбавления. В рамках данного метода образец с неизвестным содержанием элементов смешивают с точным количеством добавки с известной концентрацией изотопов определяемого элемента. Измеряют изотопное отношение элемента в образце до</w:t>
      </w:r>
      <w:r w:rsidR="00D109F4">
        <w:rPr>
          <w:rFonts w:ascii="Times New Roman" w:eastAsia="Calibri" w:hAnsi="Times New Roman" w:cs="Times New Roman"/>
          <w:sz w:val="28"/>
          <w:szCs w:val="28"/>
        </w:rPr>
        <w:t xml:space="preserve"> и после введения добавки. Расчё</w:t>
      </w:r>
      <w:r w:rsidRPr="00644AC1">
        <w:rPr>
          <w:rFonts w:ascii="Times New Roman" w:eastAsia="Calibri" w:hAnsi="Times New Roman" w:cs="Times New Roman"/>
          <w:sz w:val="28"/>
          <w:szCs w:val="28"/>
        </w:rPr>
        <w:t>т изотопных отношений осуществляют по интенсивностям сигналов соответствующих изотопов, скорректированных на эффект дис</w:t>
      </w:r>
      <w:r w:rsidR="00C37239">
        <w:rPr>
          <w:rFonts w:ascii="Times New Roman" w:eastAsia="Calibri" w:hAnsi="Times New Roman" w:cs="Times New Roman"/>
          <w:sz w:val="28"/>
          <w:szCs w:val="28"/>
        </w:rPr>
        <w:t>криминации масс (систематическое отклонение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измеренных интенсивностей ионных токов изотопов от их точ</w:t>
      </w:r>
      <w:r w:rsidR="00C37239">
        <w:rPr>
          <w:rFonts w:ascii="Times New Roman" w:eastAsia="Calibri" w:hAnsi="Times New Roman" w:cs="Times New Roman"/>
          <w:sz w:val="28"/>
          <w:szCs w:val="28"/>
        </w:rPr>
        <w:t>ной концентрации или соотношения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концентраций </w:t>
      </w:r>
      <w:r w:rsidRPr="00644AC1">
        <w:rPr>
          <w:rFonts w:ascii="Times New Roman" w:eastAsia="Calibri" w:hAnsi="Times New Roman" w:cs="Times New Roman"/>
          <w:sz w:val="28"/>
          <w:szCs w:val="28"/>
        </w:rPr>
        <w:lastRenderedPageBreak/>
        <w:t>этих изотопов в анализируемой пробе в зависимости от отн</w:t>
      </w:r>
      <w:r w:rsidR="00D109F4">
        <w:rPr>
          <w:rFonts w:ascii="Times New Roman" w:eastAsia="Calibri" w:hAnsi="Times New Roman" w:cs="Times New Roman"/>
          <w:sz w:val="28"/>
          <w:szCs w:val="28"/>
        </w:rPr>
        <w:t xml:space="preserve">ошения массы к заряду ионов </w:t>
      </w:r>
      <w:r w:rsidR="00D109F4" w:rsidRPr="005F694C">
        <w:rPr>
          <w:rFonts w:ascii="Times New Roman" w:eastAsia="Calibri" w:hAnsi="Times New Roman" w:cs="Times New Roman"/>
          <w:sz w:val="28"/>
          <w:szCs w:val="28"/>
        </w:rPr>
        <w:t>m/z</w:t>
      </w:r>
      <w:r w:rsidRPr="00644AC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Метод изотопного разбавления реализован в программном обеспечении современных ИСП-масс-спектрометров.</w:t>
      </w:r>
    </w:p>
    <w:p w:rsidR="00644AC1" w:rsidRPr="00644AC1" w:rsidRDefault="00644AC1" w:rsidP="00A67CEA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514"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644AC1" w:rsidRPr="00206BCA" w:rsidRDefault="00644AC1" w:rsidP="00206B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6BCA">
        <w:rPr>
          <w:rFonts w:ascii="Times New Roman" w:eastAsia="Calibri" w:hAnsi="Times New Roman" w:cs="Times New Roman"/>
          <w:b/>
          <w:i/>
          <w:sz w:val="28"/>
          <w:szCs w:val="28"/>
        </w:rPr>
        <w:t>Подготовка и ведение проб</w:t>
      </w:r>
    </w:p>
    <w:p w:rsidR="00644AC1" w:rsidRPr="00644AC1" w:rsidRDefault="003F393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пробоподготовки включают в себя: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прямое введение жидких образцов;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прямое введение растворов твёрдых образцов в подходящих растворителях;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введение микрочастиц твёрдых образцов после лазерной абляции поверхности.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Приготовление раствора может включать стадию минерализации пробы подходящим методом (например, в микроволновой печи в закрытых сосудах с использованием сильных окислителей). При минерализации пробы предпочтительно использовать азотную кислоту. В случае</w:t>
      </w:r>
      <w:r w:rsidR="003F0996">
        <w:rPr>
          <w:rFonts w:ascii="Times New Roman" w:eastAsia="Calibri" w:hAnsi="Times New Roman" w:cs="Times New Roman"/>
          <w:sz w:val="28"/>
          <w:szCs w:val="28"/>
        </w:rPr>
        <w:t xml:space="preserve"> необходимости применяют хлористоводородную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кислоту, однако наличие хлорид-ионов в растворе приводит к возникновению полиатомных спектральных наложений. Использование фосфорной и серной кислот увеличивает вязкость раствора и снижает эффективность распыления образца; присутствие серы и фосфора дополнительно повышает количество полиатомных ионов. Допускается добавление в пробу </w:t>
      </w:r>
      <w:r w:rsidR="003F0996">
        <w:rPr>
          <w:rFonts w:ascii="Times New Roman" w:eastAsia="Calibri" w:hAnsi="Times New Roman" w:cs="Times New Roman"/>
          <w:sz w:val="28"/>
          <w:szCs w:val="28"/>
        </w:rPr>
        <w:t>небольшого количества фтористоводородной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кислоты для стабилизации растворов некоторых элементов при использовании кварцевых или стеклянных систем ввода образца. Использование</w:t>
      </w:r>
      <w:r w:rsidR="003F0996">
        <w:rPr>
          <w:rFonts w:ascii="Times New Roman" w:eastAsia="Calibri" w:hAnsi="Times New Roman" w:cs="Times New Roman"/>
          <w:sz w:val="28"/>
          <w:szCs w:val="28"/>
        </w:rPr>
        <w:t xml:space="preserve"> высоких концентраций фтористоводородной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кислоты возможно только в случае применения системы ввода образца и горелок, изготовленных из стойких к HF материалов. При использовании органических растворителей </w:t>
      </w:r>
      <w:r w:rsidR="0017437C">
        <w:rPr>
          <w:rFonts w:ascii="Times New Roman" w:eastAsia="Calibri" w:hAnsi="Times New Roman" w:cs="Times New Roman"/>
          <w:sz w:val="28"/>
          <w:szCs w:val="28"/>
        </w:rPr>
        <w:t>возможно дополнительное введение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кислорода для обеспечения</w:t>
      </w:r>
      <w:r w:rsidRPr="005F6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>полного сгорания органической матрицы.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lastRenderedPageBreak/>
        <w:t>Жидкие образцы доводят до необходимой концентрации аналита в пределах рабочег</w:t>
      </w:r>
      <w:r w:rsidR="00380EBC">
        <w:rPr>
          <w:rFonts w:ascii="Times New Roman" w:eastAsia="Calibri" w:hAnsi="Times New Roman" w:cs="Times New Roman"/>
          <w:sz w:val="28"/>
          <w:szCs w:val="28"/>
        </w:rPr>
        <w:t>о диапазона прибора путё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м разведений или концентрирования образца. Введение пробы жидкого образца осуществляется перистальтическим насосом, направляющим раствор с постоянной скоростью потока через распылитель в распылительную камеру для образования жидкого аэрозоля. 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При лазерной абляции поверхность исследуемого твёрдого образца подвергается воздействию лазерного импульса, при этом образуется аэрозоль из твёрдых частиц, который транспор</w:t>
      </w:r>
      <w:r w:rsidR="00175B4A">
        <w:rPr>
          <w:rFonts w:ascii="Times New Roman" w:eastAsia="Calibri" w:hAnsi="Times New Roman" w:cs="Times New Roman"/>
          <w:sz w:val="28"/>
          <w:szCs w:val="28"/>
        </w:rPr>
        <w:t>тируется потоком газа (обычно аргоном или гелием</w:t>
      </w:r>
      <w:r w:rsidRPr="00644AC1">
        <w:rPr>
          <w:rFonts w:ascii="Times New Roman" w:eastAsia="Calibri" w:hAnsi="Times New Roman" w:cs="Times New Roman"/>
          <w:sz w:val="28"/>
          <w:szCs w:val="28"/>
        </w:rPr>
        <w:t>) с постоянной скоростью непосредственно в ИСП.</w:t>
      </w:r>
    </w:p>
    <w:p w:rsidR="00644AC1" w:rsidRPr="00C91DA2" w:rsidRDefault="00644AC1" w:rsidP="00C91D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1DA2">
        <w:rPr>
          <w:rFonts w:ascii="Times New Roman" w:eastAsia="Calibri" w:hAnsi="Times New Roman" w:cs="Times New Roman"/>
          <w:b/>
          <w:i/>
          <w:sz w:val="28"/>
          <w:szCs w:val="28"/>
        </w:rPr>
        <w:t>Выбор рабочих условий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Эксплуатацию прибора осуществляют в строгом соответствии с инструкциями производителя. В зависимости от типа растворителя выбирают различные рабочие условия, в частности: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материал распы</w:t>
      </w:r>
      <w:r w:rsidR="00CC6CAC">
        <w:rPr>
          <w:rFonts w:ascii="Times New Roman" w:eastAsia="Calibri" w:hAnsi="Times New Roman" w:cs="Times New Roman"/>
          <w:sz w:val="28"/>
          <w:szCs w:val="28"/>
        </w:rPr>
        <w:t>лителя, распылительной камеры, конусов,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горелки и подводящих шлангов;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тип распылителя и распылительной камеры;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71DC3">
        <w:rPr>
          <w:rFonts w:ascii="Times New Roman" w:eastAsia="Calibri" w:hAnsi="Times New Roman" w:cs="Times New Roman"/>
          <w:sz w:val="28"/>
          <w:szCs w:val="28"/>
        </w:rPr>
        <w:t>вспомогательный газ и скорости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 потоков газа-носителя и вспомогательного газа;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РЧ мощность;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скорость насоса подачи анализируемого раствора;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 xml:space="preserve">температуру распылительной камеры; 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режим работы реакционно-столкновительной ячейки;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изотопы анализируемого элемента.</w:t>
      </w:r>
    </w:p>
    <w:p w:rsidR="00644AC1" w:rsidRPr="00590420" w:rsidRDefault="00644AC1" w:rsidP="005904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420">
        <w:rPr>
          <w:rFonts w:ascii="Times New Roman" w:eastAsia="Calibri" w:hAnsi="Times New Roman" w:cs="Times New Roman"/>
          <w:b/>
          <w:i/>
          <w:sz w:val="28"/>
          <w:szCs w:val="28"/>
        </w:rPr>
        <w:t>Выбор изотопов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Выбор изотопов осуществляется по нескольким критериям:</w:t>
      </w:r>
    </w:p>
    <w:p w:rsidR="00644AC1" w:rsidRPr="00644AC1" w:rsidRDefault="001568ED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обеспечение максимальной селективности (выбирают наиболее ш</w:t>
      </w:r>
      <w:r w:rsidR="00B52C4E">
        <w:rPr>
          <w:rFonts w:ascii="Times New Roman" w:eastAsia="Calibri" w:hAnsi="Times New Roman" w:cs="Times New Roman"/>
          <w:sz w:val="28"/>
          <w:szCs w:val="28"/>
        </w:rPr>
        <w:t>ироко распространё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нный изотоп для данного элемента);</w:t>
      </w:r>
    </w:p>
    <w:p w:rsidR="00B52C4E" w:rsidRPr="00A67CEA" w:rsidRDefault="001568ED" w:rsidP="00A67C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="00644AC1" w:rsidRPr="00644AC1">
        <w:rPr>
          <w:rFonts w:ascii="Times New Roman" w:eastAsia="Calibri" w:hAnsi="Times New Roman" w:cs="Times New Roman"/>
          <w:sz w:val="28"/>
          <w:szCs w:val="28"/>
        </w:rPr>
        <w:t>минимизация возможных интерференций. Информация по спектральным интерференциям обычно содержится в программном обеспечении к приборам, предоставляемом производителями.</w:t>
      </w:r>
    </w:p>
    <w:p w:rsidR="00644AC1" w:rsidRPr="00644AC1" w:rsidRDefault="00644AC1" w:rsidP="00713338">
      <w:pPr>
        <w:keepNext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514">
        <w:rPr>
          <w:rFonts w:ascii="Times New Roman" w:eastAsia="Calibri" w:hAnsi="Times New Roman" w:cs="Times New Roman"/>
          <w:b/>
          <w:sz w:val="28"/>
          <w:szCs w:val="28"/>
        </w:rPr>
        <w:t>Контроль работы прибора</w:t>
      </w:r>
    </w:p>
    <w:p w:rsidR="00644AC1" w:rsidRPr="00491FF0" w:rsidRDefault="00644AC1" w:rsidP="00713338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1FF0">
        <w:rPr>
          <w:rFonts w:ascii="Times New Roman" w:eastAsia="Calibri" w:hAnsi="Times New Roman" w:cs="Times New Roman"/>
          <w:b/>
          <w:i/>
          <w:sz w:val="28"/>
          <w:szCs w:val="28"/>
        </w:rPr>
        <w:t>Пригодность системы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В ходе проверки пригодности системы опр</w:t>
      </w:r>
      <w:r w:rsidR="00131AF0">
        <w:rPr>
          <w:rFonts w:ascii="Times New Roman" w:eastAsia="Calibri" w:hAnsi="Times New Roman" w:cs="Times New Roman"/>
          <w:sz w:val="28"/>
          <w:szCs w:val="28"/>
        </w:rPr>
        <w:t xml:space="preserve">еделяют чувствительность 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прибора, точность измерения масс, способность плазмы разлагать оксиды и не образовывать двухзарядные ионы, кратковременную и долговременную стабильность работы оборудования. 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Точность измерения масс и чувствительность прибора проверяют с использованием настроечного раствора, содержащего несколько изотопов в широком диапазоне масс, например,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7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Li</w:t>
      </w:r>
      <w:r w:rsidR="007D3CE6">
        <w:rPr>
          <w:rFonts w:ascii="Times New Roman" w:eastAsia="Calibri" w:hAnsi="Times New Roman" w:cs="Times New Roman"/>
          <w:sz w:val="28"/>
          <w:szCs w:val="28"/>
        </w:rPr>
        <w:t>,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59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89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115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140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Ce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205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Tl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209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Bi</w:t>
      </w:r>
      <w:r w:rsidRPr="00644AC1">
        <w:rPr>
          <w:rFonts w:ascii="Times New Roman" w:eastAsia="Calibri" w:hAnsi="Times New Roman" w:cs="Times New Roman"/>
          <w:sz w:val="28"/>
          <w:szCs w:val="28"/>
        </w:rPr>
        <w:t>, измеряя интенсивности сиг</w:t>
      </w:r>
      <w:r w:rsidR="00F15F5D">
        <w:rPr>
          <w:rFonts w:ascii="Times New Roman" w:eastAsia="Calibri" w:hAnsi="Times New Roman" w:cs="Times New Roman"/>
          <w:sz w:val="28"/>
          <w:szCs w:val="28"/>
        </w:rPr>
        <w:t>налов в размерности скорости счё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та. 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Способность плазмы разлагать оксиды определяют для оценки вклада полиатомных интерференций. Для этого используют настроечные растворы, измеряя соотношения 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CeO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644AC1">
        <w:rPr>
          <w:rFonts w:ascii="Times New Roman" w:eastAsia="Calibri" w:hAnsi="Times New Roman" w:cs="Times New Roman"/>
          <w:sz w:val="28"/>
          <w:szCs w:val="28"/>
        </w:rPr>
        <w:t>/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Ce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="000C5804">
        <w:rPr>
          <w:rFonts w:ascii="Times New Roman" w:eastAsia="Calibri" w:hAnsi="Times New Roman" w:cs="Times New Roman"/>
          <w:sz w:val="28"/>
          <w:szCs w:val="28"/>
        </w:rPr>
        <w:t xml:space="preserve"> и/или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644AC1">
        <w:rPr>
          <w:rFonts w:ascii="Times New Roman" w:eastAsia="Calibri" w:hAnsi="Times New Roman" w:cs="Times New Roman"/>
          <w:sz w:val="28"/>
          <w:szCs w:val="28"/>
        </w:rPr>
        <w:t>О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644AC1">
        <w:rPr>
          <w:rFonts w:ascii="Times New Roman" w:eastAsia="Calibri" w:hAnsi="Times New Roman" w:cs="Times New Roman"/>
          <w:sz w:val="28"/>
          <w:szCs w:val="28"/>
        </w:rPr>
        <w:t>/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(уровень содержания оксидов не должен превышать 3</w:t>
      </w:r>
      <w:r w:rsidR="001F4FD9">
        <w:rPr>
          <w:rFonts w:ascii="Times New Roman" w:eastAsia="Calibri" w:hAnsi="Times New Roman" w:cs="Times New Roman"/>
          <w:sz w:val="28"/>
          <w:szCs w:val="28"/>
        </w:rPr>
        <w:t> </w:t>
      </w:r>
      <w:r w:rsidRPr="00644AC1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Уровень образования двухзарядных ионов оценивают, измеряя соотношение Ce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 w:rsidRPr="00644AC1">
        <w:rPr>
          <w:rFonts w:ascii="Times New Roman" w:eastAsia="Calibri" w:hAnsi="Times New Roman" w:cs="Times New Roman"/>
          <w:sz w:val="28"/>
          <w:szCs w:val="28"/>
        </w:rPr>
        <w:t>/Ce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="001F4FD9">
        <w:rPr>
          <w:rFonts w:ascii="Times New Roman" w:eastAsia="Calibri" w:hAnsi="Times New Roman" w:cs="Times New Roman"/>
          <w:sz w:val="28"/>
          <w:szCs w:val="28"/>
        </w:rPr>
        <w:t xml:space="preserve"> и/или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Ba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 w:rsidRPr="00644AC1">
        <w:rPr>
          <w:rFonts w:ascii="Times New Roman" w:eastAsia="Calibri" w:hAnsi="Times New Roman" w:cs="Times New Roman"/>
          <w:sz w:val="28"/>
          <w:szCs w:val="28"/>
        </w:rPr>
        <w:t>/Ba</w:t>
      </w:r>
      <w:r w:rsidRPr="00644AC1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настроечных растворов этих элементов. Отношение сигнала для двухзарядных ионов к обозначенному элементу должно быть менее 2</w:t>
      </w:r>
      <w:r w:rsidR="001F4FD9">
        <w:rPr>
          <w:rFonts w:ascii="Times New Roman" w:eastAsia="Calibri" w:hAnsi="Times New Roman" w:cs="Times New Roman"/>
          <w:sz w:val="28"/>
          <w:szCs w:val="28"/>
        </w:rPr>
        <w:t> </w:t>
      </w:r>
      <w:r w:rsidRPr="00644AC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Кратковременную стабильность оценивают по величине относительного стандартного отклонения (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RSD</w:t>
      </w: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) результатов пяти измерений интенсивности сигналов определяемых изотопов одного анализируемого раствора. Критерий приемлемости кратковременной стабильности: </w:t>
      </w:r>
      <w:r w:rsidRPr="00644AC1">
        <w:rPr>
          <w:rFonts w:ascii="Times New Roman" w:eastAsia="Calibri" w:hAnsi="Times New Roman" w:cs="Times New Roman"/>
          <w:sz w:val="28"/>
          <w:szCs w:val="28"/>
          <w:lang w:val="en-US"/>
        </w:rPr>
        <w:t>RSD</w:t>
      </w:r>
      <w:r w:rsidR="001F4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>≤</w:t>
      </w:r>
      <w:r w:rsidR="001F4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>5</w:t>
      </w:r>
      <w:r w:rsidR="001F4FD9">
        <w:rPr>
          <w:rFonts w:ascii="Times New Roman" w:eastAsia="Calibri" w:hAnsi="Times New Roman" w:cs="Times New Roman"/>
          <w:sz w:val="28"/>
          <w:szCs w:val="28"/>
        </w:rPr>
        <w:t> </w:t>
      </w:r>
      <w:r w:rsidRPr="00644AC1">
        <w:rPr>
          <w:rFonts w:ascii="Times New Roman" w:eastAsia="Calibri" w:hAnsi="Times New Roman" w:cs="Times New Roman"/>
          <w:sz w:val="28"/>
          <w:szCs w:val="28"/>
        </w:rPr>
        <w:t>% (для основного компонента), RSD</w:t>
      </w:r>
      <w:r w:rsidR="001F4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>≤</w:t>
      </w:r>
      <w:r w:rsidR="001F4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>10</w:t>
      </w:r>
      <w:r w:rsidR="001F4FD9">
        <w:rPr>
          <w:rFonts w:ascii="Times New Roman" w:eastAsia="Calibri" w:hAnsi="Times New Roman" w:cs="Times New Roman"/>
          <w:sz w:val="28"/>
          <w:szCs w:val="28"/>
        </w:rPr>
        <w:t> </w:t>
      </w:r>
      <w:r w:rsidRPr="00644AC1">
        <w:rPr>
          <w:rFonts w:ascii="Times New Roman" w:eastAsia="Calibri" w:hAnsi="Times New Roman" w:cs="Times New Roman"/>
          <w:sz w:val="28"/>
          <w:szCs w:val="28"/>
        </w:rPr>
        <w:t>% (для примесей с</w:t>
      </w:r>
      <w:r w:rsidR="00785574">
        <w:rPr>
          <w:rFonts w:ascii="Times New Roman" w:eastAsia="Calibri" w:hAnsi="Times New Roman" w:cs="Times New Roman"/>
          <w:sz w:val="28"/>
          <w:szCs w:val="28"/>
        </w:rPr>
        <w:t xml:space="preserve"> концентрацией более 1 мг/кг), </w:t>
      </w:r>
      <w:r w:rsidRPr="00644AC1">
        <w:rPr>
          <w:rFonts w:ascii="Times New Roman" w:eastAsia="Calibri" w:hAnsi="Times New Roman" w:cs="Times New Roman"/>
          <w:sz w:val="28"/>
          <w:szCs w:val="28"/>
        </w:rPr>
        <w:t>RSD</w:t>
      </w:r>
      <w:r w:rsidR="001F4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>≤</w:t>
      </w:r>
      <w:r w:rsidR="001F4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AC1">
        <w:rPr>
          <w:rFonts w:ascii="Times New Roman" w:eastAsia="Calibri" w:hAnsi="Times New Roman" w:cs="Times New Roman"/>
          <w:sz w:val="28"/>
          <w:szCs w:val="28"/>
        </w:rPr>
        <w:t>20</w:t>
      </w:r>
      <w:r w:rsidR="00C6124A">
        <w:rPr>
          <w:rFonts w:ascii="Times New Roman" w:eastAsia="Calibri" w:hAnsi="Times New Roman" w:cs="Times New Roman"/>
          <w:sz w:val="28"/>
          <w:szCs w:val="28"/>
        </w:rPr>
        <w:t> </w:t>
      </w:r>
      <w:r w:rsidRPr="00644AC1">
        <w:rPr>
          <w:rFonts w:ascii="Times New Roman" w:eastAsia="Calibri" w:hAnsi="Times New Roman" w:cs="Times New Roman"/>
          <w:sz w:val="28"/>
          <w:szCs w:val="28"/>
        </w:rPr>
        <w:t>% (для примесей с концентрацией менее 1 мг/кг).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 xml:space="preserve">Долговременную стабильность проверяют проведением испытания для градуировочного раствора в начале и конце последовательности измерений. Концентрацию градуировочного раствора выбирают в пределах диапазона </w:t>
      </w:r>
      <w:r w:rsidRPr="00644AC1">
        <w:rPr>
          <w:rFonts w:ascii="Times New Roman" w:eastAsia="Calibri" w:hAnsi="Times New Roman" w:cs="Times New Roman"/>
          <w:sz w:val="28"/>
          <w:szCs w:val="28"/>
        </w:rPr>
        <w:lastRenderedPageBreak/>
        <w:t>концентраций используемой градуировочной кривой. Измеренные концентрации не должны отличаться от фактических более чем на 10</w:t>
      </w:r>
      <w:r w:rsidR="00C6124A">
        <w:rPr>
          <w:rFonts w:ascii="Times New Roman" w:eastAsia="Calibri" w:hAnsi="Times New Roman" w:cs="Times New Roman"/>
          <w:sz w:val="28"/>
          <w:szCs w:val="28"/>
        </w:rPr>
        <w:t> </w:t>
      </w:r>
      <w:r w:rsidRPr="00644AC1">
        <w:rPr>
          <w:rFonts w:ascii="Times New Roman" w:eastAsia="Calibri" w:hAnsi="Times New Roman" w:cs="Times New Roman"/>
          <w:sz w:val="28"/>
          <w:szCs w:val="28"/>
        </w:rPr>
        <w:t>% (моноэлементный стандартный раствор) и на 20</w:t>
      </w:r>
      <w:r w:rsidR="00C6124A">
        <w:rPr>
          <w:rFonts w:ascii="Times New Roman" w:eastAsia="Calibri" w:hAnsi="Times New Roman" w:cs="Times New Roman"/>
          <w:sz w:val="28"/>
          <w:szCs w:val="28"/>
        </w:rPr>
        <w:t> </w:t>
      </w:r>
      <w:r w:rsidRPr="00644AC1">
        <w:rPr>
          <w:rFonts w:ascii="Times New Roman" w:eastAsia="Calibri" w:hAnsi="Times New Roman" w:cs="Times New Roman"/>
          <w:sz w:val="28"/>
          <w:szCs w:val="28"/>
        </w:rPr>
        <w:t>% (мультиэлементный стандартный раствор).</w:t>
      </w:r>
    </w:p>
    <w:p w:rsidR="00644AC1" w:rsidRPr="00644AC1" w:rsidRDefault="00644AC1" w:rsidP="0064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C1">
        <w:rPr>
          <w:rFonts w:ascii="Times New Roman" w:eastAsia="Calibri" w:hAnsi="Times New Roman" w:cs="Times New Roman"/>
          <w:sz w:val="28"/>
          <w:szCs w:val="28"/>
        </w:rPr>
        <w:t>В ходе проверки пригодности системы необходимо оптимизировать параметры прибора (скорость подачи образца и потоков газов, энергию плазмы, напряжение на ионных линзах и т.д.) для получения наибольшей интенсивности сигнала.</w:t>
      </w:r>
    </w:p>
    <w:p w:rsidR="00644AC1" w:rsidRPr="000440EF" w:rsidRDefault="00644AC1" w:rsidP="0004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40EF">
        <w:rPr>
          <w:rFonts w:ascii="Times New Roman" w:eastAsia="Calibri" w:hAnsi="Times New Roman" w:cs="Times New Roman"/>
          <w:b/>
          <w:i/>
          <w:sz w:val="28"/>
          <w:szCs w:val="28"/>
        </w:rPr>
        <w:t>Валидация методики</w:t>
      </w:r>
    </w:p>
    <w:p w:rsidR="003C4546" w:rsidRPr="00365767" w:rsidRDefault="003C4546" w:rsidP="003C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9C133C">
        <w:rPr>
          <w:rFonts w:ascii="Times New Roman" w:eastAsia="TimesNewRomanPSMT" w:hAnsi="Times New Roman"/>
          <w:i/>
          <w:iCs/>
          <w:color w:val="231F20"/>
          <w:sz w:val="28"/>
          <w:szCs w:val="28"/>
        </w:rPr>
        <w:t>Линейность.</w:t>
      </w:r>
      <w:r w:rsidRPr="00365767">
        <w:rPr>
          <w:rFonts w:ascii="Times New Roman" w:eastAsia="TimesNewRomanPSMT" w:hAnsi="Times New Roman"/>
          <w:i/>
          <w:iCs/>
          <w:color w:val="231F20"/>
          <w:sz w:val="28"/>
          <w:szCs w:val="28"/>
        </w:rPr>
        <w:t xml:space="preserve"> </w:t>
      </w: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 xml:space="preserve">Готовят и анализируют не менее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пяти калибровочных раст</w:t>
      </w: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 xml:space="preserve">воров, концентрация 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элементов в </w:t>
      </w: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>которых находится в пределах диапазона калибровки, и контрольный раствор. Проводят не менее пяти измерений. Используя все полученные данные, рассчитывают калибровочную кривую методом наименьших квадратов. Строят кривую регрессии, отмечая средние значения, измеренные значения и доверительный и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нтервал калибровочного графика.</w:t>
      </w:r>
    </w:p>
    <w:p w:rsidR="003C4546" w:rsidRPr="00365767" w:rsidRDefault="003C4546" w:rsidP="003C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>Метод является пригодным при условии соблюдения следующих требований:</w:t>
      </w:r>
    </w:p>
    <w:p w:rsidR="003C4546" w:rsidRPr="00365767" w:rsidRDefault="003C4546" w:rsidP="003C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>- коэффициент корреляции должен быть не менее 0,99;</w:t>
      </w:r>
    </w:p>
    <w:p w:rsidR="003C4546" w:rsidRPr="00365767" w:rsidRDefault="003C4546" w:rsidP="003C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 xml:space="preserve">- на калибровочном графике погрешности каждого калибровочного уровня должны быть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распределены случайным образом.</w:t>
      </w:r>
    </w:p>
    <w:p w:rsidR="003C4546" w:rsidRPr="00365767" w:rsidRDefault="003C4546" w:rsidP="003C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 xml:space="preserve">Рассчитывают среднее значение и относительное стандартное отклонение для наименьшего и наибольшего калибровочного уровня. В случае если отношение рассчитанного стандартного отклонения наименьшего и наибольшего калибровочного уровня менее 0,5 или более 2,0, то более точная оценка калибровочного графика может быть получена с использованием взвешенной линейной регрессии. Линейную и квадратичную весовую функции применяют к полученным данным для нахождения наиболее подходящей для использования весовой функции. Если средние </w:t>
      </w: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lastRenderedPageBreak/>
        <w:t>значения при сравнении с калибровочным графиком проявляют отклонение от линейности, используют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двухмерную линейную регрессию.</w:t>
      </w:r>
    </w:p>
    <w:p w:rsidR="003C4546" w:rsidRPr="00091DC2" w:rsidRDefault="003C4546" w:rsidP="003C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365767">
        <w:rPr>
          <w:rFonts w:ascii="Times New Roman" w:eastAsia="TimesNewRomanPSMT" w:hAnsi="Times New Roman"/>
          <w:i/>
          <w:color w:val="231F20"/>
          <w:sz w:val="28"/>
          <w:szCs w:val="28"/>
        </w:rPr>
        <w:t>Правильность.</w:t>
      </w: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 xml:space="preserve"> Предпочтительно оценивать правильность с использованием сертифицированных стандартных образцов. Если это невозможно, то правильность выражают через открываемость</w:t>
      </w:r>
      <w:r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Pr="0036576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В случае методик количественного определения </w:t>
      </w:r>
      <w:r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основных компонентов 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открываемость должна быть от 90 % до 110 %. </w:t>
      </w:r>
      <w:r>
        <w:rPr>
          <w:rFonts w:ascii="Times New Roman" w:eastAsia="TimesNewRomanPSMT" w:hAnsi="Times New Roman"/>
          <w:bCs/>
          <w:color w:val="231F20"/>
          <w:sz w:val="28"/>
          <w:szCs w:val="28"/>
        </w:rPr>
        <w:t>Д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ля определения </w:t>
      </w:r>
      <w:r w:rsidRPr="003A0782">
        <w:rPr>
          <w:rFonts w:ascii="Times New Roman" w:eastAsia="TimesNewRomanPSMT" w:hAnsi="Times New Roman"/>
          <w:bCs/>
          <w:sz w:val="28"/>
          <w:szCs w:val="28"/>
        </w:rPr>
        <w:t xml:space="preserve">следовых 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>количеств элемента</w:t>
      </w:r>
      <w:r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 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>открываемость должна быть от 80 % до 120 % от теоретического значения. Открываемость может быть определена с использованием подходящего раствора</w:t>
      </w:r>
      <w:r>
        <w:rPr>
          <w:rFonts w:ascii="Times New Roman" w:eastAsia="TimesNewRomanPSMT" w:hAnsi="Times New Roman"/>
          <w:bCs/>
          <w:color w:val="231F20"/>
          <w:sz w:val="28"/>
          <w:szCs w:val="28"/>
        </w:rPr>
        <w:t xml:space="preserve"> сравнения 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>(матричного раствора), содержащего известное количество определяемого элемента (средняя концентрация калибровочной кривой).</w:t>
      </w:r>
      <w:r w:rsidRPr="0079004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091DC2">
        <w:rPr>
          <w:rFonts w:ascii="Times New Roman" w:eastAsia="TimesNewRomanPSMT" w:hAnsi="Times New Roman"/>
          <w:color w:val="231F20"/>
          <w:sz w:val="28"/>
          <w:szCs w:val="28"/>
        </w:rPr>
        <w:t>Для ЛРС и ЛРП открываемость для растворов сравнения составляет от 70</w:t>
      </w:r>
      <w:r w:rsidR="00140518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091DC2">
        <w:rPr>
          <w:rFonts w:ascii="Times New Roman" w:eastAsia="TimesNewRomanPSMT" w:hAnsi="Times New Roman"/>
          <w:color w:val="231F20"/>
          <w:sz w:val="28"/>
          <w:szCs w:val="28"/>
        </w:rPr>
        <w:t>% до 150</w:t>
      </w:r>
      <w:r w:rsidR="00140518">
        <w:rPr>
          <w:rFonts w:ascii="Times New Roman" w:eastAsia="TimesNewRomanPSMT" w:hAnsi="Times New Roman"/>
          <w:color w:val="231F20"/>
          <w:sz w:val="28"/>
          <w:szCs w:val="28"/>
        </w:rPr>
        <w:t> % из-</w:t>
      </w:r>
      <w:r w:rsidRPr="00091DC2">
        <w:rPr>
          <w:rFonts w:ascii="Times New Roman" w:eastAsia="TimesNewRomanPSMT" w:hAnsi="Times New Roman"/>
          <w:color w:val="231F20"/>
          <w:sz w:val="28"/>
          <w:szCs w:val="28"/>
        </w:rPr>
        <w:t>за сложной органической матрицы испытуемых образцов.</w:t>
      </w:r>
    </w:p>
    <w:p w:rsidR="003C4546" w:rsidRPr="00082FC8" w:rsidRDefault="003C4546" w:rsidP="003C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65767">
        <w:rPr>
          <w:rFonts w:ascii="Times New Roman" w:eastAsia="TimesNewRomanPSMT" w:hAnsi="Times New Roman"/>
          <w:bCs/>
          <w:i/>
          <w:iCs/>
          <w:color w:val="231F20"/>
          <w:sz w:val="28"/>
          <w:szCs w:val="28"/>
        </w:rPr>
        <w:t xml:space="preserve">Повторяемость. </w:t>
      </w:r>
      <w:r w:rsidRPr="00091DC2">
        <w:rPr>
          <w:rFonts w:ascii="Times New Roman" w:eastAsia="TimesNewRomanPSMT" w:hAnsi="Times New Roman"/>
          <w:sz w:val="28"/>
          <w:szCs w:val="28"/>
        </w:rPr>
        <w:t>Критерии приемлемости: относительное стандартное отклонение не более 3 % для основного компонента, не более 5</w:t>
      </w:r>
      <w:r w:rsidR="00BF3641">
        <w:rPr>
          <w:rFonts w:ascii="Times New Roman" w:eastAsia="TimesNewRomanPSMT" w:hAnsi="Times New Roman"/>
          <w:sz w:val="28"/>
          <w:szCs w:val="28"/>
        </w:rPr>
        <w:t> </w:t>
      </w:r>
      <w:r w:rsidRPr="00091DC2">
        <w:rPr>
          <w:rFonts w:ascii="Times New Roman" w:eastAsia="TimesNewRomanPSMT" w:hAnsi="Times New Roman"/>
          <w:sz w:val="28"/>
          <w:szCs w:val="28"/>
        </w:rPr>
        <w:t>% для вспомогательного вещества</w:t>
      </w:r>
      <w:r w:rsidRPr="00082FC8">
        <w:rPr>
          <w:rFonts w:ascii="Times New Roman" w:eastAsia="TimesNewRomanPSMT" w:hAnsi="Times New Roman"/>
          <w:sz w:val="28"/>
          <w:szCs w:val="28"/>
        </w:rPr>
        <w:t>. Для ЛРС и ЛРП: не более 10 % для примесей с концентрацией, превышающей 1 мг/кг, не более 20 % для примесей с концентрацией менее 1 мг/кг (при условии, что определяемая величина лежит в диапазоне калибровки).</w:t>
      </w:r>
    </w:p>
    <w:p w:rsidR="003841C0" w:rsidRPr="00C34514" w:rsidRDefault="003C4546" w:rsidP="003C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767">
        <w:rPr>
          <w:rFonts w:ascii="Times New Roman" w:eastAsia="TimesNewRomanPSMT" w:hAnsi="Times New Roman"/>
          <w:bCs/>
          <w:i/>
          <w:iCs/>
          <w:color w:val="231F20"/>
          <w:sz w:val="28"/>
          <w:szCs w:val="28"/>
        </w:rPr>
        <w:t xml:space="preserve">Предел количественного определения. 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>Удостоверяются, что предел количественного определения, например, определ</w:t>
      </w:r>
      <w:r>
        <w:rPr>
          <w:rFonts w:ascii="Times New Roman" w:eastAsia="TimesNewRomanPSMT" w:hAnsi="Times New Roman"/>
          <w:bCs/>
          <w:color w:val="231F20"/>
          <w:sz w:val="28"/>
          <w:szCs w:val="28"/>
        </w:rPr>
        <w:t>ё</w:t>
      </w:r>
      <w:r w:rsidRPr="00365767">
        <w:rPr>
          <w:rFonts w:ascii="Times New Roman" w:eastAsia="TimesNewRomanPSMT" w:hAnsi="Times New Roman"/>
          <w:bCs/>
          <w:color w:val="231F20"/>
          <w:sz w:val="28"/>
          <w:szCs w:val="28"/>
        </w:rPr>
        <w:t>нный с использованием приближения 10°σ, ниже измеряемого значения</w:t>
      </w:r>
      <w:r>
        <w:rPr>
          <w:rFonts w:ascii="Times New Roman" w:eastAsia="TimesNewRomanPSMT" w:hAnsi="Times New Roman"/>
          <w:bCs/>
          <w:color w:val="231F20"/>
          <w:sz w:val="28"/>
          <w:szCs w:val="28"/>
        </w:rPr>
        <w:t>.</w:t>
      </w:r>
    </w:p>
    <w:sectPr w:rsidR="003841C0" w:rsidRPr="00C34514" w:rsidSect="00D273CB"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4C" w:rsidRDefault="005F694C" w:rsidP="00C34514">
      <w:pPr>
        <w:spacing w:after="0" w:line="240" w:lineRule="auto"/>
      </w:pPr>
      <w:r>
        <w:separator/>
      </w:r>
    </w:p>
  </w:endnote>
  <w:endnote w:type="continuationSeparator" w:id="0">
    <w:p w:rsidR="005F694C" w:rsidRDefault="005F694C" w:rsidP="00C3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7637"/>
      <w:docPartObj>
        <w:docPartGallery w:val="Page Numbers (Bottom of Page)"/>
        <w:docPartUnique/>
      </w:docPartObj>
    </w:sdtPr>
    <w:sdtEndPr/>
    <w:sdtContent>
      <w:p w:rsidR="005F694C" w:rsidRDefault="004A4EE8">
        <w:pPr>
          <w:pStyle w:val="a5"/>
          <w:jc w:val="center"/>
        </w:pPr>
        <w:r w:rsidRPr="00AF1B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694C" w:rsidRPr="00AF1B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1B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7A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1B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4C" w:rsidRDefault="005F694C" w:rsidP="00C34514">
      <w:pPr>
        <w:spacing w:after="0" w:line="240" w:lineRule="auto"/>
      </w:pPr>
      <w:r>
        <w:separator/>
      </w:r>
    </w:p>
  </w:footnote>
  <w:footnote w:type="continuationSeparator" w:id="0">
    <w:p w:rsidR="005F694C" w:rsidRDefault="005F694C" w:rsidP="00C3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2F68"/>
    <w:multiLevelType w:val="hybridMultilevel"/>
    <w:tmpl w:val="CA9A33A0"/>
    <w:lvl w:ilvl="0" w:tplc="21D8C1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514"/>
    <w:rsid w:val="000440EF"/>
    <w:rsid w:val="000B69AA"/>
    <w:rsid w:val="000C5804"/>
    <w:rsid w:val="000F3101"/>
    <w:rsid w:val="000F510E"/>
    <w:rsid w:val="0011407B"/>
    <w:rsid w:val="00116B29"/>
    <w:rsid w:val="00131AF0"/>
    <w:rsid w:val="00140518"/>
    <w:rsid w:val="00155624"/>
    <w:rsid w:val="001561E9"/>
    <w:rsid w:val="001568ED"/>
    <w:rsid w:val="0017437C"/>
    <w:rsid w:val="00175B4A"/>
    <w:rsid w:val="001868E3"/>
    <w:rsid w:val="001B116F"/>
    <w:rsid w:val="001B3D0A"/>
    <w:rsid w:val="001D5EE0"/>
    <w:rsid w:val="001E5808"/>
    <w:rsid w:val="001E6801"/>
    <w:rsid w:val="001F4FD9"/>
    <w:rsid w:val="00206BCA"/>
    <w:rsid w:val="002161F3"/>
    <w:rsid w:val="00227916"/>
    <w:rsid w:val="00255116"/>
    <w:rsid w:val="002705DB"/>
    <w:rsid w:val="00281F36"/>
    <w:rsid w:val="002B0D0A"/>
    <w:rsid w:val="002E021E"/>
    <w:rsid w:val="002F52CE"/>
    <w:rsid w:val="00314302"/>
    <w:rsid w:val="00353D06"/>
    <w:rsid w:val="00375D15"/>
    <w:rsid w:val="0037772A"/>
    <w:rsid w:val="00380EBC"/>
    <w:rsid w:val="003841C0"/>
    <w:rsid w:val="003A4C7D"/>
    <w:rsid w:val="003C4546"/>
    <w:rsid w:val="003D06B0"/>
    <w:rsid w:val="003E60BA"/>
    <w:rsid w:val="003F0996"/>
    <w:rsid w:val="003F393D"/>
    <w:rsid w:val="00404514"/>
    <w:rsid w:val="00405DD4"/>
    <w:rsid w:val="004573A5"/>
    <w:rsid w:val="0049169F"/>
    <w:rsid w:val="00491FF0"/>
    <w:rsid w:val="004A4EE8"/>
    <w:rsid w:val="00504669"/>
    <w:rsid w:val="00555BC0"/>
    <w:rsid w:val="00577D7A"/>
    <w:rsid w:val="00581AA7"/>
    <w:rsid w:val="00590420"/>
    <w:rsid w:val="005E323A"/>
    <w:rsid w:val="005F694C"/>
    <w:rsid w:val="00644AC1"/>
    <w:rsid w:val="00670D41"/>
    <w:rsid w:val="00671DC3"/>
    <w:rsid w:val="006A20A5"/>
    <w:rsid w:val="00713338"/>
    <w:rsid w:val="00723115"/>
    <w:rsid w:val="0072453E"/>
    <w:rsid w:val="00785574"/>
    <w:rsid w:val="007D3CDC"/>
    <w:rsid w:val="007D3CE6"/>
    <w:rsid w:val="007E7A85"/>
    <w:rsid w:val="007F1C4E"/>
    <w:rsid w:val="00886E92"/>
    <w:rsid w:val="008A762F"/>
    <w:rsid w:val="008B6B6F"/>
    <w:rsid w:val="00932411"/>
    <w:rsid w:val="00954CE0"/>
    <w:rsid w:val="009763D4"/>
    <w:rsid w:val="009867A0"/>
    <w:rsid w:val="009A2384"/>
    <w:rsid w:val="009C133C"/>
    <w:rsid w:val="00A67CEA"/>
    <w:rsid w:val="00AF0C52"/>
    <w:rsid w:val="00AF1BA1"/>
    <w:rsid w:val="00B35F50"/>
    <w:rsid w:val="00B52C4E"/>
    <w:rsid w:val="00BF3641"/>
    <w:rsid w:val="00C0198E"/>
    <w:rsid w:val="00C02CA4"/>
    <w:rsid w:val="00C2300A"/>
    <w:rsid w:val="00C25E55"/>
    <w:rsid w:val="00C34514"/>
    <w:rsid w:val="00C37239"/>
    <w:rsid w:val="00C6124A"/>
    <w:rsid w:val="00C71551"/>
    <w:rsid w:val="00C73B9E"/>
    <w:rsid w:val="00C74712"/>
    <w:rsid w:val="00C86DEC"/>
    <w:rsid w:val="00C91DA2"/>
    <w:rsid w:val="00CC6CAC"/>
    <w:rsid w:val="00D109F4"/>
    <w:rsid w:val="00D273CB"/>
    <w:rsid w:val="00D861A8"/>
    <w:rsid w:val="00D86904"/>
    <w:rsid w:val="00D9600F"/>
    <w:rsid w:val="00E0272F"/>
    <w:rsid w:val="00E10B4F"/>
    <w:rsid w:val="00E1689E"/>
    <w:rsid w:val="00E21076"/>
    <w:rsid w:val="00E607FC"/>
    <w:rsid w:val="00E8714D"/>
    <w:rsid w:val="00EA0362"/>
    <w:rsid w:val="00EB354C"/>
    <w:rsid w:val="00EB6056"/>
    <w:rsid w:val="00F1519C"/>
    <w:rsid w:val="00F15F5D"/>
    <w:rsid w:val="00F46820"/>
    <w:rsid w:val="00F940D7"/>
    <w:rsid w:val="00F94AEB"/>
    <w:rsid w:val="00F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E4C65D-21BC-4FA4-9AEE-7A2D82B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514"/>
  </w:style>
  <w:style w:type="paragraph" w:styleId="a5">
    <w:name w:val="footer"/>
    <w:basedOn w:val="a"/>
    <w:link w:val="a6"/>
    <w:uiPriority w:val="99"/>
    <w:unhideWhenUsed/>
    <w:rsid w:val="00C3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514"/>
  </w:style>
  <w:style w:type="paragraph" w:styleId="a7">
    <w:name w:val="Normal (Web)"/>
    <w:basedOn w:val="a"/>
    <w:uiPriority w:val="99"/>
    <w:semiHidden/>
    <w:unhideWhenUsed/>
    <w:rsid w:val="00644AC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A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0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0FE3-7563-448D-9868-9D9D7D8F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116</cp:revision>
  <dcterms:created xsi:type="dcterms:W3CDTF">2022-04-26T07:27:00Z</dcterms:created>
  <dcterms:modified xsi:type="dcterms:W3CDTF">2023-07-12T10:30:00Z</dcterms:modified>
</cp:coreProperties>
</file>