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B46B3" w:rsidRPr="003D0137" w:rsidRDefault="00FB46B3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FB46B3" w:rsidRPr="003D0137" w:rsidRDefault="00FB46B3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FB46B3" w:rsidRPr="003D0137" w:rsidRDefault="00FB46B3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1A5D3A">
        <w:trPr>
          <w:jc w:val="center"/>
        </w:trPr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1A5D3A">
        <w:trPr>
          <w:trHeight w:val="454"/>
          <w:jc w:val="center"/>
        </w:trPr>
        <w:tc>
          <w:tcPr>
            <w:tcW w:w="5494" w:type="dxa"/>
          </w:tcPr>
          <w:p w:rsidR="00341DC8" w:rsidRPr="001A5D3A" w:rsidRDefault="00940187" w:rsidP="003D0137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Индикаторные трубки</w:t>
            </w:r>
          </w:p>
        </w:tc>
        <w:tc>
          <w:tcPr>
            <w:tcW w:w="283" w:type="dxa"/>
          </w:tcPr>
          <w:p w:rsidR="00341DC8" w:rsidRPr="00C64DC5" w:rsidRDefault="00341DC8" w:rsidP="003D013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A6245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7740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</w:t>
            </w:r>
            <w:r w:rsidR="00A624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0032</w:t>
            </w:r>
            <w:bookmarkStart w:id="0" w:name="_GoBack"/>
            <w:bookmarkEnd w:id="0"/>
          </w:p>
        </w:tc>
      </w:tr>
      <w:tr w:rsidR="00341DC8" w:rsidRPr="00C64DC5" w:rsidTr="001A5D3A">
        <w:trPr>
          <w:jc w:val="center"/>
        </w:trPr>
        <w:tc>
          <w:tcPr>
            <w:tcW w:w="5494" w:type="dxa"/>
          </w:tcPr>
          <w:p w:rsidR="00C043DD" w:rsidRPr="00C043DD" w:rsidRDefault="00C043DD" w:rsidP="003D0137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C043DD" w:rsidRDefault="00341DC8" w:rsidP="003D013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341DC8" w:rsidP="003D013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1A5D3A">
        <w:trPr>
          <w:jc w:val="center"/>
        </w:trPr>
        <w:tc>
          <w:tcPr>
            <w:tcW w:w="9356" w:type="dxa"/>
          </w:tcPr>
          <w:p w:rsidR="00B65ECE" w:rsidRPr="00B65ECE" w:rsidRDefault="00B65ECE" w:rsidP="003D0137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AF6B80" w:rsidRDefault="00AF6B80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80" w:rsidRDefault="00954519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B80">
        <w:rPr>
          <w:rFonts w:ascii="Times New Roman" w:hAnsi="Times New Roman"/>
          <w:sz w:val="28"/>
          <w:szCs w:val="28"/>
        </w:rPr>
        <w:t>В настоящей общей фармакопейной статье приведена характеристика индикаторных трубок, используемых в фармацевтической практике для определения веществ, как правило, примесей, в газах медицинских</w:t>
      </w:r>
      <w:r w:rsidR="009036F9">
        <w:rPr>
          <w:rFonts w:ascii="Times New Roman" w:hAnsi="Times New Roman"/>
          <w:sz w:val="28"/>
          <w:szCs w:val="28"/>
        </w:rPr>
        <w:t>.</w:t>
      </w:r>
    </w:p>
    <w:p w:rsidR="00940187" w:rsidRPr="00940187" w:rsidRDefault="00940187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87">
        <w:rPr>
          <w:rFonts w:ascii="Times New Roman" w:hAnsi="Times New Roman"/>
          <w:sz w:val="28"/>
          <w:szCs w:val="28"/>
        </w:rPr>
        <w:t>Индикаторная трубка</w:t>
      </w:r>
      <w:r w:rsidR="005B6A3C">
        <w:rPr>
          <w:rFonts w:ascii="Times New Roman" w:hAnsi="Times New Roman"/>
          <w:sz w:val="28"/>
          <w:szCs w:val="28"/>
        </w:rPr>
        <w:t xml:space="preserve"> (газодетекторная трубка)</w:t>
      </w:r>
      <w:r w:rsidRPr="00940187">
        <w:rPr>
          <w:rFonts w:ascii="Times New Roman" w:hAnsi="Times New Roman"/>
          <w:sz w:val="28"/>
          <w:szCs w:val="28"/>
        </w:rPr>
        <w:t xml:space="preserve"> ‒ это измерительный преобразователь, представляющий собой цилиндрическую герметичную трубку из инертного, оптически прозрачного материала, сконструированную таким образом, чтобы пропускать газ. Индикаторная трубка заполнена сорбентом (индикаторным порошком, индикаторным наполнителем), </w:t>
      </w:r>
      <w:r w:rsidR="00BE19A9">
        <w:rPr>
          <w:rFonts w:ascii="Times New Roman" w:hAnsi="Times New Roman"/>
          <w:sz w:val="28"/>
          <w:szCs w:val="28"/>
        </w:rPr>
        <w:t>изменяющим</w:t>
      </w:r>
      <w:r w:rsidRPr="00940187">
        <w:rPr>
          <w:rFonts w:ascii="Times New Roman" w:hAnsi="Times New Roman"/>
          <w:sz w:val="28"/>
          <w:szCs w:val="28"/>
        </w:rPr>
        <w:t xml:space="preserve"> оптические свойства под действием проникающих внутрь трубки веществ.</w:t>
      </w:r>
    </w:p>
    <w:p w:rsidR="00FB46B3" w:rsidRDefault="00AE4767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963">
        <w:rPr>
          <w:rFonts w:ascii="Times New Roman" w:hAnsi="Times New Roman"/>
          <w:b/>
          <w:sz w:val="28"/>
          <w:szCs w:val="28"/>
        </w:rPr>
        <w:t>В</w:t>
      </w:r>
      <w:r w:rsidR="00940187" w:rsidRPr="00136963">
        <w:rPr>
          <w:rFonts w:ascii="Times New Roman" w:hAnsi="Times New Roman"/>
          <w:b/>
          <w:sz w:val="28"/>
          <w:szCs w:val="28"/>
        </w:rPr>
        <w:t>иды индикаторных трубок</w:t>
      </w:r>
    </w:p>
    <w:p w:rsidR="00940187" w:rsidRPr="00940187" w:rsidRDefault="005F2573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40187" w:rsidRPr="00940187">
        <w:rPr>
          <w:rFonts w:ascii="Times New Roman" w:hAnsi="Times New Roman"/>
          <w:sz w:val="28"/>
          <w:szCs w:val="28"/>
        </w:rPr>
        <w:t xml:space="preserve">колористическая: индикаторная трубка, позволяющая измерять содержание вещества в анализируемой газовой среде, </w:t>
      </w:r>
      <w:r w:rsidR="00B910A6">
        <w:rPr>
          <w:rFonts w:ascii="Times New Roman" w:hAnsi="Times New Roman"/>
          <w:sz w:val="28"/>
          <w:szCs w:val="28"/>
        </w:rPr>
        <w:t>пропускаемой</w:t>
      </w:r>
      <w:r w:rsidR="00F40A3D">
        <w:rPr>
          <w:rFonts w:ascii="Times New Roman" w:hAnsi="Times New Roman"/>
          <w:sz w:val="28"/>
          <w:szCs w:val="28"/>
        </w:rPr>
        <w:t xml:space="preserve"> </w:t>
      </w:r>
      <w:r w:rsidR="00940187" w:rsidRPr="00940187">
        <w:rPr>
          <w:rFonts w:ascii="Times New Roman" w:hAnsi="Times New Roman"/>
          <w:sz w:val="28"/>
          <w:szCs w:val="28"/>
        </w:rPr>
        <w:t>через индикаторную трубку, по длине изменившего первоначальную окраску слоя индикаторного порошка;</w:t>
      </w:r>
    </w:p>
    <w:p w:rsidR="00940187" w:rsidRPr="00940187" w:rsidRDefault="005F2573" w:rsidP="00DD4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40187" w:rsidRPr="00940187">
        <w:rPr>
          <w:rFonts w:ascii="Times New Roman" w:hAnsi="Times New Roman"/>
          <w:sz w:val="28"/>
          <w:szCs w:val="28"/>
        </w:rPr>
        <w:t xml:space="preserve">колориметрическая: индикаторная трубка, позволяющая судить о содержании определяемого вещества в анализируемой газовой среде, </w:t>
      </w:r>
      <w:r w:rsidR="00C56739">
        <w:rPr>
          <w:rFonts w:ascii="Times New Roman" w:hAnsi="Times New Roman"/>
          <w:sz w:val="28"/>
          <w:szCs w:val="28"/>
        </w:rPr>
        <w:t>про</w:t>
      </w:r>
      <w:r w:rsidR="00D15472">
        <w:rPr>
          <w:rFonts w:ascii="Times New Roman" w:hAnsi="Times New Roman"/>
          <w:sz w:val="28"/>
          <w:szCs w:val="28"/>
        </w:rPr>
        <w:t>сасываемой</w:t>
      </w:r>
      <w:r w:rsidR="00D335D9">
        <w:rPr>
          <w:rFonts w:ascii="Times New Roman" w:hAnsi="Times New Roman"/>
          <w:sz w:val="28"/>
          <w:szCs w:val="28"/>
        </w:rPr>
        <w:t xml:space="preserve"> через индикаторную трубку, путё</w:t>
      </w:r>
      <w:r w:rsidR="00940187" w:rsidRPr="00940187">
        <w:rPr>
          <w:rFonts w:ascii="Times New Roman" w:hAnsi="Times New Roman"/>
          <w:sz w:val="28"/>
          <w:szCs w:val="28"/>
        </w:rPr>
        <w:t>м сравнения изменившейся окраски индикаторного порошка с прилагаемой цветной шкалой (или цветным образцом).</w:t>
      </w:r>
    </w:p>
    <w:p w:rsidR="00FB46B3" w:rsidRDefault="004668BA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8BA">
        <w:rPr>
          <w:rFonts w:ascii="Times New Roman" w:hAnsi="Times New Roman"/>
          <w:b/>
          <w:sz w:val="28"/>
          <w:szCs w:val="28"/>
        </w:rPr>
        <w:lastRenderedPageBreak/>
        <w:t>Сорбенты</w:t>
      </w:r>
      <w:r w:rsidR="007876B3">
        <w:rPr>
          <w:rFonts w:ascii="Times New Roman" w:hAnsi="Times New Roman"/>
          <w:b/>
          <w:sz w:val="28"/>
          <w:szCs w:val="28"/>
        </w:rPr>
        <w:t xml:space="preserve"> (</w:t>
      </w:r>
      <w:r w:rsidR="00B04549">
        <w:rPr>
          <w:rFonts w:ascii="Times New Roman" w:hAnsi="Times New Roman"/>
          <w:b/>
          <w:sz w:val="28"/>
          <w:szCs w:val="28"/>
        </w:rPr>
        <w:t>и</w:t>
      </w:r>
      <w:r w:rsidR="007876B3">
        <w:rPr>
          <w:rFonts w:ascii="Times New Roman" w:hAnsi="Times New Roman"/>
          <w:b/>
          <w:sz w:val="28"/>
          <w:szCs w:val="28"/>
        </w:rPr>
        <w:t>ндикаторные порошки)</w:t>
      </w:r>
    </w:p>
    <w:p w:rsidR="00940187" w:rsidRDefault="00940187" w:rsidP="00DD4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87">
        <w:rPr>
          <w:rFonts w:ascii="Times New Roman" w:hAnsi="Times New Roman"/>
          <w:sz w:val="28"/>
          <w:szCs w:val="28"/>
        </w:rPr>
        <w:t>В качестве основы для индикаторного порошка обычно используют сорбент с высокоразвитой удельной поверхностью для более полного поглощения анализируемого веществ</w:t>
      </w:r>
      <w:r w:rsidR="00D335D9">
        <w:rPr>
          <w:rFonts w:ascii="Times New Roman" w:hAnsi="Times New Roman"/>
          <w:sz w:val="28"/>
          <w:szCs w:val="28"/>
        </w:rPr>
        <w:t>а, например, силикагель определё</w:t>
      </w:r>
      <w:r w:rsidRPr="00940187">
        <w:rPr>
          <w:rFonts w:ascii="Times New Roman" w:hAnsi="Times New Roman"/>
          <w:sz w:val="28"/>
          <w:szCs w:val="28"/>
        </w:rPr>
        <w:t>нных марок. Реже применяют сорбенты с малой удельной поверхностью, например, дробл</w:t>
      </w:r>
      <w:r w:rsidR="00B04549">
        <w:rPr>
          <w:rFonts w:ascii="Times New Roman" w:hAnsi="Times New Roman"/>
          <w:sz w:val="28"/>
          <w:szCs w:val="28"/>
        </w:rPr>
        <w:t>ё</w:t>
      </w:r>
      <w:r w:rsidRPr="00940187">
        <w:rPr>
          <w:rFonts w:ascii="Times New Roman" w:hAnsi="Times New Roman"/>
          <w:sz w:val="28"/>
          <w:szCs w:val="28"/>
        </w:rPr>
        <w:t>ны</w:t>
      </w:r>
      <w:r w:rsidR="00AE4767">
        <w:rPr>
          <w:rFonts w:ascii="Times New Roman" w:hAnsi="Times New Roman"/>
          <w:sz w:val="28"/>
          <w:szCs w:val="28"/>
        </w:rPr>
        <w:t>е</w:t>
      </w:r>
      <w:r w:rsidRPr="00940187">
        <w:rPr>
          <w:rFonts w:ascii="Times New Roman" w:hAnsi="Times New Roman"/>
          <w:sz w:val="28"/>
          <w:szCs w:val="28"/>
        </w:rPr>
        <w:t xml:space="preserve"> фарфор или нейтральное стекло. При получении индикаторных порошков основу пропитывают растворами соответствующих реактивов и индикаторов, которые должны вступить в реакцию с анализируемым веществом ‒ компонентом испытуемого газа, заполняющего трубку, с образованием окрашенного продукта реакции, изменяющего первоначальный цвет трубки. Индикаторные трубки при необходимости могут содержать адсорбирующие фильтры и/или слои так называемых </w:t>
      </w:r>
      <w:r w:rsidR="00B04549">
        <w:rPr>
          <w:rFonts w:ascii="Times New Roman" w:hAnsi="Times New Roman"/>
          <w:sz w:val="28"/>
          <w:szCs w:val="28"/>
        </w:rPr>
        <w:t>«</w:t>
      </w:r>
      <w:r w:rsidRPr="00940187">
        <w:rPr>
          <w:rFonts w:ascii="Times New Roman" w:hAnsi="Times New Roman"/>
          <w:sz w:val="28"/>
          <w:szCs w:val="28"/>
        </w:rPr>
        <w:t>предварительных сорбентов</w:t>
      </w:r>
      <w:r w:rsidR="00B04549">
        <w:rPr>
          <w:rFonts w:ascii="Times New Roman" w:hAnsi="Times New Roman"/>
          <w:sz w:val="28"/>
          <w:szCs w:val="28"/>
        </w:rPr>
        <w:t>»</w:t>
      </w:r>
      <w:r w:rsidRPr="00940187">
        <w:rPr>
          <w:rFonts w:ascii="Times New Roman" w:hAnsi="Times New Roman"/>
          <w:sz w:val="28"/>
          <w:szCs w:val="28"/>
        </w:rPr>
        <w:t xml:space="preserve"> для устранения компонентов газа, мешающих обнаруживаемому веществу. Слой индикатора может содержать </w:t>
      </w:r>
      <w:r w:rsidR="00C56739">
        <w:rPr>
          <w:rFonts w:ascii="Times New Roman" w:hAnsi="Times New Roman"/>
          <w:sz w:val="28"/>
          <w:szCs w:val="28"/>
        </w:rPr>
        <w:t>реактивы для обнаружения какой-</w:t>
      </w:r>
      <w:r w:rsidRPr="00940187">
        <w:rPr>
          <w:rFonts w:ascii="Times New Roman" w:hAnsi="Times New Roman"/>
          <w:sz w:val="28"/>
          <w:szCs w:val="28"/>
        </w:rPr>
        <w:t xml:space="preserve">либо одной примеси (монослойная трубка) </w:t>
      </w:r>
      <w:r w:rsidR="00C56739">
        <w:rPr>
          <w:rFonts w:ascii="Times New Roman" w:hAnsi="Times New Roman"/>
          <w:sz w:val="28"/>
          <w:szCs w:val="28"/>
        </w:rPr>
        <w:t>или</w:t>
      </w:r>
      <w:r w:rsidRPr="00940187">
        <w:rPr>
          <w:rFonts w:ascii="Times New Roman" w:hAnsi="Times New Roman"/>
          <w:sz w:val="28"/>
          <w:szCs w:val="28"/>
        </w:rPr>
        <w:t xml:space="preserve"> реактивы для обнаружения нескольких веществ (многослойная трубка). После пропитывания реактивами индикаторный порошок высушивают и помещают в индикаторную трубку.</w:t>
      </w:r>
    </w:p>
    <w:p w:rsidR="00FB46B3" w:rsidRDefault="007876B3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6B3">
        <w:rPr>
          <w:rFonts w:ascii="Times New Roman" w:hAnsi="Times New Roman"/>
          <w:b/>
          <w:sz w:val="28"/>
          <w:szCs w:val="28"/>
        </w:rPr>
        <w:t>Требования к индикаторным трубкам</w:t>
      </w:r>
    </w:p>
    <w:p w:rsidR="00FB46B3" w:rsidRDefault="004668BA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70B33">
        <w:rPr>
          <w:sz w:val="28"/>
          <w:szCs w:val="28"/>
        </w:rPr>
        <w:t xml:space="preserve">Габаритные размеры индикаторных трубок должны быть установлены в стандартах и/или технических документах на индикаторные трубки конкретных типов, при этом длина индикаторных трубок должна быть </w:t>
      </w:r>
      <w:r w:rsidR="00B04549">
        <w:rPr>
          <w:sz w:val="28"/>
          <w:szCs w:val="28"/>
        </w:rPr>
        <w:br/>
      </w:r>
      <w:r w:rsidR="00DE6628">
        <w:rPr>
          <w:sz w:val="28"/>
          <w:szCs w:val="28"/>
        </w:rPr>
        <w:t>80–</w:t>
      </w:r>
      <w:r w:rsidRPr="00F70B33">
        <w:rPr>
          <w:sz w:val="28"/>
          <w:szCs w:val="28"/>
        </w:rPr>
        <w:t>160</w:t>
      </w:r>
      <w:r w:rsidR="00F70B33">
        <w:rPr>
          <w:sz w:val="28"/>
          <w:szCs w:val="28"/>
        </w:rPr>
        <w:t> </w:t>
      </w:r>
      <w:r w:rsidRPr="00F70B33">
        <w:rPr>
          <w:sz w:val="28"/>
          <w:szCs w:val="28"/>
        </w:rPr>
        <w:t>мм (с предельными отклонениями ±10</w:t>
      </w:r>
      <w:r w:rsidR="00F70B33">
        <w:rPr>
          <w:sz w:val="28"/>
          <w:szCs w:val="28"/>
        </w:rPr>
        <w:t> </w:t>
      </w:r>
      <w:r w:rsidRPr="00F70B33">
        <w:rPr>
          <w:sz w:val="28"/>
          <w:szCs w:val="28"/>
        </w:rPr>
        <w:t xml:space="preserve">мм), а диаметр </w:t>
      </w:r>
      <w:r w:rsidR="00F70B33">
        <w:rPr>
          <w:sz w:val="28"/>
          <w:szCs w:val="28"/>
        </w:rPr>
        <w:t>–</w:t>
      </w:r>
      <w:r w:rsidR="00DE6628">
        <w:rPr>
          <w:sz w:val="28"/>
          <w:szCs w:val="28"/>
        </w:rPr>
        <w:t xml:space="preserve"> 4,0–</w:t>
      </w:r>
      <w:r w:rsidRPr="00F70B33">
        <w:rPr>
          <w:sz w:val="28"/>
          <w:szCs w:val="28"/>
        </w:rPr>
        <w:t>6,5</w:t>
      </w:r>
      <w:r w:rsidR="00F70B33">
        <w:rPr>
          <w:sz w:val="28"/>
          <w:szCs w:val="28"/>
        </w:rPr>
        <w:t> </w:t>
      </w:r>
      <w:r w:rsidRPr="00F70B33">
        <w:rPr>
          <w:sz w:val="28"/>
          <w:szCs w:val="28"/>
        </w:rPr>
        <w:t xml:space="preserve">мм </w:t>
      </w:r>
      <w:r w:rsidR="00B04549">
        <w:rPr>
          <w:sz w:val="28"/>
          <w:szCs w:val="28"/>
        </w:rPr>
        <w:br/>
      </w:r>
      <w:r w:rsidRPr="00F70B33">
        <w:rPr>
          <w:sz w:val="28"/>
          <w:szCs w:val="28"/>
        </w:rPr>
        <w:t>(с предельными отклонениями ±0,25</w:t>
      </w:r>
      <w:r w:rsidR="00F70B33">
        <w:rPr>
          <w:sz w:val="28"/>
          <w:szCs w:val="28"/>
        </w:rPr>
        <w:t> </w:t>
      </w:r>
      <w:r w:rsidRPr="00F70B33">
        <w:rPr>
          <w:sz w:val="28"/>
          <w:szCs w:val="28"/>
        </w:rPr>
        <w:t>мм).</w:t>
      </w:r>
    </w:p>
    <w:p w:rsidR="00E96278" w:rsidRPr="00E57FEA" w:rsidRDefault="004668BA" w:rsidP="00E96278">
      <w:pPr>
        <w:pStyle w:val="formattext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7FEA">
        <w:rPr>
          <w:sz w:val="28"/>
          <w:szCs w:val="28"/>
        </w:rPr>
        <w:t>Технические требования к исполнению шкал индикаторных трубок должны быть установлены в стандартах и/или технических документах на индикаторные трубки конкретных типов.</w:t>
      </w:r>
    </w:p>
    <w:p w:rsidR="004668BA" w:rsidRPr="00E57FEA" w:rsidRDefault="004668BA" w:rsidP="004668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A">
        <w:rPr>
          <w:rFonts w:ascii="Times New Roman" w:hAnsi="Times New Roman"/>
          <w:sz w:val="28"/>
          <w:szCs w:val="28"/>
        </w:rPr>
        <w:t>Масса индикаторных трубок должна быть установлена в стандартах и/или технических документах на индикаторные трубки конкретных типов.</w:t>
      </w:r>
    </w:p>
    <w:p w:rsidR="00F70B33" w:rsidRDefault="00940187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A">
        <w:rPr>
          <w:rFonts w:ascii="Times New Roman" w:hAnsi="Times New Roman"/>
          <w:sz w:val="28"/>
          <w:szCs w:val="28"/>
        </w:rPr>
        <w:lastRenderedPageBreak/>
        <w:t>Индикаторные трубки должны быть откалиброваны. Химическое преобразование анализируемого вещества в индикаторной трубке пропорционально массе реагирующего газа.</w:t>
      </w:r>
    </w:p>
    <w:p w:rsidR="00FB46B3" w:rsidRDefault="00C36D61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951">
        <w:rPr>
          <w:rFonts w:ascii="Times New Roman" w:hAnsi="Times New Roman"/>
          <w:b/>
          <w:sz w:val="28"/>
          <w:szCs w:val="28"/>
        </w:rPr>
        <w:t>Метод</w:t>
      </w:r>
      <w:r w:rsidR="006F4951">
        <w:rPr>
          <w:rFonts w:ascii="Times New Roman" w:hAnsi="Times New Roman"/>
          <w:b/>
          <w:sz w:val="28"/>
          <w:szCs w:val="28"/>
        </w:rPr>
        <w:t>ы определения</w:t>
      </w:r>
    </w:p>
    <w:p w:rsidR="00940187" w:rsidRPr="00940187" w:rsidRDefault="00940187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DE">
        <w:rPr>
          <w:rFonts w:ascii="Times New Roman" w:hAnsi="Times New Roman"/>
          <w:sz w:val="28"/>
          <w:szCs w:val="28"/>
        </w:rPr>
        <w:t>Определение анализируемых веществ осуществляют одним из двух методов: или по длине окрашенного слоя индикаторного порошка</w:t>
      </w:r>
      <w:r w:rsidR="000C528E">
        <w:rPr>
          <w:rFonts w:ascii="Times New Roman" w:hAnsi="Times New Roman"/>
          <w:sz w:val="28"/>
          <w:szCs w:val="28"/>
        </w:rPr>
        <w:t xml:space="preserve"> –</w:t>
      </w:r>
      <w:r w:rsidRPr="002427DE">
        <w:rPr>
          <w:rFonts w:ascii="Times New Roman" w:hAnsi="Times New Roman"/>
          <w:sz w:val="28"/>
          <w:szCs w:val="28"/>
        </w:rPr>
        <w:t xml:space="preserve"> линейно-колористический метод, или по степени интенсивности окрашивания </w:t>
      </w:r>
      <w:r w:rsidR="002427DE" w:rsidRPr="002427DE">
        <w:rPr>
          <w:rFonts w:ascii="Times New Roman" w:hAnsi="Times New Roman"/>
          <w:sz w:val="28"/>
          <w:szCs w:val="28"/>
        </w:rPr>
        <w:t>–</w:t>
      </w:r>
      <w:r w:rsidRPr="002427DE">
        <w:rPr>
          <w:rFonts w:ascii="Times New Roman" w:hAnsi="Times New Roman"/>
          <w:sz w:val="28"/>
          <w:szCs w:val="28"/>
        </w:rPr>
        <w:t xml:space="preserve"> колориметрический метод.</w:t>
      </w:r>
      <w:r w:rsidRPr="00940187">
        <w:rPr>
          <w:rFonts w:ascii="Times New Roman" w:hAnsi="Times New Roman"/>
          <w:sz w:val="28"/>
          <w:szCs w:val="28"/>
        </w:rPr>
        <w:t xml:space="preserve"> Калибровка индикаторных трубок в линейно-колористическом методе заключается в нахождении зависимости длины окрашенного слоя (в мм) от концентрации анализируемого вещества. Полученн</w:t>
      </w:r>
      <w:r w:rsidR="00AE4767">
        <w:rPr>
          <w:rFonts w:ascii="Times New Roman" w:hAnsi="Times New Roman"/>
          <w:sz w:val="28"/>
          <w:szCs w:val="28"/>
        </w:rPr>
        <w:t>ый</w:t>
      </w:r>
      <w:r w:rsidRPr="00940187">
        <w:rPr>
          <w:rFonts w:ascii="Times New Roman" w:hAnsi="Times New Roman"/>
          <w:sz w:val="28"/>
          <w:szCs w:val="28"/>
        </w:rPr>
        <w:t xml:space="preserve"> в результате калибровки цветовой стандарт, отградуированн</w:t>
      </w:r>
      <w:r w:rsidR="00AE4767">
        <w:rPr>
          <w:rFonts w:ascii="Times New Roman" w:hAnsi="Times New Roman"/>
          <w:sz w:val="28"/>
          <w:szCs w:val="28"/>
        </w:rPr>
        <w:t>ый</w:t>
      </w:r>
      <w:r w:rsidRPr="00940187">
        <w:rPr>
          <w:rFonts w:ascii="Times New Roman" w:hAnsi="Times New Roman"/>
          <w:sz w:val="28"/>
          <w:szCs w:val="28"/>
        </w:rPr>
        <w:t xml:space="preserve"> в концентрациях определяемого вещества, используют для установления количества последнего в точке контроля с помощью индикаторной трубки.</w:t>
      </w:r>
    </w:p>
    <w:p w:rsidR="00F70B33" w:rsidRDefault="0086565D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Испытание проводят путё</w:t>
      </w:r>
      <w:r w:rsidR="00940187" w:rsidRPr="00940187">
        <w:rPr>
          <w:rFonts w:ascii="Times New Roman" w:hAnsi="Times New Roman"/>
          <w:sz w:val="28"/>
          <w:szCs w:val="28"/>
        </w:rPr>
        <w:t>м пропус</w:t>
      </w:r>
      <w:r>
        <w:rPr>
          <w:rFonts w:ascii="Times New Roman" w:hAnsi="Times New Roman"/>
          <w:sz w:val="28"/>
          <w:szCs w:val="28"/>
        </w:rPr>
        <w:t>кания необходимого объё</w:t>
      </w:r>
      <w:r w:rsidR="00940187" w:rsidRPr="00940187">
        <w:rPr>
          <w:rFonts w:ascii="Times New Roman" w:hAnsi="Times New Roman"/>
          <w:sz w:val="28"/>
          <w:szCs w:val="28"/>
        </w:rPr>
        <w:t>ма исследуемого газа через индикаторную трубку. Содержание примесей или других анализируемых веществ интерпретируют, исходя из длины окрашенного слоя индикаторного порошка или интенсивности изменения цвета по градуированной шкале.</w:t>
      </w:r>
    </w:p>
    <w:p w:rsidR="00940187" w:rsidRPr="00F70B33" w:rsidRDefault="00F70B33" w:rsidP="00940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B33">
        <w:rPr>
          <w:rFonts w:ascii="Times New Roman" w:hAnsi="Times New Roman"/>
          <w:sz w:val="28"/>
          <w:szCs w:val="28"/>
        </w:rPr>
        <w:t>Д</w:t>
      </w:r>
      <w:r w:rsidR="004668BA" w:rsidRPr="00F70B33">
        <w:rPr>
          <w:rFonts w:ascii="Times New Roman" w:hAnsi="Times New Roman"/>
          <w:sz w:val="28"/>
          <w:szCs w:val="28"/>
        </w:rPr>
        <w:t>ля колористических и колориметрических трубок вместо объ</w:t>
      </w:r>
      <w:r w:rsidR="00B04549">
        <w:rPr>
          <w:rFonts w:ascii="Times New Roman" w:hAnsi="Times New Roman"/>
          <w:sz w:val="28"/>
          <w:szCs w:val="28"/>
        </w:rPr>
        <w:t>ё</w:t>
      </w:r>
      <w:r w:rsidR="004668BA" w:rsidRPr="00F70B33">
        <w:rPr>
          <w:rFonts w:ascii="Times New Roman" w:hAnsi="Times New Roman"/>
          <w:sz w:val="28"/>
          <w:szCs w:val="28"/>
        </w:rPr>
        <w:t xml:space="preserve">ма пробы газовой среды </w:t>
      </w:r>
      <w:r w:rsidRPr="00F70B33">
        <w:rPr>
          <w:rFonts w:ascii="Times New Roman" w:hAnsi="Times New Roman"/>
          <w:sz w:val="28"/>
          <w:szCs w:val="28"/>
        </w:rPr>
        <w:t xml:space="preserve">допускается </w:t>
      </w:r>
      <w:r w:rsidR="004668BA" w:rsidRPr="00F70B33">
        <w:rPr>
          <w:rFonts w:ascii="Times New Roman" w:hAnsi="Times New Roman"/>
          <w:sz w:val="28"/>
          <w:szCs w:val="28"/>
        </w:rPr>
        <w:t>нормировать продолжительность просасывания проб</w:t>
      </w:r>
      <w:r w:rsidR="0086565D">
        <w:rPr>
          <w:rFonts w:ascii="Times New Roman" w:hAnsi="Times New Roman"/>
          <w:sz w:val="28"/>
          <w:szCs w:val="28"/>
        </w:rPr>
        <w:t>ы через индикаторную трубку и её объё</w:t>
      </w:r>
      <w:r w:rsidR="004668BA" w:rsidRPr="00F70B33">
        <w:rPr>
          <w:rFonts w:ascii="Times New Roman" w:hAnsi="Times New Roman"/>
          <w:sz w:val="28"/>
          <w:szCs w:val="28"/>
        </w:rPr>
        <w:t>мный расход.</w:t>
      </w:r>
    </w:p>
    <w:p w:rsidR="00FB46B3" w:rsidRDefault="00F70B33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B33">
        <w:rPr>
          <w:rFonts w:ascii="Times New Roman" w:hAnsi="Times New Roman"/>
          <w:b/>
          <w:sz w:val="28"/>
          <w:szCs w:val="28"/>
        </w:rPr>
        <w:t>Устройство для определения веществ с помощью индикаторных трубок</w:t>
      </w:r>
    </w:p>
    <w:p w:rsidR="00940187" w:rsidRPr="00940187" w:rsidRDefault="00940187" w:rsidP="0094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87">
        <w:rPr>
          <w:rFonts w:ascii="Times New Roman" w:hAnsi="Times New Roman"/>
          <w:sz w:val="28"/>
          <w:szCs w:val="28"/>
        </w:rPr>
        <w:t>Схема устройства</w:t>
      </w:r>
      <w:r w:rsidR="00E10534">
        <w:rPr>
          <w:rFonts w:ascii="Times New Roman" w:hAnsi="Times New Roman"/>
          <w:sz w:val="28"/>
          <w:szCs w:val="28"/>
        </w:rPr>
        <w:t xml:space="preserve"> для</w:t>
      </w:r>
      <w:r w:rsidRPr="00940187">
        <w:rPr>
          <w:rFonts w:ascii="Times New Roman" w:hAnsi="Times New Roman"/>
          <w:sz w:val="28"/>
          <w:szCs w:val="28"/>
        </w:rPr>
        <w:t xml:space="preserve"> определения веществ в газах с помощью индикаторных трубок представлена на рис</w:t>
      </w:r>
      <w:r w:rsidR="00F82CA3">
        <w:rPr>
          <w:rFonts w:ascii="Times New Roman" w:hAnsi="Times New Roman"/>
          <w:sz w:val="28"/>
          <w:szCs w:val="28"/>
        </w:rPr>
        <w:t xml:space="preserve"> 1</w:t>
      </w:r>
      <w:r w:rsidR="0086565D">
        <w:rPr>
          <w:rFonts w:ascii="Times New Roman" w:hAnsi="Times New Roman"/>
          <w:sz w:val="28"/>
          <w:szCs w:val="28"/>
        </w:rPr>
        <w:t>.</w:t>
      </w:r>
    </w:p>
    <w:p w:rsidR="00FB46B3" w:rsidRDefault="009401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018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9162" cy="1598213"/>
            <wp:effectExtent l="19050" t="0" r="4638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43" cy="159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B3" w:rsidRPr="001A5D3A" w:rsidRDefault="00E96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D3A">
        <w:rPr>
          <w:rFonts w:ascii="Times New Roman" w:hAnsi="Times New Roman"/>
          <w:sz w:val="28"/>
          <w:szCs w:val="28"/>
        </w:rPr>
        <w:t>Рисунок</w:t>
      </w:r>
      <w:r w:rsidR="00F82CA3" w:rsidRPr="001A5D3A">
        <w:rPr>
          <w:rFonts w:ascii="Times New Roman" w:hAnsi="Times New Roman"/>
          <w:sz w:val="28"/>
          <w:szCs w:val="28"/>
        </w:rPr>
        <w:t xml:space="preserve"> 1</w:t>
      </w:r>
      <w:r w:rsidRPr="001A5D3A">
        <w:rPr>
          <w:rFonts w:ascii="Times New Roman" w:hAnsi="Times New Roman"/>
          <w:sz w:val="28"/>
          <w:szCs w:val="28"/>
        </w:rPr>
        <w:t xml:space="preserve"> – Схема устройства для определения веществ с помощью индикаторных трубок</w:t>
      </w:r>
    </w:p>
    <w:p w:rsidR="00FB46B3" w:rsidRDefault="001A5D3A" w:rsidP="003D01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 ‒ подача газа; 2 ‒ регулятор давления; 3 ‒ игольчатый клапан;</w:t>
      </w:r>
    </w:p>
    <w:p w:rsidR="00FB46B3" w:rsidRDefault="00E96278" w:rsidP="003D01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96278">
        <w:rPr>
          <w:rFonts w:ascii="Times New Roman" w:hAnsi="Times New Roman"/>
          <w:sz w:val="24"/>
          <w:szCs w:val="28"/>
        </w:rPr>
        <w:t xml:space="preserve">4 ‒ </w:t>
      </w:r>
      <w:r w:rsidR="001A5D3A">
        <w:rPr>
          <w:rFonts w:ascii="Times New Roman" w:hAnsi="Times New Roman"/>
          <w:sz w:val="24"/>
          <w:szCs w:val="28"/>
        </w:rPr>
        <w:t>Т-образный участок; 5 ‒ индикаторная трубка;</w:t>
      </w:r>
      <w:r w:rsidRPr="00E96278">
        <w:rPr>
          <w:rFonts w:ascii="Times New Roman" w:hAnsi="Times New Roman"/>
          <w:sz w:val="24"/>
          <w:szCs w:val="28"/>
        </w:rPr>
        <w:t xml:space="preserve"> 6 ‒ насос для индикаторной трубки</w:t>
      </w:r>
      <w:r w:rsidR="001A5D3A">
        <w:rPr>
          <w:rFonts w:ascii="Times New Roman" w:hAnsi="Times New Roman"/>
          <w:sz w:val="24"/>
          <w:szCs w:val="28"/>
        </w:rPr>
        <w:t>;</w:t>
      </w:r>
      <w:r w:rsidRPr="00E96278">
        <w:rPr>
          <w:rFonts w:ascii="Times New Roman" w:hAnsi="Times New Roman"/>
          <w:sz w:val="24"/>
          <w:szCs w:val="28"/>
        </w:rPr>
        <w:t xml:space="preserve"> </w:t>
      </w:r>
      <w:r w:rsidR="00B04549">
        <w:rPr>
          <w:rFonts w:ascii="Times New Roman" w:hAnsi="Times New Roman"/>
          <w:sz w:val="24"/>
          <w:szCs w:val="28"/>
        </w:rPr>
        <w:br/>
      </w:r>
      <w:r w:rsidR="0086565D">
        <w:rPr>
          <w:rFonts w:ascii="Times New Roman" w:hAnsi="Times New Roman"/>
          <w:sz w:val="24"/>
          <w:szCs w:val="28"/>
        </w:rPr>
        <w:t xml:space="preserve">7 ‒ открытый конец для выхода </w:t>
      </w:r>
      <w:r w:rsidRPr="00E96278">
        <w:rPr>
          <w:rFonts w:ascii="Times New Roman" w:hAnsi="Times New Roman"/>
          <w:sz w:val="24"/>
          <w:szCs w:val="28"/>
        </w:rPr>
        <w:t>газа в атмосферу.</w:t>
      </w:r>
    </w:p>
    <w:p w:rsidR="003D0137" w:rsidRPr="003D0137" w:rsidRDefault="003D0137" w:rsidP="003D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8DA" w:rsidRDefault="00940187" w:rsidP="003D01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87">
        <w:rPr>
          <w:rFonts w:ascii="Times New Roman" w:hAnsi="Times New Roman"/>
          <w:sz w:val="28"/>
          <w:szCs w:val="28"/>
        </w:rPr>
        <w:t>Устройство для подачи газа подсоединяют к регулятору давления с игольчатым клапаном. Соед</w:t>
      </w:r>
      <w:r w:rsidR="005F2573">
        <w:rPr>
          <w:rFonts w:ascii="Times New Roman" w:hAnsi="Times New Roman"/>
          <w:sz w:val="28"/>
          <w:szCs w:val="28"/>
        </w:rPr>
        <w:t>иняют гибкую трубку, имеющую Т-</w:t>
      </w:r>
      <w:r w:rsidRPr="00940187">
        <w:rPr>
          <w:rFonts w:ascii="Times New Roman" w:hAnsi="Times New Roman"/>
          <w:sz w:val="28"/>
          <w:szCs w:val="28"/>
        </w:rPr>
        <w:t>образный участок, к игольчатому клапану и продувают собранную систему, регулируя поток испытуемого газа так, чтобы его параметры соответствовали установленным требованиям испытания. Подготавливают индикаторную трубку в соответствии с инструкцией производителя по ее эксплуатации. Устанавливают индикаторную трубку на дозирующий насос, а открытый конец индикаторной трубки подсоединяют к короткому отрезку Т-образного участка трубки. Приводят насос в действие, регулируя соответствующим числом ходов необходимый объ</w:t>
      </w:r>
      <w:r w:rsidR="00722FEB">
        <w:rPr>
          <w:rFonts w:ascii="Times New Roman" w:hAnsi="Times New Roman"/>
          <w:sz w:val="28"/>
          <w:szCs w:val="28"/>
        </w:rPr>
        <w:t>ё</w:t>
      </w:r>
      <w:r w:rsidRPr="00940187">
        <w:rPr>
          <w:rFonts w:ascii="Times New Roman" w:hAnsi="Times New Roman"/>
          <w:sz w:val="28"/>
          <w:szCs w:val="28"/>
        </w:rPr>
        <w:t>м испытуемого газа, проходя</w:t>
      </w:r>
      <w:r w:rsidR="0086565D">
        <w:rPr>
          <w:rFonts w:ascii="Times New Roman" w:hAnsi="Times New Roman"/>
          <w:sz w:val="28"/>
          <w:szCs w:val="28"/>
        </w:rPr>
        <w:t>щего через индикаторную трубку.</w:t>
      </w:r>
    </w:p>
    <w:p w:rsidR="00FB46B3" w:rsidRDefault="00105623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</w:t>
      </w:r>
    </w:p>
    <w:p w:rsidR="00940187" w:rsidRPr="00940187" w:rsidRDefault="00940187" w:rsidP="00F70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87">
        <w:rPr>
          <w:rFonts w:ascii="Times New Roman" w:hAnsi="Times New Roman"/>
          <w:sz w:val="28"/>
          <w:szCs w:val="28"/>
        </w:rPr>
        <w:t>Значение, соответствующее длине окрашенного слоя или интенсивности цвета на градуированной шкале, определяют визуально.</w:t>
      </w:r>
    </w:p>
    <w:p w:rsidR="00940187" w:rsidRDefault="00940187" w:rsidP="005C3D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87">
        <w:rPr>
          <w:rFonts w:ascii="Times New Roman" w:hAnsi="Times New Roman"/>
          <w:sz w:val="28"/>
          <w:szCs w:val="28"/>
        </w:rPr>
        <w:t>Если при испытании получен отрицательный результат</w:t>
      </w:r>
      <w:r w:rsidR="00456BD0">
        <w:rPr>
          <w:rFonts w:ascii="Times New Roman" w:hAnsi="Times New Roman"/>
          <w:sz w:val="28"/>
          <w:szCs w:val="28"/>
        </w:rPr>
        <w:t>, то</w:t>
      </w:r>
      <w:r w:rsidRPr="00940187">
        <w:rPr>
          <w:rFonts w:ascii="Times New Roman" w:hAnsi="Times New Roman"/>
          <w:sz w:val="28"/>
          <w:szCs w:val="28"/>
        </w:rPr>
        <w:t xml:space="preserve"> индикаторная трубка может быть проверена с помощью калибровочного газа, содержащего соответствующую исследуемую примесь.</w:t>
      </w:r>
    </w:p>
    <w:p w:rsidR="00FB46B3" w:rsidRDefault="003178DA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8DA">
        <w:rPr>
          <w:rFonts w:ascii="Times New Roman" w:hAnsi="Times New Roman"/>
          <w:b/>
          <w:sz w:val="28"/>
          <w:szCs w:val="28"/>
        </w:rPr>
        <w:t>Номенклатура индикаторных трубок по назначению</w:t>
      </w:r>
    </w:p>
    <w:p w:rsidR="003178DA" w:rsidRPr="006F4951" w:rsidRDefault="000068CC" w:rsidP="00F90D6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E43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</w:t>
      </w:r>
      <w:r w:rsidR="003178DA" w:rsidRPr="000E43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арсина</w:t>
      </w:r>
      <w:r w:rsidR="003178DA" w:rsidRPr="000E43A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6F4951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Герметичная стеклянная трубка, содержащая адсорбирующие фильтры и подходящие носители для </w:t>
      </w:r>
      <w:r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индикатора</w:t>
      </w:r>
      <w:r w:rsidR="006F4951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соли золота или другого подходящего индикатора.</w:t>
      </w:r>
      <w:r w:rsidR="006F4951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C36D61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Минима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льная определяемая концентрация </w:t>
      </w:r>
      <w:r w:rsidR="00C36D61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0,25</w:t>
      </w:r>
      <w:r w:rsidR="004E1AAB" w:rsidRPr="006F4951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 ppm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или меньше, с относительным стандартным отклонением не более 20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p w:rsidR="003178DA" w:rsidRPr="005C3DEC" w:rsidRDefault="000068CC" w:rsidP="00F90D6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 углерода диоксида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Герметичная стеклянная трубка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содержащая адсорбирующие фильтры и подходящие носители для индикаторов –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гидразина и кристаллического фиолетового.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A67AF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Минимальная определяемая концентрация – </w:t>
      </w:r>
      <w:r w:rsidR="004E1AAB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100 </w:t>
      </w:r>
      <w:r w:rsidR="004E1AAB" w:rsidRPr="005C3DE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ppm</w:t>
      </w:r>
      <w:r w:rsidR="003A67AF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 относительным стандартным отклонением не более 15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A67AF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p w:rsidR="00693CED" w:rsidRDefault="00C17243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 углерода монооксида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Герметичная стеклянная трубка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содержащая адсорбирующие фильтры и подходящие носители для индикаторов – йода(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V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)оксида</w:t>
      </w:r>
      <w:r w:rsidR="00B468BE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селена диоксида и серной кислоты дымящей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r w:rsidR="00B468BE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Минимальная определяемая концентрация – 5</w:t>
      </w:r>
      <w:r w:rsidR="004E1AAB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4E1AAB" w:rsidRPr="005C3DE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ppm</w:t>
      </w:r>
      <w:r w:rsidR="00B468BE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или меньше, с относительным стандартным отклонением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более 15</w:t>
      </w:r>
      <w:r w:rsidR="005C3DEC" w:rsidRPr="00722FEB">
        <w:rPr>
          <w:rFonts w:ascii="Times New Roman" w:hAnsi="Times New Roman"/>
          <w:sz w:val="28"/>
          <w:szCs w:val="28"/>
        </w:rPr>
        <w:t> </w:t>
      </w:r>
      <w:r w:rsidR="00B468BE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693CED" w:rsidRDefault="003A67A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</w:t>
      </w:r>
      <w:r w:rsidR="003178DA"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рубка </w:t>
      </w:r>
      <w:r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для</w:t>
      </w:r>
      <w:r w:rsidR="003178DA"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сероводорода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Герметичная стеклянная трубка</w:t>
      </w:r>
      <w:r w:rsidR="00C17243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содержащая адсорбирующие фильтры и подходящие носители для индикатора –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соли свинца. </w:t>
      </w:r>
      <w:r w:rsidR="00C17243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Минимальная определяемая концентрация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0,2</w:t>
      </w:r>
      <w:r w:rsidR="004E1AAB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4E1AAB" w:rsidRPr="005C3DE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ppm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или меньше, с относительным стандартным отклонением не более 10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p w:rsidR="00693CED" w:rsidRDefault="003A67A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 азота монооксида и азота диоксида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Герметичная стеклянная трубка, содержащая адсорбирующие фильтры и подходящие 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носители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для окисл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яющего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слоя (соль Cr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(VI)) и 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 w:type="textWrapping" w:clear="all"/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индикатора –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дифенилбензидин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инимальн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ая определяемая 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 w:type="textWrapping" w:clear="all"/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концентрация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значение составляет 0,5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4E1AAB" w:rsidRPr="005C3DE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ppm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 относительным стандартным отклонением не более 15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p w:rsidR="00693CED" w:rsidRDefault="004C6BF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C3DE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 масел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Герметичная стеклянная трубка</w:t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содержащая адсорбирующие фильтры и подходящие носители для индикатора – серной кислоты. Минимальная определяемая 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 w:type="textWrapping" w:clear="all"/>
      </w:r>
      <w:r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концентрация –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0,1</w:t>
      </w:r>
      <w:r w:rsid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мг/м 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3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 относительным стандартным отклонением не более 30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p w:rsidR="00E96278" w:rsidRDefault="000E0F26" w:rsidP="003D013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Примечание – </w:t>
      </w:r>
      <w:r w:rsidR="005C3DEC" w:rsidRPr="005C3DEC">
        <w:rPr>
          <w:rFonts w:ascii="Times New Roman" w:hAnsi="Times New Roman"/>
          <w:sz w:val="28"/>
          <w:szCs w:val="28"/>
        </w:rPr>
        <w:t>Ввиду широкого использования разнообразных компрессорных (смазочных) масел необходимо проверить реакцию трубки для масел на используемое масло. Информация о реакционной способности для различных масел приводится в сопроводительном листке, прилагаемом к трубке. Если используемое масло не указано в сопроводительном листке, изготовитель трубки должен проверить реакционную способность и, при необходимости, обеспечить прибор специальной трубкой для данного масла.</w:t>
      </w:r>
    </w:p>
    <w:p w:rsidR="003178DA" w:rsidRPr="006F4951" w:rsidRDefault="006F4951" w:rsidP="000E0F26">
      <w:pPr>
        <w:shd w:val="clear" w:color="auto" w:fill="FFFFFF"/>
        <w:spacing w:before="120"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E43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</w:t>
      </w:r>
      <w:r w:rsidR="003178DA" w:rsidRPr="000E43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фосфина</w:t>
      </w:r>
      <w:r w:rsidR="003178DA" w:rsidRPr="000E43A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5C3DEC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Герметичная стеклянная трубка, содержащая адсорбирующие фильтры и подходящие носители для индикатора –</w:t>
      </w:r>
      <w:r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соли золота или другого подходящего индикатора.</w:t>
      </w:r>
      <w:r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5C3DEC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Минимальная определяемая концентрация –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0,2</w:t>
      </w:r>
      <w:r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4E1AAB" w:rsidRPr="006F4951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ppm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или меньше, с относительным стандартным отклонением не более 20</w:t>
      </w:r>
      <w:r w:rsidR="005C3DEC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6F49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p w:rsidR="003178DA" w:rsidRPr="00B468BE" w:rsidRDefault="00B468BE" w:rsidP="005C3DEC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468B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 серы диоксида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r w:rsidR="003178DA" w:rsidRPr="00B468B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Герметичная стеклянная трубка</w:t>
      </w:r>
      <w:r w:rsidRPr="00B468B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содержащая адсорбирующие фильтры и подходящие носители для индикаторов – йода и крахмала. Минимальная 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определяемая концентрация – 0,5 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ppm</w:t>
      </w:r>
      <w:r w:rsidRPr="00B468B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178DA" w:rsidRPr="00B468B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 относительным стандартным отклонением не более 15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B468B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p w:rsidR="003178DA" w:rsidRPr="002B6EBA" w:rsidRDefault="004C6BFF" w:rsidP="005C3DEC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C6BFF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Индикаторная трубка для паров воды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r w:rsidR="003178DA" w:rsidRPr="004C6B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Герметичная стеклянная трубка</w:t>
      </w:r>
      <w:r w:rsidRPr="004C6B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содержащая адсорбирующие фильтры и подходящие носители для индикатора – магния перхлората. Минимальная определяемая 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 w:type="textWrapping" w:clear="all"/>
      </w:r>
      <w:r w:rsidRPr="004C6B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концентрация</w:t>
      </w:r>
      <w:r w:rsidR="00722F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</w:t>
      </w:r>
      <w:r w:rsidR="003178DA" w:rsidRPr="004C6B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67</w:t>
      </w:r>
      <w:r w:rsidRPr="004C6B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ppm</w:t>
      </w:r>
      <w:r w:rsidR="003178DA" w:rsidRPr="004C6B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или меньше, с относительным стандартным отклонением не более 20</w:t>
      </w:r>
      <w:r w:rsidR="005C3D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3178DA" w:rsidRPr="004C6B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%.</w:t>
      </w:r>
    </w:p>
    <w:sectPr w:rsidR="003178DA" w:rsidRPr="002B6EBA" w:rsidSect="00D93769">
      <w:footerReference w:type="default" r:id="rId9"/>
      <w:headerReference w:type="firs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EB" w:rsidRDefault="00722FEB" w:rsidP="008705EC">
      <w:pPr>
        <w:spacing w:after="0" w:line="240" w:lineRule="auto"/>
      </w:pPr>
      <w:r>
        <w:separator/>
      </w:r>
    </w:p>
  </w:endnote>
  <w:endnote w:type="continuationSeparator" w:id="0">
    <w:p w:rsidR="00722FEB" w:rsidRDefault="00722FEB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22FEB" w:rsidRDefault="00F57B51" w:rsidP="004C1DC8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722FEB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A62457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EB" w:rsidRDefault="00722FEB" w:rsidP="008705EC">
      <w:pPr>
        <w:spacing w:after="0" w:line="240" w:lineRule="auto"/>
      </w:pPr>
      <w:r>
        <w:separator/>
      </w:r>
    </w:p>
  </w:footnote>
  <w:footnote w:type="continuationSeparator" w:id="0">
    <w:p w:rsidR="00722FEB" w:rsidRDefault="00722FEB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37" w:rsidRPr="003D0137" w:rsidRDefault="003D0137" w:rsidP="003D013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0407"/>
    <w:multiLevelType w:val="hybridMultilevel"/>
    <w:tmpl w:val="D584B2D8"/>
    <w:lvl w:ilvl="0" w:tplc="727C79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68CC"/>
    <w:rsid w:val="00012849"/>
    <w:rsid w:val="00014FC6"/>
    <w:rsid w:val="0002608B"/>
    <w:rsid w:val="000359BC"/>
    <w:rsid w:val="00037385"/>
    <w:rsid w:val="00041841"/>
    <w:rsid w:val="00053ACA"/>
    <w:rsid w:val="00054233"/>
    <w:rsid w:val="00067043"/>
    <w:rsid w:val="000767C5"/>
    <w:rsid w:val="000A2B31"/>
    <w:rsid w:val="000B3101"/>
    <w:rsid w:val="000C1191"/>
    <w:rsid w:val="000C528E"/>
    <w:rsid w:val="000D418D"/>
    <w:rsid w:val="000D77C7"/>
    <w:rsid w:val="000E0F26"/>
    <w:rsid w:val="000E43A6"/>
    <w:rsid w:val="00105623"/>
    <w:rsid w:val="00114D8D"/>
    <w:rsid w:val="00134DBA"/>
    <w:rsid w:val="00136963"/>
    <w:rsid w:val="001517E7"/>
    <w:rsid w:val="0017523C"/>
    <w:rsid w:val="00177AF1"/>
    <w:rsid w:val="00177D46"/>
    <w:rsid w:val="00183830"/>
    <w:rsid w:val="001919E9"/>
    <w:rsid w:val="001A1C25"/>
    <w:rsid w:val="001A5430"/>
    <w:rsid w:val="001A5D3A"/>
    <w:rsid w:val="001C08CB"/>
    <w:rsid w:val="001D035C"/>
    <w:rsid w:val="001E3766"/>
    <w:rsid w:val="00200E43"/>
    <w:rsid w:val="002073DA"/>
    <w:rsid w:val="002235AA"/>
    <w:rsid w:val="0023081B"/>
    <w:rsid w:val="002427DE"/>
    <w:rsid w:val="00244839"/>
    <w:rsid w:val="00244B45"/>
    <w:rsid w:val="00262240"/>
    <w:rsid w:val="00262A32"/>
    <w:rsid w:val="0027390A"/>
    <w:rsid w:val="002D2963"/>
    <w:rsid w:val="002E0BC1"/>
    <w:rsid w:val="002E4ACC"/>
    <w:rsid w:val="002E5ED9"/>
    <w:rsid w:val="002F439A"/>
    <w:rsid w:val="002F7763"/>
    <w:rsid w:val="00301130"/>
    <w:rsid w:val="00306E08"/>
    <w:rsid w:val="003178DA"/>
    <w:rsid w:val="00323E01"/>
    <w:rsid w:val="0032732B"/>
    <w:rsid w:val="00330597"/>
    <w:rsid w:val="00332067"/>
    <w:rsid w:val="00341DC8"/>
    <w:rsid w:val="003534B4"/>
    <w:rsid w:val="00353747"/>
    <w:rsid w:val="00362E87"/>
    <w:rsid w:val="00367380"/>
    <w:rsid w:val="00371ECD"/>
    <w:rsid w:val="00373800"/>
    <w:rsid w:val="00387F8F"/>
    <w:rsid w:val="003A288F"/>
    <w:rsid w:val="003A3F80"/>
    <w:rsid w:val="003A67AF"/>
    <w:rsid w:val="003B13C7"/>
    <w:rsid w:val="003B2C61"/>
    <w:rsid w:val="003B2CEF"/>
    <w:rsid w:val="003C0B97"/>
    <w:rsid w:val="003C0C97"/>
    <w:rsid w:val="003C343A"/>
    <w:rsid w:val="003D0137"/>
    <w:rsid w:val="003D515F"/>
    <w:rsid w:val="003D568D"/>
    <w:rsid w:val="003E5001"/>
    <w:rsid w:val="003F3739"/>
    <w:rsid w:val="00400BAA"/>
    <w:rsid w:val="00403D9E"/>
    <w:rsid w:val="00415A6D"/>
    <w:rsid w:val="0043401B"/>
    <w:rsid w:val="00446E51"/>
    <w:rsid w:val="00456BD0"/>
    <w:rsid w:val="00461EC3"/>
    <w:rsid w:val="004668BA"/>
    <w:rsid w:val="00471594"/>
    <w:rsid w:val="0048269A"/>
    <w:rsid w:val="0048650F"/>
    <w:rsid w:val="00487CDD"/>
    <w:rsid w:val="00490F95"/>
    <w:rsid w:val="0049239B"/>
    <w:rsid w:val="00492EF9"/>
    <w:rsid w:val="00496A1E"/>
    <w:rsid w:val="00497E6A"/>
    <w:rsid w:val="004A5801"/>
    <w:rsid w:val="004C1DC8"/>
    <w:rsid w:val="004C6940"/>
    <w:rsid w:val="004C6BFF"/>
    <w:rsid w:val="004D04D3"/>
    <w:rsid w:val="004D2975"/>
    <w:rsid w:val="004D31E1"/>
    <w:rsid w:val="004D79AE"/>
    <w:rsid w:val="004E1AAB"/>
    <w:rsid w:val="004E3CA1"/>
    <w:rsid w:val="004E5094"/>
    <w:rsid w:val="004F520A"/>
    <w:rsid w:val="00502965"/>
    <w:rsid w:val="00517DAE"/>
    <w:rsid w:val="00546691"/>
    <w:rsid w:val="005613EC"/>
    <w:rsid w:val="005668AF"/>
    <w:rsid w:val="00571CD9"/>
    <w:rsid w:val="00584178"/>
    <w:rsid w:val="00585C7A"/>
    <w:rsid w:val="00594DAD"/>
    <w:rsid w:val="005975F1"/>
    <w:rsid w:val="005A40BB"/>
    <w:rsid w:val="005B2997"/>
    <w:rsid w:val="005B44CA"/>
    <w:rsid w:val="005B6A3C"/>
    <w:rsid w:val="005C0B47"/>
    <w:rsid w:val="005C1BBA"/>
    <w:rsid w:val="005C3DEC"/>
    <w:rsid w:val="005D5D6B"/>
    <w:rsid w:val="005F2573"/>
    <w:rsid w:val="00606EAA"/>
    <w:rsid w:val="006114AA"/>
    <w:rsid w:val="00634CCB"/>
    <w:rsid w:val="00635F2B"/>
    <w:rsid w:val="00656DD9"/>
    <w:rsid w:val="00662B4E"/>
    <w:rsid w:val="00665F63"/>
    <w:rsid w:val="00666915"/>
    <w:rsid w:val="00674005"/>
    <w:rsid w:val="006818BA"/>
    <w:rsid w:val="00693CED"/>
    <w:rsid w:val="0069682A"/>
    <w:rsid w:val="006B4955"/>
    <w:rsid w:val="006D7D4A"/>
    <w:rsid w:val="006F2567"/>
    <w:rsid w:val="006F4951"/>
    <w:rsid w:val="006F5327"/>
    <w:rsid w:val="00703824"/>
    <w:rsid w:val="007208F1"/>
    <w:rsid w:val="00722FEB"/>
    <w:rsid w:val="00723B0B"/>
    <w:rsid w:val="00747A28"/>
    <w:rsid w:val="00750752"/>
    <w:rsid w:val="0076664C"/>
    <w:rsid w:val="007740BF"/>
    <w:rsid w:val="00777142"/>
    <w:rsid w:val="007818CB"/>
    <w:rsid w:val="00787178"/>
    <w:rsid w:val="007876B3"/>
    <w:rsid w:val="00792486"/>
    <w:rsid w:val="00796FAC"/>
    <w:rsid w:val="007A56CB"/>
    <w:rsid w:val="007C0488"/>
    <w:rsid w:val="007C452D"/>
    <w:rsid w:val="007C4826"/>
    <w:rsid w:val="007F63DC"/>
    <w:rsid w:val="007F7347"/>
    <w:rsid w:val="00812E69"/>
    <w:rsid w:val="00815C5E"/>
    <w:rsid w:val="00816763"/>
    <w:rsid w:val="00826734"/>
    <w:rsid w:val="00832F4A"/>
    <w:rsid w:val="0084354F"/>
    <w:rsid w:val="0085217B"/>
    <w:rsid w:val="0086565D"/>
    <w:rsid w:val="008705EC"/>
    <w:rsid w:val="008751CE"/>
    <w:rsid w:val="008854C7"/>
    <w:rsid w:val="0089136A"/>
    <w:rsid w:val="008A47BD"/>
    <w:rsid w:val="008B2C74"/>
    <w:rsid w:val="008C1284"/>
    <w:rsid w:val="008C307E"/>
    <w:rsid w:val="008D45F9"/>
    <w:rsid w:val="008E472B"/>
    <w:rsid w:val="008F3484"/>
    <w:rsid w:val="009036F9"/>
    <w:rsid w:val="009153CE"/>
    <w:rsid w:val="00940187"/>
    <w:rsid w:val="009441D4"/>
    <w:rsid w:val="00950A25"/>
    <w:rsid w:val="00954519"/>
    <w:rsid w:val="00955D6C"/>
    <w:rsid w:val="00964D9C"/>
    <w:rsid w:val="00974F90"/>
    <w:rsid w:val="009A0B40"/>
    <w:rsid w:val="009B50A5"/>
    <w:rsid w:val="009D0515"/>
    <w:rsid w:val="00A1402B"/>
    <w:rsid w:val="00A157BB"/>
    <w:rsid w:val="00A15A51"/>
    <w:rsid w:val="00A271CF"/>
    <w:rsid w:val="00A30564"/>
    <w:rsid w:val="00A4542B"/>
    <w:rsid w:val="00A458B3"/>
    <w:rsid w:val="00A62457"/>
    <w:rsid w:val="00A7528E"/>
    <w:rsid w:val="00A82D75"/>
    <w:rsid w:val="00AA3A41"/>
    <w:rsid w:val="00AC11B8"/>
    <w:rsid w:val="00AC6F76"/>
    <w:rsid w:val="00AD1C69"/>
    <w:rsid w:val="00AE0841"/>
    <w:rsid w:val="00AE4767"/>
    <w:rsid w:val="00AF2793"/>
    <w:rsid w:val="00AF6B80"/>
    <w:rsid w:val="00B00D7A"/>
    <w:rsid w:val="00B04549"/>
    <w:rsid w:val="00B12CF1"/>
    <w:rsid w:val="00B14CB4"/>
    <w:rsid w:val="00B41CFD"/>
    <w:rsid w:val="00B42E5E"/>
    <w:rsid w:val="00B444ED"/>
    <w:rsid w:val="00B468BE"/>
    <w:rsid w:val="00B65ECE"/>
    <w:rsid w:val="00B84BD4"/>
    <w:rsid w:val="00B910A6"/>
    <w:rsid w:val="00B97499"/>
    <w:rsid w:val="00BA25E7"/>
    <w:rsid w:val="00BA2CAB"/>
    <w:rsid w:val="00BB2DC4"/>
    <w:rsid w:val="00BD1D7A"/>
    <w:rsid w:val="00BD52A6"/>
    <w:rsid w:val="00BD6081"/>
    <w:rsid w:val="00BE19A9"/>
    <w:rsid w:val="00BE550E"/>
    <w:rsid w:val="00BF2E17"/>
    <w:rsid w:val="00C03EBE"/>
    <w:rsid w:val="00C043DD"/>
    <w:rsid w:val="00C16C84"/>
    <w:rsid w:val="00C17243"/>
    <w:rsid w:val="00C33B67"/>
    <w:rsid w:val="00C36D61"/>
    <w:rsid w:val="00C519B3"/>
    <w:rsid w:val="00C56739"/>
    <w:rsid w:val="00C62691"/>
    <w:rsid w:val="00C64DC5"/>
    <w:rsid w:val="00C72804"/>
    <w:rsid w:val="00C9293B"/>
    <w:rsid w:val="00CA713C"/>
    <w:rsid w:val="00CB60BF"/>
    <w:rsid w:val="00CC3C28"/>
    <w:rsid w:val="00CD421A"/>
    <w:rsid w:val="00CF4FAB"/>
    <w:rsid w:val="00CF5790"/>
    <w:rsid w:val="00D02662"/>
    <w:rsid w:val="00D1431A"/>
    <w:rsid w:val="00D15472"/>
    <w:rsid w:val="00D335D9"/>
    <w:rsid w:val="00D44707"/>
    <w:rsid w:val="00D50C05"/>
    <w:rsid w:val="00D53D37"/>
    <w:rsid w:val="00D54F0D"/>
    <w:rsid w:val="00D61017"/>
    <w:rsid w:val="00D640FB"/>
    <w:rsid w:val="00D6787B"/>
    <w:rsid w:val="00D86BDC"/>
    <w:rsid w:val="00D91C35"/>
    <w:rsid w:val="00D93769"/>
    <w:rsid w:val="00DA11F3"/>
    <w:rsid w:val="00DA1B87"/>
    <w:rsid w:val="00DA2FAD"/>
    <w:rsid w:val="00DA3D3E"/>
    <w:rsid w:val="00DA54BF"/>
    <w:rsid w:val="00DB0CBB"/>
    <w:rsid w:val="00DD1D2B"/>
    <w:rsid w:val="00DD2B49"/>
    <w:rsid w:val="00DD3FD2"/>
    <w:rsid w:val="00DD4BD5"/>
    <w:rsid w:val="00DE6628"/>
    <w:rsid w:val="00DF6B23"/>
    <w:rsid w:val="00E10534"/>
    <w:rsid w:val="00E40A64"/>
    <w:rsid w:val="00E46414"/>
    <w:rsid w:val="00E57FEA"/>
    <w:rsid w:val="00E60C93"/>
    <w:rsid w:val="00E63FD3"/>
    <w:rsid w:val="00E650B8"/>
    <w:rsid w:val="00E719BC"/>
    <w:rsid w:val="00E92217"/>
    <w:rsid w:val="00E96278"/>
    <w:rsid w:val="00E97FCF"/>
    <w:rsid w:val="00EB71FC"/>
    <w:rsid w:val="00EC1F4E"/>
    <w:rsid w:val="00EC3E9A"/>
    <w:rsid w:val="00EF5556"/>
    <w:rsid w:val="00F010F2"/>
    <w:rsid w:val="00F168A6"/>
    <w:rsid w:val="00F264ED"/>
    <w:rsid w:val="00F27A47"/>
    <w:rsid w:val="00F31BDC"/>
    <w:rsid w:val="00F34AD8"/>
    <w:rsid w:val="00F40A3D"/>
    <w:rsid w:val="00F429B6"/>
    <w:rsid w:val="00F51645"/>
    <w:rsid w:val="00F538E3"/>
    <w:rsid w:val="00F54B6D"/>
    <w:rsid w:val="00F579B8"/>
    <w:rsid w:val="00F57B51"/>
    <w:rsid w:val="00F70B33"/>
    <w:rsid w:val="00F76DB2"/>
    <w:rsid w:val="00F76F7C"/>
    <w:rsid w:val="00F82CA3"/>
    <w:rsid w:val="00F90D67"/>
    <w:rsid w:val="00F94621"/>
    <w:rsid w:val="00FB46B3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2C67EDB-8B57-4C62-9D79-3360D27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66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33CF-6A80-44E6-9F60-A09E57EC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66</cp:revision>
  <cp:lastPrinted>2023-06-21T05:28:00Z</cp:lastPrinted>
  <dcterms:created xsi:type="dcterms:W3CDTF">2021-12-01T12:30:00Z</dcterms:created>
  <dcterms:modified xsi:type="dcterms:W3CDTF">2023-07-11T14:05:00Z</dcterms:modified>
</cp:coreProperties>
</file>