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D75C9" w:rsidRPr="00FD75C9" w:rsidRDefault="00FD75C9" w:rsidP="00FD75C9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FD75C9" w:rsidRPr="00FD75C9" w:rsidRDefault="00FD75C9" w:rsidP="00FD75C9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FD75C9" w:rsidRPr="00FD75C9" w:rsidRDefault="00FD75C9" w:rsidP="00FD75C9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E36605" w:rsidTr="00B00D7A">
        <w:tc>
          <w:tcPr>
            <w:tcW w:w="9356" w:type="dxa"/>
          </w:tcPr>
          <w:p w:rsidR="00341DC8" w:rsidRPr="00E36605" w:rsidRDefault="00B65ECE" w:rsidP="00E36605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B37EB0" w:rsidTr="00C22877">
        <w:tc>
          <w:tcPr>
            <w:tcW w:w="5494" w:type="dxa"/>
          </w:tcPr>
          <w:p w:rsidR="00B27DF0" w:rsidRPr="00D917EF" w:rsidRDefault="00B27DF0" w:rsidP="00B27DF0">
            <w:pPr>
              <w:pStyle w:val="af0"/>
              <w:widowControl w:val="0"/>
              <w:spacing w:after="120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D917EF">
              <w:rPr>
                <w:rFonts w:ascii="Times New Roman" w:hAnsi="Times New Roman"/>
                <w:color w:val="000000"/>
                <w:szCs w:val="28"/>
              </w:rPr>
              <w:t>Жиры и жироподобные вещества</w:t>
            </w:r>
          </w:p>
        </w:tc>
        <w:tc>
          <w:tcPr>
            <w:tcW w:w="283" w:type="dxa"/>
          </w:tcPr>
          <w:p w:rsidR="00B27DF0" w:rsidRDefault="00B27DF0" w:rsidP="00B27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27DF0" w:rsidRDefault="00341DC8" w:rsidP="00B27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B37E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7267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.1.5.2.0003</w:t>
            </w:r>
          </w:p>
        </w:tc>
      </w:tr>
      <w:tr w:rsidR="0082450C" w:rsidRPr="00B37EB0" w:rsidTr="00C22877">
        <w:tc>
          <w:tcPr>
            <w:tcW w:w="5494" w:type="dxa"/>
          </w:tcPr>
          <w:p w:rsidR="00B27DF0" w:rsidRDefault="00B27DF0" w:rsidP="00B27DF0">
            <w:pPr>
              <w:spacing w:after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B27DF0" w:rsidRDefault="00B27DF0" w:rsidP="00B27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27DF0" w:rsidRDefault="00FF6291" w:rsidP="00B27DF0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37E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B75CE4" w:rsidRPr="00B37EB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водится впервые</w:t>
            </w:r>
            <w:r w:rsidR="00B65ECE" w:rsidRPr="00B37EB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]</w:t>
            </w:r>
          </w:p>
        </w:tc>
      </w:tr>
    </w:tbl>
    <w:p w:rsidR="00341DC8" w:rsidRPr="00B37EB0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B37EB0" w:rsidTr="00B00D7A">
        <w:tc>
          <w:tcPr>
            <w:tcW w:w="9356" w:type="dxa"/>
          </w:tcPr>
          <w:p w:rsidR="00B65ECE" w:rsidRPr="00B37EB0" w:rsidRDefault="00B65ECE" w:rsidP="00E36605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37EB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B27DF0" w:rsidRDefault="00B27DF0" w:rsidP="00FD75C9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B75CE4" w:rsidRPr="00B37EB0" w:rsidRDefault="00B75CE4" w:rsidP="00DA6990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37EB0">
        <w:rPr>
          <w:rFonts w:ascii="Times New Roman" w:hAnsi="Times New Roman"/>
          <w:b w:val="0"/>
          <w:color w:val="000000"/>
          <w:szCs w:val="28"/>
        </w:rPr>
        <w:t xml:space="preserve">Требования </w:t>
      </w:r>
      <w:r w:rsidR="000E56B6" w:rsidRPr="00B37EB0">
        <w:rPr>
          <w:rFonts w:ascii="Times New Roman" w:hAnsi="Times New Roman"/>
          <w:b w:val="0"/>
          <w:color w:val="000000"/>
          <w:szCs w:val="28"/>
        </w:rPr>
        <w:t>н</w:t>
      </w:r>
      <w:r w:rsidR="00FF6291" w:rsidRPr="00B37EB0">
        <w:rPr>
          <w:rFonts w:ascii="Times New Roman" w:hAnsi="Times New Roman"/>
          <w:b w:val="0"/>
          <w:color w:val="000000"/>
          <w:szCs w:val="28"/>
        </w:rPr>
        <w:t>астоящ</w:t>
      </w:r>
      <w:r w:rsidR="000E56B6" w:rsidRPr="00B37EB0">
        <w:rPr>
          <w:rFonts w:ascii="Times New Roman" w:hAnsi="Times New Roman"/>
          <w:b w:val="0"/>
          <w:color w:val="000000"/>
          <w:szCs w:val="28"/>
        </w:rPr>
        <w:t>ей</w:t>
      </w:r>
      <w:r w:rsidR="00FF6291" w:rsidRPr="00B37EB0">
        <w:rPr>
          <w:rFonts w:ascii="Times New Roman" w:hAnsi="Times New Roman"/>
          <w:b w:val="0"/>
          <w:color w:val="000000"/>
          <w:szCs w:val="28"/>
        </w:rPr>
        <w:t xml:space="preserve"> общ</w:t>
      </w:r>
      <w:r w:rsidR="000E56B6" w:rsidRPr="00B37EB0">
        <w:rPr>
          <w:rFonts w:ascii="Times New Roman" w:hAnsi="Times New Roman"/>
          <w:b w:val="0"/>
          <w:color w:val="000000"/>
          <w:szCs w:val="28"/>
        </w:rPr>
        <w:t>ей</w:t>
      </w:r>
      <w:r w:rsidR="00FF6291" w:rsidRPr="00B37EB0">
        <w:rPr>
          <w:rFonts w:ascii="Times New Roman" w:hAnsi="Times New Roman"/>
          <w:b w:val="0"/>
          <w:color w:val="000000"/>
          <w:szCs w:val="28"/>
        </w:rPr>
        <w:t xml:space="preserve"> фармакопейн</w:t>
      </w:r>
      <w:r w:rsidR="000E56B6" w:rsidRPr="00B37EB0">
        <w:rPr>
          <w:rFonts w:ascii="Times New Roman" w:hAnsi="Times New Roman"/>
          <w:b w:val="0"/>
          <w:color w:val="000000"/>
          <w:szCs w:val="28"/>
        </w:rPr>
        <w:t>ой</w:t>
      </w:r>
      <w:r w:rsidR="00FF6291" w:rsidRPr="00B37EB0">
        <w:rPr>
          <w:rFonts w:ascii="Times New Roman" w:hAnsi="Times New Roman"/>
          <w:b w:val="0"/>
          <w:color w:val="000000"/>
          <w:szCs w:val="28"/>
        </w:rPr>
        <w:t xml:space="preserve"> с</w:t>
      </w:r>
      <w:bookmarkStart w:id="0" w:name="_GoBack"/>
      <w:bookmarkEnd w:id="0"/>
      <w:r w:rsidR="00FF6291" w:rsidRPr="00B37EB0">
        <w:rPr>
          <w:rFonts w:ascii="Times New Roman" w:hAnsi="Times New Roman"/>
          <w:b w:val="0"/>
          <w:color w:val="000000"/>
          <w:szCs w:val="28"/>
        </w:rPr>
        <w:t>тать</w:t>
      </w:r>
      <w:r w:rsidR="000E56B6" w:rsidRPr="00B37EB0">
        <w:rPr>
          <w:rFonts w:ascii="Times New Roman" w:hAnsi="Times New Roman"/>
          <w:b w:val="0"/>
          <w:color w:val="000000"/>
          <w:szCs w:val="28"/>
        </w:rPr>
        <w:t>и</w:t>
      </w:r>
      <w:r w:rsidR="00FF6291" w:rsidRPr="00B37EB0">
        <w:rPr>
          <w:rFonts w:ascii="Times New Roman" w:hAnsi="Times New Roman"/>
          <w:b w:val="0"/>
          <w:color w:val="000000"/>
          <w:szCs w:val="28"/>
        </w:rPr>
        <w:t xml:space="preserve"> распространяется на </w:t>
      </w:r>
      <w:r w:rsidRPr="00B37EB0">
        <w:rPr>
          <w:rFonts w:ascii="Times New Roman" w:hAnsi="Times New Roman"/>
          <w:b w:val="0"/>
          <w:color w:val="000000"/>
          <w:szCs w:val="28"/>
        </w:rPr>
        <w:t xml:space="preserve">жиры и жироподобные вещества, используемые в качестве </w:t>
      </w:r>
      <w:r w:rsidR="00C47D0C">
        <w:rPr>
          <w:rFonts w:ascii="Times New Roman" w:hAnsi="Times New Roman"/>
          <w:b w:val="0"/>
          <w:color w:val="000000"/>
          <w:szCs w:val="28"/>
        </w:rPr>
        <w:t>фармацевтических субстанций и</w:t>
      </w:r>
      <w:r w:rsidRPr="00B37EB0">
        <w:rPr>
          <w:rFonts w:ascii="Times New Roman" w:hAnsi="Times New Roman"/>
          <w:b w:val="0"/>
          <w:color w:val="000000"/>
          <w:szCs w:val="28"/>
        </w:rPr>
        <w:t xml:space="preserve"> вспомогательных веществ, составляющих жировые основы для лекарственных препаратов.</w:t>
      </w:r>
    </w:p>
    <w:p w:rsidR="00B27DF0" w:rsidRPr="00C47D0C" w:rsidRDefault="00905B2B" w:rsidP="00520AB5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B27DF0" w:rsidRPr="00C47D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ермины и определения</w:t>
      </w:r>
    </w:p>
    <w:p w:rsidR="00B75CE4" w:rsidRPr="00B37EB0" w:rsidRDefault="00B75CE4" w:rsidP="00DA6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E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Основа лекарственного препарата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 собой вспомогательное вещество или смесь вспомогательных веществ, являюще</w:t>
      </w:r>
      <w:r w:rsidR="00D00E3B"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еся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носител</w:t>
      </w:r>
      <w:r w:rsidR="00C4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действующего вещества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обеспечивающее требуемый объ</w:t>
      </w:r>
      <w:r w:rsidR="00416FE9"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C4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(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массу</w:t>
      </w:r>
      <w:r w:rsidR="00C47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необходимые характеристики лекарственного препарата в определ</w:t>
      </w:r>
      <w:r w:rsidR="009D020E"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нной лекарственной форме (ОФС «Лекарственные препараты»).</w:t>
      </w:r>
    </w:p>
    <w:p w:rsidR="00B75CE4" w:rsidRPr="00B37EB0" w:rsidRDefault="00B75CE4" w:rsidP="00DA699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E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Жиры (липиды)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группа органических веществ, по химической структуре являющи</w:t>
      </w:r>
      <w:r w:rsidR="009D020E"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еся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сложными эфирами глицерина и жирных кислот,</w:t>
      </w:r>
      <w:r w:rsidR="00EE5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обладающие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гидрофобность</w:t>
      </w:r>
      <w:r w:rsidR="00EE5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способность</w:t>
      </w:r>
      <w:r w:rsidR="00EE5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растворяться в малополярных органических растворителях.</w:t>
      </w:r>
    </w:p>
    <w:p w:rsidR="00B75CE4" w:rsidRPr="00B37EB0" w:rsidRDefault="00B75CE4" w:rsidP="00DA699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E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Жироподобные вещества (липоиды)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групп</w:t>
      </w:r>
      <w:r w:rsidR="00EE5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гидрофобных природных веществ, 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 липидов, включающая все категории, кроме собственно жиров, и характеризующаяся разнообразием химического состава и строения входящих в не</w:t>
      </w:r>
      <w:r w:rsidR="009D020E"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соединений. К жироподобным веществам относятся</w:t>
      </w:r>
      <w:r w:rsidR="009F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воски, смолы, фос</w:t>
      </w:r>
      <w:r w:rsidR="00CD1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фолипиды, стерины, цереброзиды,</w:t>
      </w:r>
      <w:r w:rsidRPr="00B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гликолипиды и др.</w:t>
      </w:r>
    </w:p>
    <w:p w:rsidR="00B75CE4" w:rsidRDefault="00B75CE4" w:rsidP="00B75CE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Жировые основы представлены натуральными и полусинтетическими жирами. Основной частью жиров животного и растительного происхождения являются сложные эфиры трёхатомного спирта – глицерина и жирных кислот, называемые триглицеридами.</w:t>
      </w:r>
    </w:p>
    <w:p w:rsidR="00B75CE4" w:rsidRDefault="00B75CE4" w:rsidP="00B75CE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Триглицериды, жидкие при комнатной температуре, называются маслами, а пластичные или полутв</w:t>
      </w:r>
      <w:r w:rsidR="009D020E">
        <w:rPr>
          <w:sz w:val="28"/>
          <w:szCs w:val="28"/>
        </w:rPr>
        <w:t>ё</w:t>
      </w:r>
      <w:r>
        <w:rPr>
          <w:sz w:val="28"/>
          <w:szCs w:val="28"/>
        </w:rPr>
        <w:t>рдые – жирами. Глицериды, содержащие одну ненасыщенную кислоту в структуре, называют мононенасыщенными, а с несколькими ненасыщенными кислотами – полиненасыщенными. По способности к гидролизу жиры разделяют на омыляемые и неомыляемые.</w:t>
      </w:r>
    </w:p>
    <w:p w:rsidR="00B75CE4" w:rsidRDefault="00B75CE4" w:rsidP="00B75CE4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полусинтетических основ используют гидрогенизированные жиры, получаемые насыщением водородом жирных масел растительных. Современные липофильные основы представляют собой смешанные составы сложных эфиров жирных кислот – моно-, ди- и триглицеридов («Тв</w:t>
      </w:r>
      <w:r w:rsidR="008D4633">
        <w:rPr>
          <w:sz w:val="28"/>
          <w:szCs w:val="28"/>
        </w:rPr>
        <w:t>ё</w:t>
      </w:r>
      <w:r>
        <w:rPr>
          <w:sz w:val="28"/>
          <w:szCs w:val="28"/>
        </w:rPr>
        <w:t>рдый жир»), которые получают этерификацией жирных кислот с глицерином или переэтерификацией натуральных жиров. В состав основ данного вида вводят различные вспомогательные вещества – эмульгаторы, воски специального назначения и др., обеспечивающие простоту введения в лекарственную форму фармацевтических субстанций различной природы.</w:t>
      </w:r>
    </w:p>
    <w:p w:rsidR="0039119A" w:rsidRPr="0039119A" w:rsidRDefault="0039119A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</w:t>
      </w:r>
    </w:p>
    <w:p w:rsidR="0072423B" w:rsidRDefault="0072423B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Описание. </w:t>
      </w:r>
      <w:r w:rsidRPr="00724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Прозрачные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бесцветные</w:t>
      </w:r>
      <w:r w:rsidR="008C1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05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или менее окрашенные твё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рдые вещества без запаха или со специфическим запахом.</w:t>
      </w:r>
    </w:p>
    <w:p w:rsidR="0072423B" w:rsidRDefault="0072423B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2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Растворимость.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24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рактически не растворимы в воде, мало растворимы в спирте, легко</w:t>
      </w:r>
      <w:r>
        <w:rPr>
          <w:sz w:val="28"/>
          <w:szCs w:val="28"/>
        </w:rPr>
        <w:t xml:space="preserve"> </w:t>
      </w:r>
      <w:r w:rsidR="00B27DF0" w:rsidRPr="00B27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хлороформе, петролейном эфире, гексане, хлористом мети</w:t>
      </w:r>
      <w:r w:rsidR="00905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лене, четырё</w:t>
      </w:r>
      <w:r w:rsidR="00A41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ххлористом углероде</w:t>
      </w:r>
      <w:r w:rsidR="00DA6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119A" w:rsidRPr="0039119A" w:rsidRDefault="0039119A" w:rsidP="007C4D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ИДЕНТИФИКАЦИЯ</w:t>
      </w:r>
    </w:p>
    <w:p w:rsidR="00DA6862" w:rsidRDefault="00DA6862" w:rsidP="007C4DB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установления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A6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подлинности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жиров и жироподобных веществ используют качественные реакции, а также современные физические, химические и физико-химические методы: хроматографию в тонком слое сорбента, высокоэффективную тонкослойную хротматографию, газовую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хроматографию, спектрофотометрию в ультрафиолетовой и видимой областях, спектрометрию в инфракрасной области и др.</w:t>
      </w:r>
    </w:p>
    <w:p w:rsidR="00DA6862" w:rsidRDefault="00DA6862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наличии в жирах и жироподобных веществах экзогенных антиоксидантов установление их подлинности проводят в соответствии с требованиями фармакопейной статьи.</w:t>
      </w:r>
    </w:p>
    <w:p w:rsidR="00D65323" w:rsidRDefault="00D65323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</w:t>
      </w:r>
    </w:p>
    <w:p w:rsidR="0039119A" w:rsidRPr="00B75CE4" w:rsidRDefault="0039119A" w:rsidP="003911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Температура плавления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8A6C2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ОФС «Температура плавления»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19A" w:rsidRPr="0039119A" w:rsidRDefault="0039119A" w:rsidP="003911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Температура затвердевания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в соответствии </w:t>
      </w:r>
      <w:r w:rsidR="008A6C2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ОФС «Температура затвердевания».</w:t>
      </w:r>
    </w:p>
    <w:p w:rsidR="00B75CE4" w:rsidRDefault="00B75CE4" w:rsidP="00424B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Плотность.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B67F45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671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ОФС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«Плотность»</w:t>
      </w:r>
      <w:r w:rsidR="008F6E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C23" w:rsidRDefault="008A6C23" w:rsidP="008A6C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Показатель преломления</w:t>
      </w:r>
    </w:p>
    <w:p w:rsidR="008A6C23" w:rsidRDefault="008A6C23" w:rsidP="008A6C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ОФС </w:t>
      </w:r>
      <w:r w:rsidR="00426759" w:rsidRPr="00F744E1">
        <w:rPr>
          <w:rFonts w:ascii="Times New Roman" w:eastAsiaTheme="minorHAnsi" w:hAnsi="Times New Roman"/>
          <w:sz w:val="28"/>
          <w:szCs w:val="28"/>
        </w:rPr>
        <w:t>«</w:t>
      </w:r>
      <w:r w:rsidR="00426759" w:rsidRPr="00F744E1">
        <w:rPr>
          <w:rFonts w:ascii="Times New Roman" w:eastAsia="TimesNewRoman" w:hAnsi="Times New Roman"/>
          <w:sz w:val="28"/>
          <w:szCs w:val="28"/>
        </w:rPr>
        <w:t xml:space="preserve">Показатель преломления </w:t>
      </w:r>
      <w:r w:rsidR="00426759" w:rsidRPr="00F744E1">
        <w:rPr>
          <w:rFonts w:ascii="Times New Roman" w:eastAsiaTheme="minorHAnsi" w:hAnsi="Times New Roman"/>
          <w:sz w:val="28"/>
          <w:szCs w:val="28"/>
        </w:rPr>
        <w:t>(</w:t>
      </w:r>
      <w:r w:rsidR="00426759" w:rsidRPr="00F744E1">
        <w:rPr>
          <w:rFonts w:ascii="Times New Roman" w:eastAsia="TimesNewRoman" w:hAnsi="Times New Roman"/>
          <w:sz w:val="28"/>
          <w:szCs w:val="28"/>
        </w:rPr>
        <w:t>индекс рефракции</w:t>
      </w:r>
      <w:r w:rsidR="00426759" w:rsidRPr="00F744E1">
        <w:rPr>
          <w:rFonts w:ascii="Times New Roman" w:eastAsiaTheme="minorHAnsi" w:hAnsi="Times New Roman"/>
          <w:sz w:val="28"/>
          <w:szCs w:val="28"/>
        </w:rPr>
        <w:t>)»</w:t>
      </w:r>
      <w:r w:rsidR="00426759">
        <w:rPr>
          <w:rFonts w:ascii="Times New Roman" w:eastAsiaTheme="minorHAnsi" w:hAnsi="Times New Roman"/>
          <w:sz w:val="28"/>
          <w:szCs w:val="28"/>
        </w:rPr>
        <w:t>.</w:t>
      </w:r>
    </w:p>
    <w:p w:rsidR="008A6C23" w:rsidRPr="00B75CE4" w:rsidRDefault="008A6C23" w:rsidP="008A6C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3D2">
        <w:rPr>
          <w:rFonts w:ascii="Times New Roman" w:eastAsia="Times New Roman" w:hAnsi="Times New Roman"/>
          <w:sz w:val="28"/>
          <w:szCs w:val="28"/>
          <w:lang w:eastAsia="ru-RU"/>
        </w:rPr>
        <w:t>Для натуральных жиров при проведении идентификации состава жирных кислот методом газовой хроматографии, показатель преломления не определяют.</w:t>
      </w:r>
    </w:p>
    <w:p w:rsidR="009C4F94" w:rsidRDefault="00123671" w:rsidP="00905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176DF2">
        <w:rPr>
          <w:rFonts w:ascii="Times New Roman" w:eastAsia="Times New Roman" w:hAnsi="Times New Roman"/>
          <w:b/>
          <w:sz w:val="28"/>
          <w:szCs w:val="28"/>
          <w:lang w:eastAsia="ru-RU"/>
        </w:rPr>
        <w:t>Твё</w:t>
      </w:r>
      <w:r w:rsidR="00B75CE4"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рдость жира</w:t>
      </w:r>
    </w:p>
    <w:p w:rsidR="00B75CE4" w:rsidRPr="00AB2FC7" w:rsidRDefault="00B67F45" w:rsidP="00905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671" w:rsidRPr="00B75CE4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AB2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671" w:rsidRPr="00B75CE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B2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671" w:rsidRPr="00B75CE4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F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23671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FF8">
        <w:rPr>
          <w:rFonts w:ascii="Times New Roman" w:eastAsia="Times New Roman" w:hAnsi="Times New Roman"/>
          <w:sz w:val="28"/>
          <w:szCs w:val="28"/>
          <w:lang w:eastAsia="ru-RU"/>
        </w:rPr>
        <w:t>ОФС «Термический анализ»</w:t>
      </w:r>
      <w:r w:rsidR="00B75CE4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160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</w:t>
      </w:r>
      <w:r w:rsidR="00B75CE4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ЯМР</w:t>
      </w:r>
      <w:r w:rsidR="00516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06A" w:rsidRPr="0051606A">
        <w:rPr>
          <w:rFonts w:ascii="Times New Roman" w:eastAsiaTheme="minorHAnsi" w:hAnsi="Times New Roman"/>
          <w:sz w:val="28"/>
          <w:szCs w:val="28"/>
        </w:rPr>
        <w:t>(</w:t>
      </w:r>
      <w:r w:rsidR="0051606A" w:rsidRPr="0051606A">
        <w:rPr>
          <w:rFonts w:ascii="Times New Roman" w:eastAsia="TimesNewRoman" w:hAnsi="Times New Roman"/>
          <w:sz w:val="28"/>
          <w:szCs w:val="28"/>
        </w:rPr>
        <w:t xml:space="preserve">ОФС </w:t>
      </w:r>
      <w:r w:rsidR="0051606A" w:rsidRPr="0051606A">
        <w:rPr>
          <w:rFonts w:ascii="Times New Roman" w:eastAsiaTheme="minorHAnsi" w:hAnsi="Times New Roman"/>
          <w:sz w:val="28"/>
          <w:szCs w:val="28"/>
        </w:rPr>
        <w:t>«</w:t>
      </w:r>
      <w:r w:rsidR="0051606A" w:rsidRPr="0051606A">
        <w:rPr>
          <w:rFonts w:ascii="Times New Roman" w:eastAsia="TimesNewRoman" w:hAnsi="Times New Roman"/>
          <w:sz w:val="28"/>
          <w:szCs w:val="28"/>
        </w:rPr>
        <w:t>Спектроскопия ядерного магнитного</w:t>
      </w:r>
      <w:r w:rsidR="0051606A">
        <w:rPr>
          <w:rFonts w:ascii="Times New Roman" w:eastAsia="TimesNewRoman" w:hAnsi="Times New Roman"/>
          <w:sz w:val="28"/>
          <w:szCs w:val="28"/>
        </w:rPr>
        <w:t xml:space="preserve"> </w:t>
      </w:r>
      <w:r w:rsidR="0051606A" w:rsidRPr="0051606A">
        <w:rPr>
          <w:rFonts w:ascii="Times New Roman" w:eastAsia="TimesNewRoman" w:hAnsi="Times New Roman"/>
          <w:sz w:val="28"/>
          <w:szCs w:val="28"/>
        </w:rPr>
        <w:t>резонанса</w:t>
      </w:r>
      <w:r w:rsidR="0051606A" w:rsidRPr="0051606A">
        <w:rPr>
          <w:rFonts w:ascii="Times New Roman" w:eastAsiaTheme="minorHAnsi" w:hAnsi="Times New Roman"/>
          <w:sz w:val="28"/>
          <w:szCs w:val="28"/>
        </w:rPr>
        <w:t>»)</w:t>
      </w:r>
      <w:r w:rsidR="00B75CE4" w:rsidRPr="005160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413" w:rsidRDefault="00F44659" w:rsidP="00905B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>Содержание тв</w:t>
      </w:r>
      <w:r w:rsidR="008D463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 xml:space="preserve">рдого жира методом ЯМР определяют как отношение числа положительно заряженных ядер водорода (далее </w:t>
      </w:r>
      <w:r w:rsidR="009371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протонов) в тв</w:t>
      </w:r>
      <w:r w:rsidR="008D463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>рдой фазе образца к общему числу протонов в тв</w:t>
      </w:r>
      <w:r w:rsidR="008D463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>рдой и жидкой фазах образца при определ</w:t>
      </w:r>
      <w:r w:rsidR="008D463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15269">
        <w:rPr>
          <w:rFonts w:ascii="Times New Roman" w:eastAsia="Times New Roman" w:hAnsi="Times New Roman"/>
          <w:sz w:val="28"/>
          <w:szCs w:val="28"/>
          <w:lang w:eastAsia="ru-RU"/>
        </w:rPr>
        <w:t>нной температуре, выраженное в процентах</w:t>
      </w:r>
      <w:r w:rsidR="00014B3C" w:rsidRPr="0071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606A" w:rsidRDefault="0051606A" w:rsidP="0051606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</w:t>
      </w:r>
      <w:r w:rsidR="001460AA" w:rsidRPr="003A6413">
        <w:rPr>
          <w:rFonts w:ascii="Times New Roman" w:hAnsi="Times New Roman"/>
          <w:b/>
          <w:sz w:val="28"/>
          <w:szCs w:val="28"/>
        </w:rPr>
        <w:t xml:space="preserve"> твердых жиров </w:t>
      </w:r>
      <w:r>
        <w:rPr>
          <w:rFonts w:ascii="Times New Roman" w:hAnsi="Times New Roman"/>
          <w:b/>
          <w:sz w:val="28"/>
          <w:szCs w:val="28"/>
        </w:rPr>
        <w:t>методом ЯМР</w:t>
      </w:r>
    </w:p>
    <w:p w:rsidR="00495788" w:rsidRPr="00B37EB0" w:rsidRDefault="0026546C" w:rsidP="005160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Для опреде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ления содержания тв</w:t>
      </w:r>
      <w:r w:rsidR="003A6373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рдого жира применяют прямой метод</w:t>
      </w:r>
      <w:r w:rsidR="009371CD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измерение сигналов протонов как тв</w:t>
      </w:r>
      <w:r w:rsidR="00DD5E5A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рдой, так и жидкой фаз, и косвенный метод</w:t>
      </w:r>
      <w:r w:rsidR="009371CD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измерение сигнала протонов в жидкой фазе и дальнейший расч</w:t>
      </w:r>
      <w:r w:rsidR="00CD2A49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содержания тв</w:t>
      </w:r>
      <w:r w:rsidR="009371CD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рдого жира пут</w:t>
      </w:r>
      <w:r w:rsidR="00CD2A49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м сравнения с образцом, содержащим только жидкий жир.</w:t>
      </w:r>
    </w:p>
    <w:p w:rsidR="0026546C" w:rsidRPr="00B37EB0" w:rsidRDefault="00B27DF0" w:rsidP="00715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06A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Оборудование.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D42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ЯМР-анализатор низкого разрешения 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с рабочей частотой от 20 до 40 МГц</w:t>
      </w:r>
      <w:r w:rsidR="00715269" w:rsidRPr="00B37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0AA" w:rsidRPr="00B37EB0" w:rsidRDefault="001460AA" w:rsidP="00715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Пробу выдерживают до стабильного состояния при заданной температуре, затем нагревают до температуры измерения и стабилизируют при этой температуре.</w:t>
      </w:r>
    </w:p>
    <w:p w:rsidR="00495788" w:rsidRPr="00B37EB0" w:rsidRDefault="001460AA" w:rsidP="00715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После достижения электромагнитного равновесия в статическом магнитном поле спектрометра и воздействия 90-го радиочастотного импульса сигнала затухания намагниченности от протонов тв</w:t>
      </w:r>
      <w:r w:rsidR="006D7AE7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рдой и ж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>идкой фаз регистрируют через 11 мкс и 70 </w:t>
      </w: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мкс (или при интервалах, рекомендованных</w:t>
      </w:r>
      <w:r w:rsidR="00767F65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изготовителем спектрометра</w:t>
      </w: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B2FC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67F65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вычисляют содержание тв</w:t>
      </w:r>
      <w:r w:rsidR="00376021" w:rsidRPr="00B37EB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767F65" w:rsidRPr="00B37EB0">
        <w:rPr>
          <w:rFonts w:ascii="Times New Roman" w:eastAsia="Times New Roman" w:hAnsi="Times New Roman"/>
          <w:sz w:val="28"/>
          <w:szCs w:val="28"/>
          <w:lang w:eastAsia="ru-RU"/>
        </w:rPr>
        <w:t>рдого жира</w:t>
      </w:r>
      <w:r w:rsidR="00495788" w:rsidRPr="00B37E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59"/>
        <w:gridCol w:w="409"/>
        <w:gridCol w:w="422"/>
        <w:gridCol w:w="6471"/>
        <w:gridCol w:w="1135"/>
      </w:tblGrid>
      <w:tr w:rsidR="006D7AE7" w:rsidTr="0039119A">
        <w:trPr>
          <w:trHeight w:val="933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DF0" w:rsidRPr="00AB2FC7" w:rsidRDefault="00B27DF0" w:rsidP="00B27DF0">
            <w:pPr>
              <w:keepNext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DF0" w:rsidRDefault="0072676A" w:rsidP="00B27DF0">
            <w:pPr>
              <w:keepNext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f ∙(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)  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f 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+S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27DF0" w:rsidRDefault="00B27DF0" w:rsidP="00B27DF0">
            <w:pPr>
              <w:keepNext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24712" w:rsidTr="00DC3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</w:tcPr>
          <w:p w:rsidR="00B27DF0" w:rsidRDefault="00A24712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где,</w:t>
            </w:r>
          </w:p>
        </w:tc>
        <w:tc>
          <w:tcPr>
            <w:tcW w:w="868" w:type="dxa"/>
            <w:gridSpan w:val="2"/>
          </w:tcPr>
          <w:p w:rsidR="00B27DF0" w:rsidRPr="00B27DF0" w:rsidRDefault="00B27DF0" w:rsidP="00B27DF0">
            <w:pPr>
              <w:spacing w:after="120"/>
              <w:jc w:val="both"/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f</m:t>
                </m:r>
              </m:oMath>
            </m:oMathPara>
          </w:p>
        </w:tc>
        <w:tc>
          <w:tcPr>
            <w:tcW w:w="422" w:type="dxa"/>
          </w:tcPr>
          <w:p w:rsidR="00B27DF0" w:rsidRDefault="000814D3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6" w:type="dxa"/>
            <w:gridSpan w:val="2"/>
          </w:tcPr>
          <w:p w:rsidR="00B27DF0" w:rsidRDefault="00A24712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 корр</w:t>
            </w:r>
            <w:r w:rsidR="00DC2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екции</w:t>
            </w:r>
          </w:p>
        </w:tc>
      </w:tr>
      <w:tr w:rsidR="00A24712" w:rsidTr="00DC3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</w:tcPr>
          <w:p w:rsidR="00B27DF0" w:rsidRDefault="00B27DF0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B27DF0" w:rsidRPr="00B27DF0" w:rsidRDefault="0072676A" w:rsidP="00B27DF0">
            <w:pPr>
              <w:spacing w:after="120"/>
              <w:jc w:val="both"/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B27DF0" w:rsidRPr="00B27DF0">
              <w:rPr>
                <w:rFonts w:ascii="Cambria Math" w:eastAsia="Times New Roman" w:hAnsi="Cambria Math"/>
                <w:color w:val="000000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422" w:type="dxa"/>
          </w:tcPr>
          <w:p w:rsidR="00B27DF0" w:rsidRDefault="000814D3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6" w:type="dxa"/>
            <w:gridSpan w:val="2"/>
          </w:tcPr>
          <w:p w:rsidR="00B27DF0" w:rsidRDefault="00DC2881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уровни сигнала магнитной инду</w:t>
            </w:r>
            <w:r w:rsid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кции, измеренные при 11 и 70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мкс</w:t>
            </w:r>
          </w:p>
        </w:tc>
      </w:tr>
      <w:tr w:rsidR="00683636" w:rsidTr="00DC3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</w:tcPr>
          <w:p w:rsidR="00B27DF0" w:rsidRDefault="00B27DF0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B27DF0" w:rsidRPr="00B27DF0" w:rsidRDefault="0072676A" w:rsidP="00B27DF0">
            <w:pPr>
              <w:spacing w:after="120"/>
              <w:jc w:val="both"/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422" w:type="dxa"/>
          </w:tcPr>
          <w:p w:rsidR="00B27DF0" w:rsidRDefault="000814D3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6" w:type="dxa"/>
            <w:gridSpan w:val="2"/>
          </w:tcPr>
          <w:p w:rsidR="00B27DF0" w:rsidRDefault="00683636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</w:t>
            </w:r>
            <w:r w:rsidR="00353C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рдость жира</w:t>
            </w:r>
          </w:p>
        </w:tc>
      </w:tr>
    </w:tbl>
    <w:p w:rsidR="0039119A" w:rsidRPr="00B75CE4" w:rsidRDefault="0039119A" w:rsidP="001E58C7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Анизидиновое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B75CE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АН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«Анизидиновое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исло» в дополнение к пероксидному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числу, так как при определен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пероксидного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отсутствует корреляция со степенью разрушения основы, определяемой органолептически.</w:t>
      </w:r>
    </w:p>
    <w:p w:rsidR="0039119A" w:rsidRPr="0039119A" w:rsidRDefault="0039119A" w:rsidP="003911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Гидроксильное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B75CE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ОН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«Гидроксильное число».</w:t>
      </w:r>
    </w:p>
    <w:p w:rsidR="00B75CE4" w:rsidRDefault="00B75CE4" w:rsidP="000814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Йодное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AB2FC7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i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172A78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A78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172A78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172A78"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«Йодное число».</w:t>
      </w:r>
    </w:p>
    <w:p w:rsidR="0039119A" w:rsidRDefault="0039119A" w:rsidP="003911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Кислотное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AB2FC7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a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«Кислотное число». </w:t>
      </w:r>
    </w:p>
    <w:p w:rsidR="0039119A" w:rsidRDefault="0039119A" w:rsidP="0039119A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E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Общее число окисления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Общее число окисления вычисляют по формуле: 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58"/>
        <w:gridCol w:w="409"/>
        <w:gridCol w:w="420"/>
        <w:gridCol w:w="6473"/>
        <w:gridCol w:w="1135"/>
      </w:tblGrid>
      <w:tr w:rsidR="0039119A" w:rsidTr="008A6C23">
        <w:trPr>
          <w:trHeight w:val="42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19A" w:rsidRDefault="0039119A" w:rsidP="008A6C23">
            <w:pPr>
              <w:keepNext/>
              <w:shd w:val="clear" w:color="auto" w:fill="FFFFFF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19A" w:rsidRPr="00B27DF0" w:rsidRDefault="0039119A" w:rsidP="008A6C23">
            <w:pPr>
              <w:keepNext/>
              <w:shd w:val="clear" w:color="auto" w:fill="FFFFFF"/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w:pP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>2 × I</w:t>
            </w:r>
            <w:r w:rsidRPr="00AB2FC7">
              <w:rPr>
                <w:rFonts w:ascii="Cambria Math" w:eastAsia="Times New Roman" w:hAnsi="Cambria Math"/>
                <w:sz w:val="28"/>
                <w:szCs w:val="28"/>
                <w:vertAlign w:val="subscript"/>
                <w:lang w:eastAsia="ru-RU"/>
              </w:rPr>
              <w:t>p</w:t>
            </w: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>+ I</w:t>
            </w:r>
            <w:r w:rsidRPr="00AB2FC7">
              <w:rPr>
                <w:rFonts w:ascii="Cambria Math" w:eastAsia="Times New Roman" w:hAnsi="Cambria Math"/>
                <w:sz w:val="28"/>
                <w:szCs w:val="28"/>
                <w:vertAlign w:val="subscript"/>
                <w:lang w:eastAsia="ru-RU"/>
              </w:rPr>
              <w:t>АН</w:t>
            </w: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9119A" w:rsidRDefault="0039119A" w:rsidP="008A6C23">
            <w:pPr>
              <w:keepNext/>
              <w:shd w:val="clear" w:color="auto" w:fill="FFFFFF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119A" w:rsidTr="008A6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6" w:type="dxa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где:</w:t>
            </w:r>
          </w:p>
        </w:tc>
        <w:tc>
          <w:tcPr>
            <w:tcW w:w="867" w:type="dxa"/>
            <w:gridSpan w:val="2"/>
          </w:tcPr>
          <w:p w:rsidR="0039119A" w:rsidRPr="00B27DF0" w:rsidRDefault="0039119A" w:rsidP="008A6C23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w:pP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  <w:t>I</w:t>
            </w:r>
            <w:r w:rsidRPr="00AB2FC7"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 w:eastAsia="ru-RU"/>
              </w:rPr>
              <w:t>p</w:t>
            </w:r>
          </w:p>
        </w:tc>
        <w:tc>
          <w:tcPr>
            <w:tcW w:w="420" w:type="dxa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перекисное число</w:t>
            </w:r>
          </w:p>
        </w:tc>
      </w:tr>
      <w:tr w:rsidR="0039119A" w:rsidTr="008A6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76" w:type="dxa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39119A" w:rsidRPr="00B27DF0" w:rsidRDefault="0039119A" w:rsidP="008A6C23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w:pP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  <w:t>I</w:t>
            </w:r>
            <w:r w:rsidRPr="00AB2FC7"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 w:eastAsia="ru-RU"/>
              </w:rPr>
              <w:t>AH</w:t>
            </w:r>
          </w:p>
        </w:tc>
        <w:tc>
          <w:tcPr>
            <w:tcW w:w="420" w:type="dxa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39119A" w:rsidRDefault="0039119A" w:rsidP="008A6C23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анизидиновое число</w:t>
            </w:r>
          </w:p>
        </w:tc>
      </w:tr>
    </w:tbl>
    <w:p w:rsidR="0039119A" w:rsidRPr="00B75CE4" w:rsidRDefault="0039119A" w:rsidP="001E58C7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Пероксидное</w:t>
      </w: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AB2FC7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p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«Пероксидное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число».</w:t>
      </w:r>
    </w:p>
    <w:p w:rsidR="009C4F94" w:rsidRDefault="00B75CE4" w:rsidP="00B27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b/>
          <w:sz w:val="28"/>
          <w:szCs w:val="28"/>
          <w:lang w:eastAsia="ru-RU"/>
        </w:rPr>
        <w:t>Число омыления</w:t>
      </w: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1D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AB2FC7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s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27DF0" w:rsidRDefault="00B67F45" w:rsidP="00B27D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0901B2" w:rsidRPr="00E87A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</w:t>
      </w:r>
      <w:r w:rsidR="000901B2" w:rsidRPr="00515BF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0901B2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ОФС </w:t>
      </w:r>
      <w:r w:rsidR="00B75CE4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«Число омыления». </w:t>
      </w:r>
    </w:p>
    <w:p w:rsidR="008F6E55" w:rsidRPr="00B37EB0" w:rsidRDefault="00B75CE4" w:rsidP="00AF2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Если в целях консервации испытуемое вещество было насыщено углерода диоксидом, перед взвешиванием его выдерживают в выпарительной чашке</w:t>
      </w:r>
      <w:r w:rsidR="00DA6990"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вакуум-эксикаторе в течение 24 часов.</w:t>
      </w:r>
    </w:p>
    <w:p w:rsidR="00B75CE4" w:rsidRPr="00B37EB0" w:rsidRDefault="00B75CE4" w:rsidP="006861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>Число омыления связано со средней молекулярной массой (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M)</m:t>
        </m:r>
      </m:oMath>
      <w:r w:rsidRPr="00B37EB0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чистых жирных кислот и их сложных глицериновых эфиров следующим соотношением: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58"/>
        <w:gridCol w:w="409"/>
        <w:gridCol w:w="420"/>
        <w:gridCol w:w="6473"/>
        <w:gridCol w:w="1135"/>
      </w:tblGrid>
      <w:tr w:rsidR="00044EF5" w:rsidTr="00044EF5">
        <w:trPr>
          <w:trHeight w:val="689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10F" w:rsidRDefault="0068610F" w:rsidP="0068610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DF0" w:rsidRPr="00B27DF0" w:rsidRDefault="0072676A" w:rsidP="00B27DF0">
            <w:pPr>
              <w:spacing w:line="360" w:lineRule="auto"/>
              <w:ind w:left="45"/>
              <w:jc w:val="center"/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  <m:t xml:space="preserve">56100 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  <w:lang w:eastAsia="ru-RU"/>
                    </w:rPr>
                    <m:t>M</m:t>
                  </m:r>
                </m:den>
              </m:f>
            </m:oMath>
            <w:r w:rsidR="00B27DF0" w:rsidRPr="00B27DF0"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8610F" w:rsidRDefault="0068610F" w:rsidP="0068610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6E55" w:rsidRPr="008F6E55" w:rsidTr="0004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</w:tcPr>
          <w:p w:rsidR="00B27DF0" w:rsidRDefault="004E2D95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F6E55" w:rsidRPr="008F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67" w:type="dxa"/>
            <w:gridSpan w:val="2"/>
          </w:tcPr>
          <w:p w:rsidR="00B27DF0" w:rsidRPr="00B27DF0" w:rsidRDefault="00B27DF0" w:rsidP="00B27DF0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w:pPr>
            <w:r w:rsidRPr="00B27DF0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0" w:type="dxa"/>
          </w:tcPr>
          <w:p w:rsidR="00B27DF0" w:rsidRDefault="00C71694" w:rsidP="00B27DF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B27DF0" w:rsidRDefault="008F6E55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молекулярная масса;</w:t>
            </w:r>
          </w:p>
        </w:tc>
      </w:tr>
      <w:tr w:rsidR="008F6E55" w:rsidRPr="008F6E55" w:rsidTr="0004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</w:tcPr>
          <w:p w:rsidR="00B27DF0" w:rsidRDefault="00B27DF0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B27DF0" w:rsidRPr="00B27DF0" w:rsidRDefault="00380DA6" w:rsidP="00B27DF0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w:pPr>
            <w: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  <w:t>n</w:t>
            </w:r>
            <w:r w:rsidR="00362253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=</w:t>
            </w:r>
            <w:r w:rsidR="003622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</w:tcPr>
          <w:p w:rsidR="00B27DF0" w:rsidRDefault="00C71694" w:rsidP="00B27DF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B27DF0" w:rsidRDefault="008F6E55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жирных кислот и моноглицеридов;</w:t>
            </w:r>
          </w:p>
        </w:tc>
      </w:tr>
      <w:tr w:rsidR="008F6E55" w:rsidRPr="008F6E55" w:rsidTr="0004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</w:tcPr>
          <w:p w:rsidR="00B27DF0" w:rsidRDefault="00B27DF0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B27DF0" w:rsidRPr="00B27DF0" w:rsidRDefault="00380DA6" w:rsidP="00B27DF0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  <w:t>n</w:t>
            </w:r>
            <w:r w:rsidR="00362253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=</w:t>
            </w:r>
            <w:r w:rsidR="003622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0" w:type="dxa"/>
          </w:tcPr>
          <w:p w:rsidR="00B27DF0" w:rsidRDefault="00C71694" w:rsidP="00B27DF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B27DF0" w:rsidRDefault="008F6E55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диглицеридов</w:t>
            </w:r>
          </w:p>
        </w:tc>
      </w:tr>
      <w:tr w:rsidR="008F6E55" w:rsidRPr="008F6E55" w:rsidTr="0004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</w:tcPr>
          <w:p w:rsidR="00B27DF0" w:rsidRDefault="00B27DF0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gridSpan w:val="2"/>
          </w:tcPr>
          <w:p w:rsidR="00B27DF0" w:rsidRPr="00B27DF0" w:rsidRDefault="00380DA6" w:rsidP="00B27DF0">
            <w:pPr>
              <w:spacing w:after="120"/>
              <w:jc w:val="center"/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w:pPr>
            <w: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  <w:t>n</w:t>
            </w:r>
            <w:r w:rsidR="00362253"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=</w:t>
            </w:r>
            <w:r w:rsidR="003622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7DF0" w:rsidRPr="00B27DF0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0" w:type="dxa"/>
          </w:tcPr>
          <w:p w:rsidR="00B27DF0" w:rsidRDefault="00C71694" w:rsidP="00B27DF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08" w:type="dxa"/>
            <w:gridSpan w:val="2"/>
          </w:tcPr>
          <w:p w:rsidR="00B27DF0" w:rsidRDefault="008F6E55" w:rsidP="00B27DF0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E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триглицеридов.</w:t>
            </w:r>
          </w:p>
        </w:tc>
      </w:tr>
    </w:tbl>
    <w:p w:rsidR="005C6B5E" w:rsidRDefault="00B75CE4" w:rsidP="005C6B5E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Величина числа омыления определяется длиной цепочек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содержащихся в глицеридах жирных кислот, соотношением концентраций жирных кислот и используется для быстрой идентификации жиров. В табл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 1 представлены значения числа омыления нескольких важных природных масел и жиров.</w:t>
      </w:r>
    </w:p>
    <w:p w:rsidR="00B27DF0" w:rsidRPr="00B27DF0" w:rsidRDefault="00B27DF0" w:rsidP="001E58C7">
      <w:pPr>
        <w:keepNext/>
        <w:keepLines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D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 1 – Значения числа омыления некоторых масел и жиров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607"/>
        <w:gridCol w:w="4964"/>
      </w:tblGrid>
      <w:tr w:rsidR="00B75CE4" w:rsidRPr="00B75CE4" w:rsidTr="009D1DF9">
        <w:tc>
          <w:tcPr>
            <w:tcW w:w="3684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жира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Значение числа омыления</w:t>
            </w:r>
          </w:p>
        </w:tc>
      </w:tr>
      <w:tr w:rsidR="00B75CE4" w:rsidRPr="00B75CE4" w:rsidTr="009D1DF9">
        <w:trPr>
          <w:trHeight w:val="260"/>
        </w:trPr>
        <w:tc>
          <w:tcPr>
            <w:tcW w:w="3684" w:type="dxa"/>
          </w:tcPr>
          <w:p w:rsidR="00B27DF0" w:rsidRDefault="00B75CE4" w:rsidP="001E58C7">
            <w:pPr>
              <w:keepNext/>
              <w:keepLine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рдый жир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</w:t>
            </w:r>
          </w:p>
        </w:tc>
      </w:tr>
      <w:tr w:rsidR="00B75CE4" w:rsidRPr="00B75CE4" w:rsidTr="009D1DF9">
        <w:trPr>
          <w:trHeight w:val="110"/>
        </w:trPr>
        <w:tc>
          <w:tcPr>
            <w:tcW w:w="3684" w:type="dxa"/>
          </w:tcPr>
          <w:p w:rsidR="00B27DF0" w:rsidRDefault="00B75CE4" w:rsidP="001E58C7">
            <w:pPr>
              <w:keepNext/>
              <w:keepLine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Кокосовое масло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</w:t>
            </w:r>
          </w:p>
        </w:tc>
      </w:tr>
      <w:tr w:rsidR="00B75CE4" w:rsidRPr="00B75CE4" w:rsidTr="009D1DF9">
        <w:tc>
          <w:tcPr>
            <w:tcW w:w="3684" w:type="dxa"/>
          </w:tcPr>
          <w:p w:rsidR="00B27DF0" w:rsidRDefault="00B75CE4" w:rsidP="001E58C7">
            <w:pPr>
              <w:keepNext/>
              <w:keepLine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Какао масло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75CE4" w:rsidRPr="00B75CE4" w:rsidTr="009D1DF9">
        <w:tc>
          <w:tcPr>
            <w:tcW w:w="3684" w:type="dxa"/>
          </w:tcPr>
          <w:p w:rsidR="00B27DF0" w:rsidRDefault="00B75CE4" w:rsidP="001E58C7">
            <w:pPr>
              <w:keepNext/>
              <w:keepLine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Пальмовое масло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75CE4" w:rsidRPr="00B75CE4" w:rsidTr="009D1DF9">
        <w:tc>
          <w:tcPr>
            <w:tcW w:w="3684" w:type="dxa"/>
          </w:tcPr>
          <w:p w:rsidR="00B27DF0" w:rsidRDefault="00B75CE4" w:rsidP="001E58C7">
            <w:pPr>
              <w:keepNext/>
              <w:keepLine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Подсолнечное масло</w:t>
            </w:r>
          </w:p>
        </w:tc>
        <w:tc>
          <w:tcPr>
            <w:tcW w:w="3970" w:type="dxa"/>
          </w:tcPr>
          <w:p w:rsidR="00B27DF0" w:rsidRDefault="00B75CE4" w:rsidP="001E58C7">
            <w:pPr>
              <w:keepNext/>
              <w:keepLine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</w:t>
            </w:r>
          </w:p>
        </w:tc>
      </w:tr>
      <w:tr w:rsidR="00B75CE4" w:rsidRPr="00B75CE4" w:rsidTr="009D1DF9">
        <w:trPr>
          <w:trHeight w:val="230"/>
        </w:trPr>
        <w:tc>
          <w:tcPr>
            <w:tcW w:w="3684" w:type="dxa"/>
          </w:tcPr>
          <w:p w:rsidR="00B27DF0" w:rsidRDefault="00B75CE4" w:rsidP="00B27D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Пальмоядровое масло</w:t>
            </w:r>
          </w:p>
        </w:tc>
        <w:tc>
          <w:tcPr>
            <w:tcW w:w="3970" w:type="dxa"/>
          </w:tcPr>
          <w:p w:rsidR="00B27DF0" w:rsidRDefault="00B75CE4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  <w:r w:rsidR="00594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7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</w:tr>
    </w:tbl>
    <w:p w:rsidR="00B27DF0" w:rsidRDefault="00B75CE4" w:rsidP="00B27DF0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Эфирное число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75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I</w:t>
      </w:r>
      <w:r w:rsidRPr="009C4F9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E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B67F45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1B2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0901B2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0901B2">
        <w:rPr>
          <w:rFonts w:ascii="Times New Roman" w:eastAsia="Times New Roman" w:hAnsi="Times New Roman"/>
          <w:sz w:val="28"/>
          <w:szCs w:val="28"/>
          <w:lang w:eastAsia="ru-RU"/>
        </w:rPr>
        <w:t>ОФС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«Эфирное число». </w:t>
      </w:r>
    </w:p>
    <w:p w:rsidR="00B75CE4" w:rsidRPr="00B75CE4" w:rsidRDefault="00B75CE4" w:rsidP="00C7169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Неомыляемые вещества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B67F45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730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6B2730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ОФС «Масла жирные растительные».</w:t>
      </w:r>
    </w:p>
    <w:p w:rsidR="00B75CE4" w:rsidRPr="00B75CE4" w:rsidRDefault="00B75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Жирнокислотный состав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B67F45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1B2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0901B2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ОФС «</w:t>
      </w:r>
      <w:r w:rsidR="005B338D" w:rsidRPr="005B338D">
        <w:rPr>
          <w:rFonts w:ascii="Times New Roman" w:eastAsia="Times New Roman" w:hAnsi="Times New Roman"/>
          <w:color w:val="000000"/>
          <w:sz w:val="28"/>
          <w:szCs w:val="28"/>
        </w:rPr>
        <w:t>Определение состава жирных кислот в маслах жирных растительных и жирах</w:t>
      </w:r>
      <w:r w:rsidR="000901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4172" w:rsidRPr="00B75CE4" w:rsidRDefault="00B75CE4" w:rsidP="004341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Посторонние жирные кислоты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B67F45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1B2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ED41A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методом, указанным в фармакопейной статье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81F" w:rsidRPr="00E858C1" w:rsidRDefault="00B75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Стерины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7F45" w:rsidRPr="00B67F45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  <w:r w:rsidR="006B2730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730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 w:rsidR="006B2730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ОФС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0E1" w:rsidRPr="006D20E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20E1">
        <w:rPr>
          <w:rFonts w:ascii="Times New Roman" w:eastAsia="Times New Roman" w:hAnsi="Times New Roman"/>
          <w:sz w:val="28"/>
          <w:szCs w:val="28"/>
          <w:lang w:eastAsia="ru-RU"/>
        </w:rPr>
        <w:t>терин</w:t>
      </w:r>
      <w:r w:rsidR="006D20E1" w:rsidRPr="006D20E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D20E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646C4" w:rsidRPr="006D20E1">
        <w:rPr>
          <w:rFonts w:ascii="Times New Roman" w:eastAsia="Times New Roman" w:hAnsi="Times New Roman"/>
          <w:sz w:val="28"/>
          <w:szCs w:val="28"/>
          <w:lang w:eastAsia="ru-RU"/>
        </w:rPr>
        <w:t>маслах жирных растительных и жирах</w:t>
      </w:r>
      <w:r w:rsidR="006B2730" w:rsidRPr="006D20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D20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5CE4" w:rsidRPr="00B75CE4" w:rsidRDefault="00B75C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b/>
          <w:sz w:val="28"/>
          <w:szCs w:val="28"/>
          <w:lang w:eastAsia="ru-RU"/>
        </w:rPr>
        <w:t>Вода и осадок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5323" w:rsidRDefault="00B75CE4" w:rsidP="00D653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В две грушевидные центрифужные пробирки ёмкостью 125 мл с чётко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>й градуировкой (табл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  <w:r w:rsidR="00E858C1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вносят 50,0</w:t>
      </w:r>
      <w:r w:rsidR="00FE75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58C1">
        <w:rPr>
          <w:rFonts w:ascii="Times New Roman" w:eastAsia="Times New Roman" w:hAnsi="Times New Roman"/>
          <w:sz w:val="28"/>
          <w:szCs w:val="28"/>
          <w:lang w:eastAsia="ru-RU"/>
        </w:rPr>
        <w:t>мл бензола и</w:t>
      </w:r>
      <w:r w:rsidR="00E858C1" w:rsidRPr="00E85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50,0</w:t>
      </w:r>
      <w:r w:rsidR="00FE75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мл испытуемого образца, при необходимости нагретого для растворения выделившегося стеарина и тщательно перемешанного при 25 °С.</w:t>
      </w:r>
      <w:r w:rsidR="00E858C1" w:rsidRPr="00E85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8C1" w:rsidRPr="00DA6862">
        <w:rPr>
          <w:rFonts w:ascii="Times New Roman" w:eastAsia="Times New Roman" w:hAnsi="Times New Roman"/>
          <w:sz w:val="28"/>
          <w:szCs w:val="28"/>
          <w:lang w:eastAsia="ru-RU"/>
        </w:rPr>
        <w:t>Пробирки п</w:t>
      </w:r>
      <w:r w:rsidRPr="00DA6862">
        <w:rPr>
          <w:rFonts w:ascii="Times New Roman" w:eastAsia="Times New Roman" w:hAnsi="Times New Roman"/>
          <w:sz w:val="28"/>
          <w:szCs w:val="28"/>
          <w:lang w:eastAsia="ru-RU"/>
        </w:rPr>
        <w:t>лотно закрывают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пробками,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интенсивно встряхивают, нагревают на водяной бане при 50 °С в течение 10 мин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1E58C7">
        <w:rPr>
          <w:rFonts w:ascii="Times New Roman" w:eastAsia="Times New Roman" w:hAnsi="Times New Roman"/>
          <w:sz w:val="28"/>
          <w:szCs w:val="28"/>
          <w:lang w:eastAsia="ru-RU"/>
        </w:rPr>
        <w:t>ентрифугируют со скоростью 1500 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>об/мин в течение 10 мин</w:t>
      </w:r>
      <w:r w:rsidR="009C4F9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 </w:t>
      </w:r>
      <w:r w:rsidR="00E858C1" w:rsidRPr="00DA6862">
        <w:rPr>
          <w:rFonts w:ascii="Times New Roman" w:eastAsia="Times New Roman" w:hAnsi="Times New Roman"/>
          <w:sz w:val="28"/>
          <w:szCs w:val="28"/>
          <w:lang w:eastAsia="ru-RU"/>
        </w:rPr>
        <w:t>общий объём воды с осадком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дне каждой пробирки. Повторно центрифугируют с интервалами 10 мин до тех пор, пока </w:t>
      </w:r>
      <w:r w:rsidR="00E858C1" w:rsidRPr="00DA6862">
        <w:rPr>
          <w:rFonts w:ascii="Times New Roman" w:eastAsia="Times New Roman" w:hAnsi="Times New Roman"/>
          <w:sz w:val="28"/>
          <w:szCs w:val="28"/>
          <w:lang w:eastAsia="ru-RU"/>
        </w:rPr>
        <w:t>общий объём воды с осадком</w:t>
      </w:r>
      <w:r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будет постоянным для трёх последовательных измерений. Суммарный объём воды с осадком в двух пробирках соответствует процентному содержанию (по объёму) воды и осадка в масле.</w:t>
      </w:r>
    </w:p>
    <w:p w:rsidR="00B27DF0" w:rsidRPr="001E58C7" w:rsidRDefault="001E58C7" w:rsidP="001E58C7">
      <w:pPr>
        <w:shd w:val="clear" w:color="auto" w:fill="FFFFFF"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8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</w:t>
      </w:r>
      <w:r w:rsidR="00B27DF0" w:rsidRPr="001E58C7">
        <w:rPr>
          <w:rFonts w:ascii="Times New Roman" w:eastAsia="Times New Roman" w:hAnsi="Times New Roman"/>
          <w:sz w:val="28"/>
          <w:szCs w:val="28"/>
          <w:lang w:eastAsia="ru-RU"/>
        </w:rPr>
        <w:t>блица 2 – Требования к градуировке центрифужных пробирок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4664"/>
        <w:gridCol w:w="4907"/>
      </w:tblGrid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Объём, мл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Цена деления, мл</w:t>
            </w:r>
          </w:p>
        </w:tc>
      </w:tr>
      <w:tr w:rsidR="00B75CE4" w:rsidRPr="001E58C7" w:rsidTr="00515BF1">
        <w:trPr>
          <w:trHeight w:val="264"/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0–3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3–5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5–10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10–25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25–50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B75CE4" w:rsidRPr="001E58C7" w:rsidTr="00515BF1">
        <w:trPr>
          <w:jc w:val="center"/>
        </w:trPr>
        <w:tc>
          <w:tcPr>
            <w:tcW w:w="2833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50–100</w:t>
            </w:r>
          </w:p>
        </w:tc>
        <w:tc>
          <w:tcPr>
            <w:tcW w:w="2980" w:type="dxa"/>
          </w:tcPr>
          <w:p w:rsidR="00B27DF0" w:rsidRPr="001E58C7" w:rsidRDefault="00B27DF0" w:rsidP="00B27D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5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</w:tbl>
    <w:p w:rsidR="009D58B4" w:rsidRDefault="009D58B4" w:rsidP="005953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8B4" w:rsidRPr="005953B2" w:rsidRDefault="009D58B4" w:rsidP="009D58B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3B2">
        <w:rPr>
          <w:rFonts w:ascii="Times New Roman" w:eastAsia="Times New Roman" w:hAnsi="Times New Roman"/>
          <w:sz w:val="28"/>
          <w:szCs w:val="28"/>
          <w:lang w:eastAsia="ru-RU"/>
        </w:rPr>
        <w:t>*Испытани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95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проводят, если есть указания в фармакопейной статье.</w:t>
      </w:r>
    </w:p>
    <w:p w:rsidR="009D58B4" w:rsidRDefault="009D58B4" w:rsidP="005953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D58B4" w:rsidSect="00DD2B49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72" w:rsidRDefault="00434172" w:rsidP="008705EC">
      <w:pPr>
        <w:spacing w:after="0" w:line="240" w:lineRule="auto"/>
      </w:pPr>
      <w:r>
        <w:separator/>
      </w:r>
    </w:p>
  </w:endnote>
  <w:endnote w:type="continuationSeparator" w:id="0">
    <w:p w:rsidR="00434172" w:rsidRDefault="00434172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34172" w:rsidRPr="00341DC8" w:rsidRDefault="006B04AC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434172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72676A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72" w:rsidRPr="00E36605" w:rsidRDefault="00434172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72" w:rsidRDefault="00434172" w:rsidP="008705EC">
      <w:pPr>
        <w:spacing w:after="0" w:line="240" w:lineRule="auto"/>
      </w:pPr>
      <w:r>
        <w:separator/>
      </w:r>
    </w:p>
  </w:footnote>
  <w:footnote w:type="continuationSeparator" w:id="0">
    <w:p w:rsidR="00434172" w:rsidRDefault="00434172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72" w:rsidRDefault="00434172" w:rsidP="00B27DF0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B3C"/>
    <w:rsid w:val="00014FC6"/>
    <w:rsid w:val="00016D99"/>
    <w:rsid w:val="0002608B"/>
    <w:rsid w:val="00034AD7"/>
    <w:rsid w:val="00037385"/>
    <w:rsid w:val="00044EF5"/>
    <w:rsid w:val="000451CC"/>
    <w:rsid w:val="0005091F"/>
    <w:rsid w:val="00053999"/>
    <w:rsid w:val="00054233"/>
    <w:rsid w:val="000547E9"/>
    <w:rsid w:val="00063FB6"/>
    <w:rsid w:val="00064665"/>
    <w:rsid w:val="00067043"/>
    <w:rsid w:val="000767C5"/>
    <w:rsid w:val="000814D3"/>
    <w:rsid w:val="000863B7"/>
    <w:rsid w:val="000901B2"/>
    <w:rsid w:val="00093F4F"/>
    <w:rsid w:val="0009478B"/>
    <w:rsid w:val="000C7009"/>
    <w:rsid w:val="000D418D"/>
    <w:rsid w:val="000D5A96"/>
    <w:rsid w:val="000D77C7"/>
    <w:rsid w:val="000E3C1C"/>
    <w:rsid w:val="000E56B6"/>
    <w:rsid w:val="000F2EF9"/>
    <w:rsid w:val="000F42C0"/>
    <w:rsid w:val="00114D8D"/>
    <w:rsid w:val="001229B9"/>
    <w:rsid w:val="00123671"/>
    <w:rsid w:val="00132ADE"/>
    <w:rsid w:val="00133D8F"/>
    <w:rsid w:val="00141DF2"/>
    <w:rsid w:val="001460AA"/>
    <w:rsid w:val="001469B6"/>
    <w:rsid w:val="001517E7"/>
    <w:rsid w:val="00151E89"/>
    <w:rsid w:val="0016431F"/>
    <w:rsid w:val="00172A78"/>
    <w:rsid w:val="001766D9"/>
    <w:rsid w:val="00176DF2"/>
    <w:rsid w:val="00177D46"/>
    <w:rsid w:val="00183830"/>
    <w:rsid w:val="001840F7"/>
    <w:rsid w:val="00185D53"/>
    <w:rsid w:val="001A1C25"/>
    <w:rsid w:val="001A2E99"/>
    <w:rsid w:val="001A5430"/>
    <w:rsid w:val="001C08CB"/>
    <w:rsid w:val="001C79E4"/>
    <w:rsid w:val="001E3766"/>
    <w:rsid w:val="001E58C7"/>
    <w:rsid w:val="001F4ED1"/>
    <w:rsid w:val="001F54DD"/>
    <w:rsid w:val="00200E43"/>
    <w:rsid w:val="002073DA"/>
    <w:rsid w:val="00215F6D"/>
    <w:rsid w:val="00216625"/>
    <w:rsid w:val="002235AA"/>
    <w:rsid w:val="0023081B"/>
    <w:rsid w:val="00233B2B"/>
    <w:rsid w:val="00261FAF"/>
    <w:rsid w:val="00262109"/>
    <w:rsid w:val="00262A32"/>
    <w:rsid w:val="0026546C"/>
    <w:rsid w:val="00273DBA"/>
    <w:rsid w:val="00291173"/>
    <w:rsid w:val="00291B7E"/>
    <w:rsid w:val="002B1494"/>
    <w:rsid w:val="002C3437"/>
    <w:rsid w:val="002D018B"/>
    <w:rsid w:val="002D2963"/>
    <w:rsid w:val="002D2F86"/>
    <w:rsid w:val="002D5500"/>
    <w:rsid w:val="002E042B"/>
    <w:rsid w:val="002E0BC1"/>
    <w:rsid w:val="002E27A8"/>
    <w:rsid w:val="002E3E9C"/>
    <w:rsid w:val="002E4ACC"/>
    <w:rsid w:val="002E776F"/>
    <w:rsid w:val="002F439A"/>
    <w:rsid w:val="002F462C"/>
    <w:rsid w:val="002F66FC"/>
    <w:rsid w:val="00301130"/>
    <w:rsid w:val="00306E08"/>
    <w:rsid w:val="0031433E"/>
    <w:rsid w:val="003169F2"/>
    <w:rsid w:val="0032732B"/>
    <w:rsid w:val="00330597"/>
    <w:rsid w:val="00335669"/>
    <w:rsid w:val="00341DC8"/>
    <w:rsid w:val="00353747"/>
    <w:rsid w:val="00353C76"/>
    <w:rsid w:val="00355B26"/>
    <w:rsid w:val="00362253"/>
    <w:rsid w:val="00362E87"/>
    <w:rsid w:val="003657FE"/>
    <w:rsid w:val="00371ECD"/>
    <w:rsid w:val="00372448"/>
    <w:rsid w:val="00373800"/>
    <w:rsid w:val="00376021"/>
    <w:rsid w:val="00380DA6"/>
    <w:rsid w:val="00387F8F"/>
    <w:rsid w:val="0039119A"/>
    <w:rsid w:val="003A3F80"/>
    <w:rsid w:val="003A4A97"/>
    <w:rsid w:val="003A6373"/>
    <w:rsid w:val="003A6413"/>
    <w:rsid w:val="003B13C7"/>
    <w:rsid w:val="003B2C61"/>
    <w:rsid w:val="003B787F"/>
    <w:rsid w:val="003B7F75"/>
    <w:rsid w:val="003C0B97"/>
    <w:rsid w:val="003C0C97"/>
    <w:rsid w:val="003D16B2"/>
    <w:rsid w:val="003D568D"/>
    <w:rsid w:val="003E1B69"/>
    <w:rsid w:val="003E7791"/>
    <w:rsid w:val="003F3739"/>
    <w:rsid w:val="00412E9B"/>
    <w:rsid w:val="00415A6D"/>
    <w:rsid w:val="00416FE9"/>
    <w:rsid w:val="00420438"/>
    <w:rsid w:val="00421D42"/>
    <w:rsid w:val="00424B54"/>
    <w:rsid w:val="00426759"/>
    <w:rsid w:val="00430221"/>
    <w:rsid w:val="0043401B"/>
    <w:rsid w:val="00434172"/>
    <w:rsid w:val="00446006"/>
    <w:rsid w:val="00446B9F"/>
    <w:rsid w:val="00446E51"/>
    <w:rsid w:val="00466D14"/>
    <w:rsid w:val="00473BDE"/>
    <w:rsid w:val="0048269A"/>
    <w:rsid w:val="0048650F"/>
    <w:rsid w:val="00490F95"/>
    <w:rsid w:val="0049239B"/>
    <w:rsid w:val="00492EF9"/>
    <w:rsid w:val="00495788"/>
    <w:rsid w:val="00497E6A"/>
    <w:rsid w:val="004A3866"/>
    <w:rsid w:val="004A5170"/>
    <w:rsid w:val="004A5801"/>
    <w:rsid w:val="004B1B85"/>
    <w:rsid w:val="004C6940"/>
    <w:rsid w:val="004D04D3"/>
    <w:rsid w:val="004D2975"/>
    <w:rsid w:val="004D31E1"/>
    <w:rsid w:val="004D5491"/>
    <w:rsid w:val="004E2D95"/>
    <w:rsid w:val="004F2459"/>
    <w:rsid w:val="004F33AB"/>
    <w:rsid w:val="004F520A"/>
    <w:rsid w:val="004F5699"/>
    <w:rsid w:val="004F7412"/>
    <w:rsid w:val="00502965"/>
    <w:rsid w:val="00512DDB"/>
    <w:rsid w:val="0051463F"/>
    <w:rsid w:val="00515BF1"/>
    <w:rsid w:val="0051606A"/>
    <w:rsid w:val="00517DAE"/>
    <w:rsid w:val="00520AB5"/>
    <w:rsid w:val="00541D1C"/>
    <w:rsid w:val="005613EC"/>
    <w:rsid w:val="005668AF"/>
    <w:rsid w:val="00571CD9"/>
    <w:rsid w:val="00581E82"/>
    <w:rsid w:val="00584178"/>
    <w:rsid w:val="00585C7A"/>
    <w:rsid w:val="00594D95"/>
    <w:rsid w:val="005953B2"/>
    <w:rsid w:val="005A0228"/>
    <w:rsid w:val="005A1806"/>
    <w:rsid w:val="005A2307"/>
    <w:rsid w:val="005B338D"/>
    <w:rsid w:val="005B6D28"/>
    <w:rsid w:val="005C458B"/>
    <w:rsid w:val="005C6B5E"/>
    <w:rsid w:val="005D5D6B"/>
    <w:rsid w:val="005E6D2E"/>
    <w:rsid w:val="005E7B04"/>
    <w:rsid w:val="00604F12"/>
    <w:rsid w:val="00606EAA"/>
    <w:rsid w:val="00615C3B"/>
    <w:rsid w:val="00617D6E"/>
    <w:rsid w:val="006356ED"/>
    <w:rsid w:val="006418A2"/>
    <w:rsid w:val="006434FE"/>
    <w:rsid w:val="00647B8E"/>
    <w:rsid w:val="00662B4E"/>
    <w:rsid w:val="00665F63"/>
    <w:rsid w:val="00666915"/>
    <w:rsid w:val="00677676"/>
    <w:rsid w:val="006818BA"/>
    <w:rsid w:val="00683636"/>
    <w:rsid w:val="0068610F"/>
    <w:rsid w:val="006A643F"/>
    <w:rsid w:val="006B04AC"/>
    <w:rsid w:val="006B2730"/>
    <w:rsid w:val="006B4955"/>
    <w:rsid w:val="006C547D"/>
    <w:rsid w:val="006D20E1"/>
    <w:rsid w:val="006D76A7"/>
    <w:rsid w:val="006D7AE7"/>
    <w:rsid w:val="006E1379"/>
    <w:rsid w:val="006E1509"/>
    <w:rsid w:val="006E4F0A"/>
    <w:rsid w:val="006F2567"/>
    <w:rsid w:val="006F422C"/>
    <w:rsid w:val="006F454F"/>
    <w:rsid w:val="00702038"/>
    <w:rsid w:val="00703824"/>
    <w:rsid w:val="007051E1"/>
    <w:rsid w:val="0071416F"/>
    <w:rsid w:val="00715269"/>
    <w:rsid w:val="007208F1"/>
    <w:rsid w:val="0072375E"/>
    <w:rsid w:val="00723B0B"/>
    <w:rsid w:val="0072423B"/>
    <w:rsid w:val="0072676A"/>
    <w:rsid w:val="007344DF"/>
    <w:rsid w:val="00737F9D"/>
    <w:rsid w:val="00747A28"/>
    <w:rsid w:val="00750752"/>
    <w:rsid w:val="00751832"/>
    <w:rsid w:val="007528B8"/>
    <w:rsid w:val="0076664C"/>
    <w:rsid w:val="00767F65"/>
    <w:rsid w:val="00770DD6"/>
    <w:rsid w:val="007748B8"/>
    <w:rsid w:val="00777142"/>
    <w:rsid w:val="0078034F"/>
    <w:rsid w:val="007818CB"/>
    <w:rsid w:val="00787178"/>
    <w:rsid w:val="0079164C"/>
    <w:rsid w:val="007C0488"/>
    <w:rsid w:val="007C4826"/>
    <w:rsid w:val="007C4DBF"/>
    <w:rsid w:val="007D3401"/>
    <w:rsid w:val="007D4757"/>
    <w:rsid w:val="007E3173"/>
    <w:rsid w:val="007F28CF"/>
    <w:rsid w:val="007F63DC"/>
    <w:rsid w:val="007F7347"/>
    <w:rsid w:val="00811428"/>
    <w:rsid w:val="008128F1"/>
    <w:rsid w:val="00815C5E"/>
    <w:rsid w:val="00816763"/>
    <w:rsid w:val="0082450C"/>
    <w:rsid w:val="00826175"/>
    <w:rsid w:val="00826734"/>
    <w:rsid w:val="00832F4A"/>
    <w:rsid w:val="008375C1"/>
    <w:rsid w:val="00864FC0"/>
    <w:rsid w:val="008705EC"/>
    <w:rsid w:val="00882ED8"/>
    <w:rsid w:val="0089136A"/>
    <w:rsid w:val="00891D33"/>
    <w:rsid w:val="008A47BD"/>
    <w:rsid w:val="008A5890"/>
    <w:rsid w:val="008A6C23"/>
    <w:rsid w:val="008C1284"/>
    <w:rsid w:val="008C16C8"/>
    <w:rsid w:val="008C307E"/>
    <w:rsid w:val="008D45F9"/>
    <w:rsid w:val="008D4633"/>
    <w:rsid w:val="008E1A29"/>
    <w:rsid w:val="008E472B"/>
    <w:rsid w:val="008F111E"/>
    <w:rsid w:val="008F3484"/>
    <w:rsid w:val="008F6E55"/>
    <w:rsid w:val="00902FC6"/>
    <w:rsid w:val="00905B2B"/>
    <w:rsid w:val="009371CD"/>
    <w:rsid w:val="009403C0"/>
    <w:rsid w:val="0094254B"/>
    <w:rsid w:val="009441D4"/>
    <w:rsid w:val="00945964"/>
    <w:rsid w:val="0095340A"/>
    <w:rsid w:val="00964D9C"/>
    <w:rsid w:val="00974F90"/>
    <w:rsid w:val="00975F36"/>
    <w:rsid w:val="00977803"/>
    <w:rsid w:val="0098052E"/>
    <w:rsid w:val="009821E3"/>
    <w:rsid w:val="00984FCD"/>
    <w:rsid w:val="009962D7"/>
    <w:rsid w:val="009A066B"/>
    <w:rsid w:val="009A0B40"/>
    <w:rsid w:val="009B57A5"/>
    <w:rsid w:val="009C4F94"/>
    <w:rsid w:val="009D020E"/>
    <w:rsid w:val="009D1DF9"/>
    <w:rsid w:val="009D3B40"/>
    <w:rsid w:val="009D44F7"/>
    <w:rsid w:val="009D58B4"/>
    <w:rsid w:val="009E17CF"/>
    <w:rsid w:val="009F38B8"/>
    <w:rsid w:val="00A012D8"/>
    <w:rsid w:val="00A03B44"/>
    <w:rsid w:val="00A063E5"/>
    <w:rsid w:val="00A1402B"/>
    <w:rsid w:val="00A22050"/>
    <w:rsid w:val="00A23A78"/>
    <w:rsid w:val="00A24712"/>
    <w:rsid w:val="00A30564"/>
    <w:rsid w:val="00A33A49"/>
    <w:rsid w:val="00A3681F"/>
    <w:rsid w:val="00A416BC"/>
    <w:rsid w:val="00A4542B"/>
    <w:rsid w:val="00A45520"/>
    <w:rsid w:val="00A51DD2"/>
    <w:rsid w:val="00A62EFB"/>
    <w:rsid w:val="00A65E39"/>
    <w:rsid w:val="00A77EE1"/>
    <w:rsid w:val="00A82D75"/>
    <w:rsid w:val="00A90B17"/>
    <w:rsid w:val="00AA3A41"/>
    <w:rsid w:val="00AA4AA5"/>
    <w:rsid w:val="00AB2625"/>
    <w:rsid w:val="00AB2FC7"/>
    <w:rsid w:val="00AC11B8"/>
    <w:rsid w:val="00AC6F76"/>
    <w:rsid w:val="00AD4E5C"/>
    <w:rsid w:val="00AD7DE7"/>
    <w:rsid w:val="00AE0841"/>
    <w:rsid w:val="00AE4FB8"/>
    <w:rsid w:val="00AF19EB"/>
    <w:rsid w:val="00AF23D2"/>
    <w:rsid w:val="00AF2793"/>
    <w:rsid w:val="00B00D7A"/>
    <w:rsid w:val="00B07F3F"/>
    <w:rsid w:val="00B121BA"/>
    <w:rsid w:val="00B1233F"/>
    <w:rsid w:val="00B12CF1"/>
    <w:rsid w:val="00B14CB4"/>
    <w:rsid w:val="00B22F40"/>
    <w:rsid w:val="00B27DF0"/>
    <w:rsid w:val="00B375E3"/>
    <w:rsid w:val="00B37EB0"/>
    <w:rsid w:val="00B41CFD"/>
    <w:rsid w:val="00B445AD"/>
    <w:rsid w:val="00B63B7C"/>
    <w:rsid w:val="00B65ECE"/>
    <w:rsid w:val="00B67F45"/>
    <w:rsid w:val="00B72569"/>
    <w:rsid w:val="00B75CE4"/>
    <w:rsid w:val="00B8550C"/>
    <w:rsid w:val="00BB66BE"/>
    <w:rsid w:val="00BD067C"/>
    <w:rsid w:val="00BD20B0"/>
    <w:rsid w:val="00BD52A6"/>
    <w:rsid w:val="00BD6081"/>
    <w:rsid w:val="00BD764E"/>
    <w:rsid w:val="00BE06B7"/>
    <w:rsid w:val="00BE550E"/>
    <w:rsid w:val="00C03D9B"/>
    <w:rsid w:val="00C043DD"/>
    <w:rsid w:val="00C10E0F"/>
    <w:rsid w:val="00C11D49"/>
    <w:rsid w:val="00C156F9"/>
    <w:rsid w:val="00C164B2"/>
    <w:rsid w:val="00C22877"/>
    <w:rsid w:val="00C338BA"/>
    <w:rsid w:val="00C34231"/>
    <w:rsid w:val="00C40FD9"/>
    <w:rsid w:val="00C47D0C"/>
    <w:rsid w:val="00C54713"/>
    <w:rsid w:val="00C60E00"/>
    <w:rsid w:val="00C62691"/>
    <w:rsid w:val="00C64DC5"/>
    <w:rsid w:val="00C6576E"/>
    <w:rsid w:val="00C71694"/>
    <w:rsid w:val="00C72804"/>
    <w:rsid w:val="00C83A9D"/>
    <w:rsid w:val="00C921A0"/>
    <w:rsid w:val="00C9293B"/>
    <w:rsid w:val="00C93D54"/>
    <w:rsid w:val="00CA713C"/>
    <w:rsid w:val="00CB3E12"/>
    <w:rsid w:val="00CB65DC"/>
    <w:rsid w:val="00CC3C28"/>
    <w:rsid w:val="00CD1E56"/>
    <w:rsid w:val="00CD2A49"/>
    <w:rsid w:val="00CD421A"/>
    <w:rsid w:val="00CE4813"/>
    <w:rsid w:val="00CF22A2"/>
    <w:rsid w:val="00CF2AD9"/>
    <w:rsid w:val="00CF4FAB"/>
    <w:rsid w:val="00CF5790"/>
    <w:rsid w:val="00D00E3B"/>
    <w:rsid w:val="00D02662"/>
    <w:rsid w:val="00D07036"/>
    <w:rsid w:val="00D1431A"/>
    <w:rsid w:val="00D40896"/>
    <w:rsid w:val="00D40C06"/>
    <w:rsid w:val="00D44707"/>
    <w:rsid w:val="00D54F0D"/>
    <w:rsid w:val="00D61017"/>
    <w:rsid w:val="00D63CFB"/>
    <w:rsid w:val="00D640FB"/>
    <w:rsid w:val="00D644FE"/>
    <w:rsid w:val="00D65323"/>
    <w:rsid w:val="00D6787B"/>
    <w:rsid w:val="00D71CE2"/>
    <w:rsid w:val="00D86BDC"/>
    <w:rsid w:val="00D917EF"/>
    <w:rsid w:val="00D91C35"/>
    <w:rsid w:val="00D95BD8"/>
    <w:rsid w:val="00DA11F3"/>
    <w:rsid w:val="00DA19B9"/>
    <w:rsid w:val="00DA1B87"/>
    <w:rsid w:val="00DA26B0"/>
    <w:rsid w:val="00DA2FAD"/>
    <w:rsid w:val="00DA3D3E"/>
    <w:rsid w:val="00DA500F"/>
    <w:rsid w:val="00DA54BF"/>
    <w:rsid w:val="00DA6862"/>
    <w:rsid w:val="00DA6990"/>
    <w:rsid w:val="00DB0CBB"/>
    <w:rsid w:val="00DB2273"/>
    <w:rsid w:val="00DC2881"/>
    <w:rsid w:val="00DC3078"/>
    <w:rsid w:val="00DC5977"/>
    <w:rsid w:val="00DD1D2B"/>
    <w:rsid w:val="00DD2B49"/>
    <w:rsid w:val="00DD3FD2"/>
    <w:rsid w:val="00DD5E5A"/>
    <w:rsid w:val="00DE328B"/>
    <w:rsid w:val="00DE7322"/>
    <w:rsid w:val="00DF6B23"/>
    <w:rsid w:val="00DF7AB0"/>
    <w:rsid w:val="00E03F81"/>
    <w:rsid w:val="00E12ED4"/>
    <w:rsid w:val="00E237AF"/>
    <w:rsid w:val="00E36605"/>
    <w:rsid w:val="00E40A64"/>
    <w:rsid w:val="00E45151"/>
    <w:rsid w:val="00E46414"/>
    <w:rsid w:val="00E5008C"/>
    <w:rsid w:val="00E60C93"/>
    <w:rsid w:val="00E61CEA"/>
    <w:rsid w:val="00E646C4"/>
    <w:rsid w:val="00E650B8"/>
    <w:rsid w:val="00E671FF"/>
    <w:rsid w:val="00E719BC"/>
    <w:rsid w:val="00E75A15"/>
    <w:rsid w:val="00E84108"/>
    <w:rsid w:val="00E858C1"/>
    <w:rsid w:val="00E87A37"/>
    <w:rsid w:val="00E92217"/>
    <w:rsid w:val="00E93405"/>
    <w:rsid w:val="00E97FCF"/>
    <w:rsid w:val="00EA001B"/>
    <w:rsid w:val="00EA3437"/>
    <w:rsid w:val="00EA5E51"/>
    <w:rsid w:val="00EB5676"/>
    <w:rsid w:val="00EC1F4E"/>
    <w:rsid w:val="00EC3E9A"/>
    <w:rsid w:val="00ED0AF7"/>
    <w:rsid w:val="00ED41A0"/>
    <w:rsid w:val="00EE311F"/>
    <w:rsid w:val="00EE555A"/>
    <w:rsid w:val="00EF5E62"/>
    <w:rsid w:val="00F05055"/>
    <w:rsid w:val="00F2338D"/>
    <w:rsid w:val="00F24E3E"/>
    <w:rsid w:val="00F264ED"/>
    <w:rsid w:val="00F31123"/>
    <w:rsid w:val="00F32669"/>
    <w:rsid w:val="00F34AD8"/>
    <w:rsid w:val="00F429B6"/>
    <w:rsid w:val="00F44659"/>
    <w:rsid w:val="00F47FF8"/>
    <w:rsid w:val="00F51C09"/>
    <w:rsid w:val="00F538E3"/>
    <w:rsid w:val="00F54B6D"/>
    <w:rsid w:val="00F579B8"/>
    <w:rsid w:val="00F76DB2"/>
    <w:rsid w:val="00F76F7C"/>
    <w:rsid w:val="00F84A95"/>
    <w:rsid w:val="00F94621"/>
    <w:rsid w:val="00FA032B"/>
    <w:rsid w:val="00FA7F64"/>
    <w:rsid w:val="00FD2A11"/>
    <w:rsid w:val="00FD75C9"/>
    <w:rsid w:val="00FE5BCD"/>
    <w:rsid w:val="00FE7557"/>
    <w:rsid w:val="00FF056C"/>
    <w:rsid w:val="00FF3E5E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A5C4952F-AC84-4EAE-A154-AFE42A77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character" w:styleId="af2">
    <w:name w:val="Placeholder Text"/>
    <w:basedOn w:val="a0"/>
    <w:uiPriority w:val="99"/>
    <w:semiHidden/>
    <w:rsid w:val="00291173"/>
    <w:rPr>
      <w:color w:val="808080"/>
    </w:rPr>
  </w:style>
  <w:style w:type="paragraph" w:styleId="af3">
    <w:name w:val="Body Text Indent"/>
    <w:basedOn w:val="a"/>
    <w:link w:val="af4"/>
    <w:uiPriority w:val="99"/>
    <w:semiHidden/>
    <w:unhideWhenUsed/>
    <w:rsid w:val="00B75CE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75CE4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B75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BD81-903A-4420-AD67-341D51AA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24</cp:revision>
  <cp:lastPrinted>2023-07-04T06:30:00Z</cp:lastPrinted>
  <dcterms:created xsi:type="dcterms:W3CDTF">2022-12-20T11:41:00Z</dcterms:created>
  <dcterms:modified xsi:type="dcterms:W3CDTF">2023-07-12T16:13:00Z</dcterms:modified>
</cp:coreProperties>
</file>