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86" w:rsidRDefault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E42675" w:rsidRDefault="00A22F7F" w:rsidP="00E426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A22F7F" w:rsidRPr="00E42675" w:rsidRDefault="00A22F7F" w:rsidP="00E426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4D7386" w:rsidRDefault="004D7386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4D7386" w:rsidRDefault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C64DC5" w:rsidRDefault="00A22F7F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E42675">
        <w:trPr>
          <w:trHeight w:val="397"/>
        </w:trPr>
        <w:tc>
          <w:tcPr>
            <w:tcW w:w="5494" w:type="dxa"/>
          </w:tcPr>
          <w:p w:rsidR="00A22F7F" w:rsidRPr="00D77A2A" w:rsidRDefault="00F93849" w:rsidP="00F9384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</w:t>
            </w:r>
            <w:r w:rsidR="00D77A2A" w:rsidRPr="00D77A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идролитическ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ая</w:t>
            </w:r>
            <w:r w:rsidR="00D77A2A" w:rsidRPr="00D77A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стабильност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ь</w:t>
            </w:r>
            <w:r w:rsidR="004F440C" w:rsidRPr="00D77A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упаковки из стекла</w:t>
            </w:r>
          </w:p>
        </w:tc>
        <w:tc>
          <w:tcPr>
            <w:tcW w:w="283" w:type="dxa"/>
          </w:tcPr>
          <w:p w:rsidR="00A22F7F" w:rsidRPr="00C64DC5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69199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20156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.1.1.2</w:t>
            </w:r>
            <w:r w:rsidR="00E814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.0004</w:t>
            </w:r>
          </w:p>
        </w:tc>
      </w:tr>
      <w:tr w:rsidR="00A22F7F" w:rsidRPr="00C64DC5" w:rsidTr="00E42675">
        <w:trPr>
          <w:trHeight w:val="397"/>
        </w:trPr>
        <w:tc>
          <w:tcPr>
            <w:tcW w:w="5494" w:type="dxa"/>
          </w:tcPr>
          <w:p w:rsidR="00A22F7F" w:rsidRPr="00C043DD" w:rsidRDefault="00A22F7F" w:rsidP="00A22F7F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A22F7F" w:rsidRPr="00C043DD" w:rsidRDefault="00A22F7F" w:rsidP="0069199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5D6AAC" w:rsidP="0092053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  <w:r w:rsidR="00FA7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A22F7F" w:rsidRPr="00B65ECE" w:rsidRDefault="00A22F7F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4D7386" w:rsidRDefault="004D73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70A1" w:rsidRPr="00873793" w:rsidRDefault="00C670A1" w:rsidP="00C670A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FAA">
        <w:rPr>
          <w:rFonts w:ascii="Times New Roman" w:hAnsi="Times New Roman"/>
          <w:color w:val="000000" w:themeColor="text1"/>
          <w:sz w:val="28"/>
          <w:szCs w:val="28"/>
        </w:rPr>
        <w:t>Настоящая общая фармакопейная статья устанавливает общие требования к определению гидролитической стабильности упаковки из стекла.</w:t>
      </w:r>
      <w:bookmarkStart w:id="0" w:name="_GoBack"/>
      <w:bookmarkEnd w:id="0"/>
    </w:p>
    <w:p w:rsidR="004D7386" w:rsidRDefault="00151CE8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8F5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ермины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определения</w:t>
      </w:r>
    </w:p>
    <w:p w:rsidR="00C670A1" w:rsidRPr="00633FF2" w:rsidRDefault="00C670A1" w:rsidP="00C670A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6363">
        <w:rPr>
          <w:rFonts w:ascii="Times New Roman" w:hAnsi="Times New Roman"/>
          <w:i/>
          <w:color w:val="000000" w:themeColor="text1"/>
          <w:sz w:val="28"/>
          <w:szCs w:val="28"/>
        </w:rPr>
        <w:t>Нейтральное стекло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2D9E" w:rsidRPr="002F377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77164" w:rsidRPr="00633F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>боросиликатное стекло, содержащее значительное количество оксида бора, оксида алюминия, оксидов щ</w:t>
      </w:r>
      <w:r w:rsidR="00B45F80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>лочных металлов и/или оксидов щ</w:t>
      </w:r>
      <w:r w:rsidR="00B45F80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>лочноземельных металлов. Согласно своему составу нейтральное стекло характеризуется высокой гидролитической и термической устойчивостью.</w:t>
      </w:r>
    </w:p>
    <w:p w:rsidR="00BB09EC" w:rsidRPr="00BB09EC" w:rsidRDefault="00C670A1" w:rsidP="00633FF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6363">
        <w:rPr>
          <w:rFonts w:ascii="Times New Roman" w:hAnsi="Times New Roman"/>
          <w:i/>
          <w:color w:val="000000" w:themeColor="text1"/>
          <w:sz w:val="28"/>
          <w:szCs w:val="28"/>
        </w:rPr>
        <w:t>Силикатное стекло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2D9E" w:rsidRPr="002F377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 xml:space="preserve"> стекло на основе диоксида кремния, содержащего оксиды щ</w:t>
      </w:r>
      <w:r w:rsidR="00B45F80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>лочных металлов, в основном, оксид натрия и оксиды щ</w:t>
      </w:r>
      <w:r w:rsidR="006978D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33FF2">
        <w:rPr>
          <w:rFonts w:ascii="Times New Roman" w:hAnsi="Times New Roman"/>
          <w:color w:val="000000" w:themeColor="text1"/>
          <w:sz w:val="28"/>
          <w:szCs w:val="28"/>
        </w:rPr>
        <w:t>лочноземельных металлов, в основном, оксид кальция. Согласно своему составу, силикатное стекло характеризуется только средней гидролитической устойчивостью.</w:t>
      </w:r>
    </w:p>
    <w:p w:rsidR="00C670A1" w:rsidRDefault="00C670A1" w:rsidP="00C67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602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Гидролитическая стабильность </w:t>
      </w:r>
      <w:r w:rsidRPr="00F8602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 w:themeFill="background1"/>
        </w:rPr>
        <w:t>упаковки из стекла</w:t>
      </w:r>
      <w:r w:rsidRPr="00151CE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151C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устойчивость</w:t>
      </w:r>
      <w:r w:rsidRPr="00C670A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670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стекла (внутренней поверхности стеклянной упаковки) к выделению растворимых минеральных веществ в воду в установленных условиях контакта между внутренней поверхностью упаковки и водой. </w:t>
      </w:r>
      <w:r w:rsidRPr="00151C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Гидролитическая устойчивость</w:t>
      </w:r>
      <w:r w:rsidRPr="00C670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оценивается пут</w:t>
      </w:r>
      <w:r w:rsidR="00DE7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Pr="00C670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титрования выделившихся активных ионов щ</w:t>
      </w:r>
      <w:r w:rsidR="00DE7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Pr="00C670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лочи.</w:t>
      </w:r>
    </w:p>
    <w:p w:rsidR="00151CE8" w:rsidRPr="00602BCD" w:rsidRDefault="00151CE8" w:rsidP="00151CE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02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Упаковка для фармацевтического применения из стекла (далее – упаковка)</w:t>
      </w:r>
      <w:r>
        <w:rPr>
          <w:sz w:val="23"/>
          <w:szCs w:val="23"/>
        </w:rPr>
        <w:t xml:space="preserve"> </w:t>
      </w:r>
      <w:r w:rsidRPr="002F377E">
        <w:rPr>
          <w:rFonts w:ascii="Times New Roman" w:hAnsi="Times New Roman"/>
          <w:color w:val="000000" w:themeColor="text1"/>
          <w:sz w:val="28"/>
          <w:szCs w:val="28"/>
        </w:rPr>
        <w:t xml:space="preserve">– изделия из стекла, находящиеся в непосредственном контакте с лекарственными средствами, которые вместе </w:t>
      </w:r>
      <w:r w:rsidRPr="002F377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2F377E">
        <w:rPr>
          <w:rFonts w:ascii="Times New Roman" w:hAnsi="Times New Roman"/>
          <w:color w:val="000000" w:themeColor="text1"/>
          <w:sz w:val="28"/>
          <w:szCs w:val="28"/>
        </w:rPr>
        <w:t xml:space="preserve"> укупорочной системой представляют первичную упаковку, обеспечивающую защиту и сохранность лекарственных средств на протяжении всего срока годности.</w:t>
      </w:r>
    </w:p>
    <w:p w:rsidR="00151CE8" w:rsidRDefault="00151CE8" w:rsidP="00151C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6FAA">
        <w:rPr>
          <w:rFonts w:ascii="Times New Roman" w:hAnsi="Times New Roman"/>
          <w:color w:val="000000" w:themeColor="text1"/>
          <w:sz w:val="28"/>
          <w:szCs w:val="28"/>
        </w:rPr>
        <w:t>Общие требования к стеклу медицинскому, как одному из видов упаковочных материалов, предназначенных для производства упаковки и элементов упаковки лекарственных средств, классификация марок стекла медицинского и перечень производимой из стекла медицинского упаковки регламентированы ОФС «Упаковка лекарственных средств».</w:t>
      </w:r>
    </w:p>
    <w:p w:rsidR="004D7386" w:rsidRDefault="00F57DFE">
      <w:pPr>
        <w:keepNext/>
        <w:spacing w:before="24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01D">
        <w:rPr>
          <w:rFonts w:ascii="Times New Roman" w:hAnsi="Times New Roman"/>
          <w:b/>
          <w:color w:val="000000" w:themeColor="text1"/>
          <w:sz w:val="28"/>
          <w:szCs w:val="28"/>
        </w:rPr>
        <w:t>Классификация упаковки из стек</w:t>
      </w:r>
      <w:r w:rsidR="00C602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ла в зависимости от показателя </w:t>
      </w:r>
      <w:r w:rsidRPr="00B9401D">
        <w:rPr>
          <w:rFonts w:ascii="Times New Roman" w:hAnsi="Times New Roman"/>
          <w:b/>
          <w:color w:val="000000" w:themeColor="text1"/>
          <w:sz w:val="28"/>
          <w:szCs w:val="28"/>
        </w:rPr>
        <w:t>гидролитической устойчивости</w:t>
      </w:r>
    </w:p>
    <w:p w:rsidR="003F585F" w:rsidRDefault="00F57DFE" w:rsidP="00F57DFE">
      <w:pPr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  <w:highlight w:val="cyan"/>
        </w:rPr>
      </w:pPr>
      <w:r w:rsidRPr="00B9401D">
        <w:rPr>
          <w:rFonts w:ascii="Times New Roman" w:hAnsi="Times New Roman"/>
          <w:color w:val="000000" w:themeColor="text1"/>
          <w:sz w:val="28"/>
          <w:szCs w:val="28"/>
        </w:rPr>
        <w:t xml:space="preserve">Упаковка из стекла </w:t>
      </w:r>
      <w:r w:rsidR="00113D4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B9401D">
        <w:rPr>
          <w:rFonts w:ascii="Times New Roman" w:hAnsi="Times New Roman"/>
          <w:color w:val="000000" w:themeColor="text1"/>
          <w:sz w:val="28"/>
          <w:szCs w:val="28"/>
        </w:rPr>
        <w:t>ипа I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– упаковка, изготовленная из нейтрального стекла с высокой гидролитической устойчивостью, обусловленной химическим составом самого стекла.</w:t>
      </w:r>
    </w:p>
    <w:p w:rsidR="00F57DFE" w:rsidRPr="00A5081C" w:rsidRDefault="00F57DFE" w:rsidP="00F57DFE">
      <w:pPr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B9401D">
        <w:rPr>
          <w:rFonts w:ascii="Times New Roman" w:hAnsi="Times New Roman"/>
          <w:color w:val="000000" w:themeColor="text1"/>
          <w:sz w:val="28"/>
          <w:szCs w:val="28"/>
        </w:rPr>
        <w:t xml:space="preserve">Упаковка из стекла </w:t>
      </w:r>
      <w:r w:rsidR="00113D4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B9401D">
        <w:rPr>
          <w:rFonts w:ascii="Times New Roman" w:hAnsi="Times New Roman"/>
          <w:color w:val="000000" w:themeColor="text1"/>
          <w:sz w:val="28"/>
          <w:szCs w:val="28"/>
        </w:rPr>
        <w:t>ипа II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– упаковка, изготовленная </w:t>
      </w:r>
      <w:r w:rsidR="00575427">
        <w:rPr>
          <w:rFonts w:ascii="Times New Roman" w:hAnsi="Times New Roman"/>
          <w:color w:val="000000" w:themeColor="text1"/>
          <w:sz w:val="28"/>
          <w:szCs w:val="28"/>
        </w:rPr>
        <w:t>обычно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Pr="00F57DFE">
        <w:rPr>
          <w:rFonts w:ascii="Times New Roman" w:hAnsi="Times New Roman"/>
          <w:color w:val="000000" w:themeColor="text1"/>
          <w:sz w:val="28"/>
          <w:szCs w:val="28"/>
        </w:rPr>
        <w:t>силикатного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стекла с высокой гидролитической устойчивостью, обусловленной соответствующей обработкой внутренней поверхности.</w:t>
      </w:r>
    </w:p>
    <w:p w:rsidR="00575427" w:rsidRPr="00A5081C" w:rsidRDefault="00575427" w:rsidP="00575427">
      <w:pPr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575427">
        <w:rPr>
          <w:rFonts w:ascii="Times New Roman" w:hAnsi="Times New Roman"/>
          <w:color w:val="000000" w:themeColor="text1"/>
          <w:sz w:val="28"/>
          <w:szCs w:val="28"/>
        </w:rPr>
        <w:t xml:space="preserve">Упаковка из стекла </w:t>
      </w:r>
      <w:r w:rsidR="00113D4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75427">
        <w:rPr>
          <w:rFonts w:ascii="Times New Roman" w:hAnsi="Times New Roman"/>
          <w:color w:val="000000" w:themeColor="text1"/>
          <w:sz w:val="28"/>
          <w:szCs w:val="28"/>
        </w:rPr>
        <w:t>ипа III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– упаковка, изготовленная чаще всего из </w:t>
      </w:r>
      <w:r w:rsidRPr="00575427">
        <w:rPr>
          <w:rFonts w:ascii="Times New Roman" w:hAnsi="Times New Roman"/>
          <w:color w:val="000000" w:themeColor="text1"/>
          <w:sz w:val="28"/>
          <w:szCs w:val="28"/>
        </w:rPr>
        <w:t>силикатного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стекла со </w:t>
      </w:r>
      <w:r w:rsidRPr="00575427">
        <w:rPr>
          <w:rFonts w:ascii="Times New Roman" w:hAnsi="Times New Roman"/>
          <w:color w:val="000000" w:themeColor="text1"/>
          <w:sz w:val="28"/>
          <w:szCs w:val="28"/>
        </w:rPr>
        <w:t>средней</w:t>
      </w:r>
      <w:r w:rsidRPr="00046FAA">
        <w:rPr>
          <w:rFonts w:ascii="Times New Roman" w:hAnsi="Times New Roman"/>
          <w:color w:val="000000" w:themeColor="text1"/>
          <w:sz w:val="28"/>
          <w:szCs w:val="28"/>
        </w:rPr>
        <w:t xml:space="preserve"> гидролитической устойчивостью.</w:t>
      </w:r>
    </w:p>
    <w:p w:rsidR="00A5081C" w:rsidRPr="002734FA" w:rsidRDefault="004A1EFC" w:rsidP="00273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Типы упаковок из стекла, которые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использ</w:t>
      </w:r>
      <w:r>
        <w:rPr>
          <w:rFonts w:ascii="Times New Roman" w:hAnsi="Times New Roman"/>
          <w:color w:val="000000" w:themeColor="text1"/>
          <w:sz w:val="28"/>
          <w:szCs w:val="28"/>
        </w:rPr>
        <w:t>уют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для различных </w:t>
      </w:r>
      <w:r w:rsidR="002734FA">
        <w:rPr>
          <w:rFonts w:ascii="Times New Roman" w:hAnsi="Times New Roman"/>
          <w:color w:val="000000" w:themeColor="text1"/>
          <w:sz w:val="28"/>
          <w:szCs w:val="28"/>
        </w:rPr>
        <w:t>видов лекарственных препаратов</w:t>
      </w:r>
      <w:r w:rsidR="00FB6F95">
        <w:rPr>
          <w:rFonts w:ascii="Times New Roman" w:hAnsi="Times New Roman"/>
          <w:color w:val="000000" w:themeColor="text1"/>
          <w:sz w:val="28"/>
          <w:szCs w:val="28"/>
        </w:rPr>
        <w:t xml:space="preserve"> являются следующие</w:t>
      </w:r>
      <w:r w:rsidR="002734F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E1956" w:rsidRPr="002734FA" w:rsidRDefault="002734FA" w:rsidP="00273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у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>паковк</w:t>
      </w:r>
      <w:r w:rsidR="003F585F" w:rsidRPr="002734F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из стекла </w:t>
      </w:r>
      <w:r w:rsidR="00113D4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ипа I </w:t>
      </w:r>
      <w:r w:rsidR="004B66D3" w:rsidRPr="002734FA">
        <w:rPr>
          <w:rFonts w:ascii="Times New Roman" w:hAnsi="Times New Roman"/>
          <w:color w:val="000000" w:themeColor="text1"/>
          <w:sz w:val="28"/>
          <w:szCs w:val="28"/>
        </w:rPr>
        <w:t>пригодн</w:t>
      </w:r>
      <w:r w:rsidR="004B66D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B66D3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для большинства лекарственных препаратов, в том числе и </w:t>
      </w:r>
      <w:r w:rsidR="00113D41">
        <w:rPr>
          <w:rFonts w:ascii="Times New Roman" w:hAnsi="Times New Roman"/>
          <w:color w:val="000000" w:themeColor="text1"/>
          <w:sz w:val="28"/>
          <w:szCs w:val="28"/>
        </w:rPr>
        <w:t>для парентерального применения;</w:t>
      </w:r>
    </w:p>
    <w:p w:rsidR="005E1956" w:rsidRPr="002734FA" w:rsidRDefault="002734FA" w:rsidP="00273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16E8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>паковк</w:t>
      </w:r>
      <w:r w:rsidR="003F585F" w:rsidRPr="002734F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из стекла </w:t>
      </w:r>
      <w:r w:rsidR="006E30F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ипа II </w:t>
      </w:r>
      <w:r w:rsidR="004B66D3" w:rsidRPr="002734FA">
        <w:rPr>
          <w:rFonts w:ascii="Times New Roman" w:hAnsi="Times New Roman"/>
          <w:color w:val="000000" w:themeColor="text1"/>
          <w:sz w:val="28"/>
          <w:szCs w:val="28"/>
        </w:rPr>
        <w:t>пригодн</w:t>
      </w:r>
      <w:r w:rsidR="004B66D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B66D3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81C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для лекарственных препаратов с кислой и нейтральной средами, в том числе и </w:t>
      </w:r>
      <w:r w:rsidR="006E30FF">
        <w:rPr>
          <w:rFonts w:ascii="Times New Roman" w:hAnsi="Times New Roman"/>
          <w:color w:val="000000" w:themeColor="text1"/>
          <w:sz w:val="28"/>
          <w:szCs w:val="28"/>
        </w:rPr>
        <w:t>для парентерального применения;</w:t>
      </w:r>
    </w:p>
    <w:p w:rsidR="003F585F" w:rsidRPr="002734FA" w:rsidRDefault="00016E8C" w:rsidP="00273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у</w:t>
      </w:r>
      <w:r w:rsidR="003F585F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паковка из стекла </w:t>
      </w:r>
      <w:r w:rsidR="006E30F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F585F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ипа III </w:t>
      </w:r>
      <w:r w:rsidR="004B66D3" w:rsidRPr="002734FA">
        <w:rPr>
          <w:rFonts w:ascii="Times New Roman" w:hAnsi="Times New Roman"/>
          <w:color w:val="000000" w:themeColor="text1"/>
          <w:sz w:val="28"/>
          <w:szCs w:val="28"/>
        </w:rPr>
        <w:t>пригодн</w:t>
      </w:r>
      <w:r w:rsidR="004B66D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B66D3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85F" w:rsidRPr="002734FA">
        <w:rPr>
          <w:rFonts w:ascii="Times New Roman" w:hAnsi="Times New Roman"/>
          <w:color w:val="000000" w:themeColor="text1"/>
          <w:sz w:val="28"/>
          <w:szCs w:val="28"/>
        </w:rPr>
        <w:t xml:space="preserve">для неводных лекарственных препаратов парентерального применения, порошков парентерального применения (за исключением лиофилизированных порошков), а также </w:t>
      </w:r>
      <w:r w:rsidR="003F585F" w:rsidRPr="002734FA">
        <w:rPr>
          <w:rFonts w:ascii="Times New Roman" w:hAnsi="Times New Roman"/>
          <w:color w:val="000000" w:themeColor="text1"/>
          <w:sz w:val="28"/>
          <w:szCs w:val="28"/>
        </w:rPr>
        <w:lastRenderedPageBreak/>
        <w:t>лекарственных препаратов, не предназначенных для парентерального применения.</w:t>
      </w:r>
    </w:p>
    <w:p w:rsidR="00D25211" w:rsidRPr="00016E8C" w:rsidRDefault="00D25211" w:rsidP="00D252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8C">
        <w:rPr>
          <w:rFonts w:ascii="Times New Roman" w:hAnsi="Times New Roman"/>
          <w:color w:val="000000" w:themeColor="text1"/>
          <w:sz w:val="28"/>
          <w:szCs w:val="28"/>
        </w:rPr>
        <w:t>Как правило, также могут быть использованы упаковки из стекла, имеющие более высокую гидролитическую устойчивость, чем рекомендуемые выше для конкретных видов лекарственных препаратов.</w:t>
      </w:r>
    </w:p>
    <w:p w:rsidR="00D25211" w:rsidRPr="00B6180E" w:rsidRDefault="00D25211" w:rsidP="00D252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80E">
        <w:rPr>
          <w:rFonts w:ascii="Times New Roman" w:hAnsi="Times New Roman"/>
          <w:color w:val="000000" w:themeColor="text1"/>
          <w:sz w:val="28"/>
          <w:szCs w:val="28"/>
        </w:rPr>
        <w:t>Внутренняя поверхность упаковки из стекла может быть специально обработана для улучшения гидролитической устойчивости, придания водоотталкивающих свойств и т.п., внешняя поверхность также может быть обработана, например, для снижения трения и улуч</w:t>
      </w:r>
      <w:r w:rsidR="00B6180E" w:rsidRPr="00B6180E">
        <w:rPr>
          <w:rFonts w:ascii="Times New Roman" w:hAnsi="Times New Roman"/>
          <w:color w:val="000000" w:themeColor="text1"/>
          <w:sz w:val="28"/>
          <w:szCs w:val="28"/>
        </w:rPr>
        <w:t>шения устойчивости к истиранию.</w:t>
      </w:r>
    </w:p>
    <w:p w:rsidR="00D25211" w:rsidRPr="00B6180E" w:rsidRDefault="00D25211" w:rsidP="00D252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80E">
        <w:rPr>
          <w:rFonts w:ascii="Times New Roman" w:hAnsi="Times New Roman"/>
          <w:color w:val="000000" w:themeColor="text1"/>
          <w:sz w:val="28"/>
          <w:szCs w:val="28"/>
        </w:rPr>
        <w:t>Обработка внешней поверхности не должна вызывать загрязнение внутренней поверхности упаковки.</w:t>
      </w:r>
    </w:p>
    <w:p w:rsidR="00D25211" w:rsidRPr="00B6180E" w:rsidRDefault="00D25211" w:rsidP="00D252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80E">
        <w:rPr>
          <w:rFonts w:ascii="Times New Roman" w:hAnsi="Times New Roman"/>
          <w:color w:val="000000" w:themeColor="text1"/>
          <w:sz w:val="28"/>
          <w:szCs w:val="28"/>
        </w:rPr>
        <w:t>Упаковки из стекла для лекарс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>твенных препаратов не</w:t>
      </w:r>
      <w:r w:rsidRPr="00B6180E">
        <w:rPr>
          <w:rFonts w:ascii="Times New Roman" w:hAnsi="Times New Roman"/>
          <w:color w:val="000000" w:themeColor="text1"/>
          <w:sz w:val="28"/>
          <w:szCs w:val="28"/>
        </w:rPr>
        <w:t xml:space="preserve"> использ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>уют</w:t>
      </w:r>
      <w:r w:rsidRPr="00B6180E">
        <w:rPr>
          <w:rFonts w:ascii="Times New Roman" w:hAnsi="Times New Roman"/>
          <w:color w:val="000000" w:themeColor="text1"/>
          <w:sz w:val="28"/>
          <w:szCs w:val="28"/>
        </w:rPr>
        <w:t xml:space="preserve"> повторно, за исключе</w:t>
      </w:r>
      <w:r w:rsidR="00B6180E">
        <w:rPr>
          <w:rFonts w:ascii="Times New Roman" w:hAnsi="Times New Roman"/>
          <w:color w:val="000000" w:themeColor="text1"/>
          <w:sz w:val="28"/>
          <w:szCs w:val="28"/>
        </w:rPr>
        <w:t xml:space="preserve">нием упаковок из стекла </w:t>
      </w:r>
      <w:r w:rsidR="00CA4F8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6180E">
        <w:rPr>
          <w:rFonts w:ascii="Times New Roman" w:hAnsi="Times New Roman"/>
          <w:color w:val="000000" w:themeColor="text1"/>
          <w:sz w:val="28"/>
          <w:szCs w:val="28"/>
        </w:rPr>
        <w:t>ипа I.</w:t>
      </w:r>
    </w:p>
    <w:p w:rsidR="00D25211" w:rsidRPr="00B6180E" w:rsidRDefault="004A1EFC" w:rsidP="00D2521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Упаковку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 xml:space="preserve"> для компонентов крови не используют</w:t>
      </w:r>
      <w:r w:rsidR="00D25211" w:rsidRPr="00B6180E">
        <w:rPr>
          <w:rFonts w:ascii="Times New Roman" w:hAnsi="Times New Roman"/>
          <w:color w:val="000000" w:themeColor="text1"/>
          <w:sz w:val="28"/>
          <w:szCs w:val="28"/>
        </w:rPr>
        <w:t xml:space="preserve"> повторно.</w:t>
      </w:r>
    </w:p>
    <w:p w:rsidR="004D7386" w:rsidRDefault="00FE32CD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Гидролитическая устойчивость</w:t>
      </w:r>
    </w:p>
    <w:p w:rsidR="00E43F8A" w:rsidRPr="00FE32CD" w:rsidRDefault="00E43F8A" w:rsidP="00E43F8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2CD">
        <w:rPr>
          <w:rFonts w:ascii="Times New Roman" w:hAnsi="Times New Roman"/>
          <w:color w:val="000000" w:themeColor="text1"/>
          <w:sz w:val="28"/>
          <w:szCs w:val="28"/>
        </w:rPr>
        <w:t>Упаковк</w:t>
      </w:r>
      <w:r w:rsidR="001E4B2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32CD">
        <w:rPr>
          <w:rFonts w:ascii="Times New Roman" w:hAnsi="Times New Roman"/>
          <w:color w:val="000000" w:themeColor="text1"/>
          <w:sz w:val="28"/>
          <w:szCs w:val="28"/>
        </w:rPr>
        <w:t xml:space="preserve"> для фармацевтического применения из стекла должны выдерживать испытания на гидролитическую устойчивость. Если упаковк</w:t>
      </w:r>
      <w:r w:rsidR="001E4B2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32CD">
        <w:rPr>
          <w:rFonts w:ascii="Times New Roman" w:hAnsi="Times New Roman"/>
          <w:color w:val="000000" w:themeColor="text1"/>
          <w:sz w:val="28"/>
          <w:szCs w:val="28"/>
        </w:rPr>
        <w:t xml:space="preserve"> из стекла име</w:t>
      </w:r>
      <w:r w:rsidR="004A1E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E32CD">
        <w:rPr>
          <w:rFonts w:ascii="Times New Roman" w:hAnsi="Times New Roman"/>
          <w:color w:val="000000" w:themeColor="text1"/>
          <w:sz w:val="28"/>
          <w:szCs w:val="28"/>
        </w:rPr>
        <w:t>т детали, изготовленные из других материалов, испытанию подлежит только стеклянная часть упаковки.</w:t>
      </w:r>
    </w:p>
    <w:p w:rsidR="00E43F8A" w:rsidRPr="00FE32CD" w:rsidRDefault="00E43F8A" w:rsidP="00E43F8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2CD">
        <w:rPr>
          <w:rFonts w:ascii="Times New Roman" w:hAnsi="Times New Roman"/>
          <w:color w:val="000000" w:themeColor="text1"/>
          <w:sz w:val="28"/>
          <w:szCs w:val="28"/>
        </w:rPr>
        <w:t>Для определения качества упаковки из стекла, в зависимости от предполагаемого применения, необходимо проведение одного или нескольких следующих испытаний</w:t>
      </w:r>
      <w:r w:rsidR="002C4955">
        <w:rPr>
          <w:rFonts w:ascii="Times New Roman" w:hAnsi="Times New Roman"/>
          <w:color w:val="000000" w:themeColor="text1"/>
          <w:sz w:val="28"/>
          <w:szCs w:val="28"/>
        </w:rPr>
        <w:t xml:space="preserve"> (табл.1)</w:t>
      </w:r>
      <w:r w:rsidRPr="00FE32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3F8A" w:rsidRPr="00FE32CD" w:rsidRDefault="00E43F8A" w:rsidP="00E43F8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2CD">
        <w:rPr>
          <w:rFonts w:ascii="Times New Roman" w:hAnsi="Times New Roman"/>
          <w:color w:val="000000" w:themeColor="text1"/>
          <w:sz w:val="28"/>
          <w:szCs w:val="28"/>
        </w:rPr>
        <w:t xml:space="preserve">Испытания на гидролитическую устойчивость упаковки проводят с целью контроля и определения </w:t>
      </w:r>
      <w:r w:rsidR="005644C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E32CD">
        <w:rPr>
          <w:rFonts w:ascii="Times New Roman" w:hAnsi="Times New Roman"/>
          <w:color w:val="000000" w:themeColor="text1"/>
          <w:sz w:val="28"/>
          <w:szCs w:val="28"/>
        </w:rPr>
        <w:t>ипа стекла (I, II или III).</w:t>
      </w:r>
    </w:p>
    <w:p w:rsidR="0049693E" w:rsidRPr="00E42675" w:rsidRDefault="001C311E" w:rsidP="001E1C36">
      <w:pPr>
        <w:pStyle w:val="Default"/>
        <w:keepNext/>
        <w:spacing w:after="120"/>
        <w:rPr>
          <w:sz w:val="28"/>
          <w:szCs w:val="28"/>
        </w:rPr>
      </w:pPr>
      <w:r w:rsidRPr="001C311E">
        <w:rPr>
          <w:sz w:val="28"/>
          <w:szCs w:val="28"/>
        </w:rPr>
        <w:t xml:space="preserve">Таблица 1 – </w:t>
      </w:r>
      <w:r w:rsidR="0007423B">
        <w:rPr>
          <w:sz w:val="28"/>
          <w:szCs w:val="28"/>
        </w:rPr>
        <w:t>Виды</w:t>
      </w:r>
      <w:r w:rsidR="00E40418">
        <w:rPr>
          <w:sz w:val="28"/>
          <w:szCs w:val="28"/>
        </w:rPr>
        <w:t xml:space="preserve"> испытания в зависимости от типа</w:t>
      </w:r>
      <w:r w:rsidRPr="001C311E">
        <w:rPr>
          <w:sz w:val="28"/>
          <w:szCs w:val="28"/>
        </w:rPr>
        <w:t xml:space="preserve"> упаковок из стекла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3F8A" w:rsidRPr="00175F3C" w:rsidTr="00E43F8A"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Тип упаковки</w:t>
            </w:r>
          </w:p>
          <w:p w:rsidR="004D7386" w:rsidRDefault="004D738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4D7386" w:rsidRPr="0007423B" w:rsidRDefault="00185275" w:rsidP="0007423B">
            <w:pPr>
              <w:pStyle w:val="Default"/>
              <w:spacing w:after="120"/>
              <w:jc w:val="center"/>
              <w:rPr>
                <w:rFonts w:eastAsia="Calibri"/>
              </w:rPr>
            </w:pPr>
            <w:r>
              <w:rPr>
                <w:b/>
                <w:bCs/>
              </w:rPr>
              <w:t>Методы</w:t>
            </w:r>
            <w:r w:rsidR="00E40418">
              <w:rPr>
                <w:b/>
                <w:bCs/>
              </w:rPr>
              <w:t xml:space="preserve"> и</w:t>
            </w:r>
            <w:r w:rsidR="00E43F8A" w:rsidRPr="00175F3C">
              <w:rPr>
                <w:b/>
                <w:bCs/>
              </w:rPr>
              <w:t>спытания</w:t>
            </w:r>
          </w:p>
        </w:tc>
      </w:tr>
      <w:tr w:rsidR="00E43F8A" w:rsidRPr="00175F3C" w:rsidTr="00E43F8A"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 xml:space="preserve">Упаковки из стекла </w:t>
            </w:r>
            <w:r w:rsidR="00CA4F87">
              <w:rPr>
                <w:color w:val="000000" w:themeColor="text1"/>
              </w:rPr>
              <w:t>т</w:t>
            </w:r>
            <w:r w:rsidRPr="00175F3C">
              <w:rPr>
                <w:color w:val="000000" w:themeColor="text1"/>
              </w:rPr>
              <w:t>ипа</w:t>
            </w:r>
            <w:r w:rsidRPr="00175F3C">
              <w:t xml:space="preserve"> I и </w:t>
            </w:r>
            <w:r w:rsidR="00CA4F87">
              <w:t>т</w:t>
            </w:r>
            <w:r w:rsidRPr="00175F3C">
              <w:t xml:space="preserve">ипа II (для различия от упаковок из стекла </w:t>
            </w:r>
            <w:r w:rsidR="00CA4F87">
              <w:t>т</w:t>
            </w:r>
            <w:r w:rsidRPr="00175F3C">
              <w:t xml:space="preserve">ипа III) </w:t>
            </w:r>
          </w:p>
        </w:tc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 xml:space="preserve">А (испытание на поверхностную гидролитическую устойчивость) </w:t>
            </w:r>
          </w:p>
        </w:tc>
      </w:tr>
      <w:tr w:rsidR="00E43F8A" w:rsidRPr="00175F3C" w:rsidTr="00E43F8A"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 xml:space="preserve">Упаковки из стекла </w:t>
            </w:r>
            <w:r w:rsidR="00CA4F87">
              <w:t>т</w:t>
            </w:r>
            <w:r w:rsidRPr="00175F3C">
              <w:t xml:space="preserve">ипа I (для различия от </w:t>
            </w:r>
            <w:r w:rsidRPr="00175F3C">
              <w:lastRenderedPageBreak/>
              <w:t xml:space="preserve">упаковок из стекла </w:t>
            </w:r>
            <w:r w:rsidR="00CA4F87">
              <w:t>т</w:t>
            </w:r>
            <w:r w:rsidRPr="00175F3C">
              <w:t xml:space="preserve">ипа II от </w:t>
            </w:r>
            <w:r w:rsidR="00CA4F87">
              <w:t>т</w:t>
            </w:r>
            <w:r w:rsidRPr="00175F3C">
              <w:t xml:space="preserve">ипа III) </w:t>
            </w:r>
          </w:p>
        </w:tc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lastRenderedPageBreak/>
              <w:t xml:space="preserve">Б </w:t>
            </w:r>
            <w:r w:rsidRPr="00175F3C">
              <w:rPr>
                <w:b/>
                <w:bCs/>
              </w:rPr>
              <w:t>(</w:t>
            </w:r>
            <w:r w:rsidRPr="00175F3C">
              <w:t xml:space="preserve">испытание измельченного в порошок </w:t>
            </w:r>
            <w:r w:rsidRPr="00175F3C">
              <w:lastRenderedPageBreak/>
              <w:t xml:space="preserve">стекла) или В </w:t>
            </w:r>
            <w:r w:rsidRPr="00175F3C">
              <w:rPr>
                <w:b/>
                <w:bCs/>
              </w:rPr>
              <w:t>(</w:t>
            </w:r>
            <w:r w:rsidRPr="00175F3C">
              <w:t xml:space="preserve">испытание упаковок с обработанной поверхностью) </w:t>
            </w:r>
          </w:p>
        </w:tc>
      </w:tr>
      <w:tr w:rsidR="00E43F8A" w:rsidRPr="00175F3C" w:rsidTr="00E43F8A"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lastRenderedPageBreak/>
              <w:t xml:space="preserve">Упаковки из стекла </w:t>
            </w:r>
            <w:r w:rsidR="00CA4F87">
              <w:t>т</w:t>
            </w:r>
            <w:r w:rsidRPr="00175F3C">
              <w:t xml:space="preserve">ипа I и </w:t>
            </w:r>
            <w:r w:rsidR="00CA4F87">
              <w:t>т</w:t>
            </w:r>
            <w:r w:rsidRPr="00175F3C">
              <w:t xml:space="preserve">ипа II (определение влияния химического состава или степени обработки поверхности стекла на гидролитическую устойчивость) </w:t>
            </w:r>
          </w:p>
        </w:tc>
        <w:tc>
          <w:tcPr>
            <w:tcW w:w="4785" w:type="dxa"/>
          </w:tcPr>
          <w:p w:rsidR="004D7386" w:rsidRDefault="00E43F8A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 xml:space="preserve">A и Б, или A и В </w:t>
            </w:r>
          </w:p>
        </w:tc>
      </w:tr>
    </w:tbl>
    <w:p w:rsidR="00C33E83" w:rsidRPr="00637CD3" w:rsidRDefault="00C33E83" w:rsidP="00AF6B02">
      <w:pPr>
        <w:spacing w:after="24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CD3">
        <w:rPr>
          <w:rFonts w:ascii="Times New Roman" w:hAnsi="Times New Roman"/>
          <w:color w:val="000000" w:themeColor="text1"/>
          <w:sz w:val="28"/>
          <w:szCs w:val="28"/>
        </w:rPr>
        <w:t>Испытание проводят пут</w:t>
      </w:r>
      <w:r w:rsidR="002E7530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D236B4">
        <w:rPr>
          <w:rFonts w:ascii="Times New Roman" w:hAnsi="Times New Roman"/>
          <w:color w:val="000000" w:themeColor="text1"/>
          <w:sz w:val="28"/>
          <w:szCs w:val="28"/>
        </w:rPr>
        <w:t>м титрования испытуем</w:t>
      </w:r>
      <w:r w:rsidRPr="00637CD3">
        <w:rPr>
          <w:rFonts w:ascii="Times New Roman" w:hAnsi="Times New Roman"/>
          <w:color w:val="000000" w:themeColor="text1"/>
          <w:sz w:val="28"/>
          <w:szCs w:val="28"/>
        </w:rPr>
        <w:t xml:space="preserve">ых растворов, полученных в условиях, описанных в </w:t>
      </w:r>
      <w:r w:rsidR="00185275">
        <w:rPr>
          <w:rFonts w:ascii="Times New Roman" w:hAnsi="Times New Roman"/>
          <w:color w:val="000000" w:themeColor="text1"/>
          <w:sz w:val="28"/>
          <w:szCs w:val="28"/>
        </w:rPr>
        <w:t>методах испытаниях A, Б и В. Метод</w:t>
      </w:r>
      <w:r w:rsidRPr="00637CD3">
        <w:rPr>
          <w:rFonts w:ascii="Times New Roman" w:hAnsi="Times New Roman"/>
          <w:color w:val="000000" w:themeColor="text1"/>
          <w:sz w:val="28"/>
          <w:szCs w:val="28"/>
        </w:rPr>
        <w:t xml:space="preserve"> В проводят в случае отсутствия информации о </w:t>
      </w:r>
      <w:r w:rsidR="002E753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37CD3">
        <w:rPr>
          <w:rFonts w:ascii="Times New Roman" w:hAnsi="Times New Roman"/>
          <w:color w:val="000000" w:themeColor="text1"/>
          <w:sz w:val="28"/>
          <w:szCs w:val="28"/>
        </w:rPr>
        <w:t>ипе стекла.</w:t>
      </w:r>
    </w:p>
    <w:p w:rsidR="004D7386" w:rsidRDefault="00C33E83" w:rsidP="00AF6B02">
      <w:pPr>
        <w:pStyle w:val="Default"/>
        <w:keepNext/>
        <w:spacing w:line="360" w:lineRule="auto"/>
        <w:jc w:val="center"/>
        <w:rPr>
          <w:b/>
          <w:sz w:val="28"/>
          <w:szCs w:val="28"/>
        </w:rPr>
      </w:pPr>
      <w:r w:rsidRPr="005E6C0F">
        <w:rPr>
          <w:b/>
          <w:sz w:val="28"/>
          <w:szCs w:val="28"/>
        </w:rPr>
        <w:t>О</w:t>
      </w:r>
      <w:r w:rsidR="005E6C0F">
        <w:rPr>
          <w:b/>
          <w:sz w:val="28"/>
          <w:szCs w:val="28"/>
        </w:rPr>
        <w:t>борудование</w:t>
      </w:r>
    </w:p>
    <w:p w:rsidR="004A2AC4" w:rsidRPr="00184C93" w:rsidRDefault="004A2AC4" w:rsidP="00AF6B0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C93">
        <w:rPr>
          <w:rFonts w:ascii="Times New Roman" w:hAnsi="Times New Roman"/>
          <w:color w:val="000000" w:themeColor="text1"/>
          <w:sz w:val="28"/>
          <w:szCs w:val="28"/>
        </w:rPr>
        <w:t>Ис</w:t>
      </w:r>
      <w:r>
        <w:rPr>
          <w:rFonts w:ascii="Times New Roman" w:hAnsi="Times New Roman"/>
          <w:color w:val="000000" w:themeColor="text1"/>
          <w:sz w:val="28"/>
          <w:szCs w:val="28"/>
        </w:rPr>
        <w:t>пользуемое оборудование включает следующие компоненты:</w:t>
      </w:r>
    </w:p>
    <w:p w:rsidR="00C33E83" w:rsidRPr="00C33E83" w:rsidRDefault="00256E65" w:rsidP="006F0B5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256E65">
        <w:rPr>
          <w:rFonts w:ascii="Times New Roman" w:hAnsi="Times New Roman"/>
          <w:sz w:val="28"/>
          <w:szCs w:val="28"/>
        </w:rPr>
        <w:t>- </w:t>
      </w:r>
      <w:r w:rsidR="00C33E83" w:rsidRPr="00256E6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33E83" w:rsidRPr="006F0B5F">
        <w:rPr>
          <w:rFonts w:ascii="Times New Roman" w:hAnsi="Times New Roman"/>
          <w:color w:val="000000" w:themeColor="text1"/>
          <w:sz w:val="28"/>
          <w:szCs w:val="28"/>
        </w:rPr>
        <w:t>втоклав, способный поддерживать тем</w:t>
      </w:r>
      <w:r w:rsidR="004A2AC4">
        <w:rPr>
          <w:rFonts w:ascii="Times New Roman" w:hAnsi="Times New Roman"/>
          <w:color w:val="000000" w:themeColor="text1"/>
          <w:sz w:val="28"/>
          <w:szCs w:val="28"/>
        </w:rPr>
        <w:t xml:space="preserve">пературу </w:t>
      </w:r>
      <w:r w:rsidR="002C4955">
        <w:rPr>
          <w:rFonts w:ascii="Times New Roman" w:hAnsi="Times New Roman"/>
          <w:color w:val="000000" w:themeColor="text1"/>
          <w:sz w:val="28"/>
          <w:szCs w:val="28"/>
        </w:rPr>
        <w:t>от 120 до 122</w:t>
      </w:r>
      <w:r w:rsidR="00F61B62" w:rsidRPr="006F0B5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33E83" w:rsidRPr="006F0B5F">
        <w:rPr>
          <w:rFonts w:ascii="Times New Roman" w:hAnsi="Times New Roman"/>
          <w:color w:val="000000" w:themeColor="text1"/>
          <w:sz w:val="28"/>
          <w:szCs w:val="28"/>
        </w:rPr>
        <w:t xml:space="preserve">ºС и давление </w:t>
      </w:r>
      <w:r w:rsidR="002C4955">
        <w:rPr>
          <w:rFonts w:ascii="Times New Roman" w:hAnsi="Times New Roman"/>
          <w:color w:val="000000" w:themeColor="text1"/>
          <w:sz w:val="28"/>
          <w:szCs w:val="28"/>
        </w:rPr>
        <w:t>0,25 МПа или 2,5 </w:t>
      </w:r>
      <w:r w:rsidR="006F0B5F" w:rsidRPr="006F0B5F">
        <w:rPr>
          <w:rFonts w:ascii="Times New Roman" w:hAnsi="Times New Roman"/>
          <w:color w:val="000000" w:themeColor="text1"/>
          <w:sz w:val="28"/>
          <w:szCs w:val="28"/>
        </w:rPr>
        <w:t>бар</w:t>
      </w:r>
      <w:r w:rsidR="00C33E83" w:rsidRPr="006F0B5F">
        <w:rPr>
          <w:rFonts w:ascii="Times New Roman" w:hAnsi="Times New Roman"/>
          <w:color w:val="000000" w:themeColor="text1"/>
          <w:sz w:val="28"/>
          <w:szCs w:val="28"/>
        </w:rPr>
        <w:t>, оборудованный</w:t>
      </w:r>
      <w:r w:rsidR="00C33E83" w:rsidRPr="00637CD3">
        <w:rPr>
          <w:rFonts w:ascii="Times New Roman" w:hAnsi="Times New Roman"/>
          <w:color w:val="000000" w:themeColor="text1"/>
          <w:sz w:val="28"/>
          <w:szCs w:val="28"/>
        </w:rPr>
        <w:t xml:space="preserve"> термометром или манометром, вентиляционным краном и поддоном, а также имеющий достаточную вместимость для размещения над поверхностью воды такого количества упаковок из стекла, которое необходимо для проведения испытания; перед использованием автоклав и вс</w:t>
      </w:r>
      <w:r w:rsidR="004A2AC4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C33E83" w:rsidRPr="00637CD3">
        <w:rPr>
          <w:rFonts w:ascii="Times New Roman" w:hAnsi="Times New Roman"/>
          <w:color w:val="000000" w:themeColor="text1"/>
          <w:sz w:val="28"/>
          <w:szCs w:val="28"/>
        </w:rPr>
        <w:t xml:space="preserve"> вспомогательное оборудование следует очистить водой</w:t>
      </w:r>
      <w:r w:rsidR="00637CD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33E83" w:rsidRPr="007B26FA" w:rsidRDefault="004A2AC4" w:rsidP="006F0B5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33E83" w:rsidRPr="007B26FA">
        <w:rPr>
          <w:rFonts w:ascii="Times New Roman" w:hAnsi="Times New Roman"/>
          <w:color w:val="000000" w:themeColor="text1"/>
          <w:sz w:val="28"/>
          <w:szCs w:val="28"/>
        </w:rPr>
        <w:t>бюрет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ки соответствующей вместимости;</w:t>
      </w:r>
    </w:p>
    <w:p w:rsidR="00C33E83" w:rsidRPr="007B26FA" w:rsidRDefault="004A2AC4" w:rsidP="00C33E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61B62" w:rsidRPr="007B26FA">
        <w:rPr>
          <w:rFonts w:ascii="Times New Roman" w:hAnsi="Times New Roman"/>
          <w:color w:val="000000" w:themeColor="text1"/>
          <w:sz w:val="28"/>
          <w:szCs w:val="28"/>
        </w:rPr>
        <w:t>мерные колбы вместимостью 1000 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мл;</w:t>
      </w:r>
    </w:p>
    <w:p w:rsidR="00C33E83" w:rsidRPr="007B26FA" w:rsidRDefault="004A2AC4" w:rsidP="00C33E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пипетки и стаканы;</w:t>
      </w:r>
    </w:p>
    <w:p w:rsidR="00C33E83" w:rsidRPr="007B26FA" w:rsidRDefault="004A2AC4" w:rsidP="00C33E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33E83" w:rsidRPr="007B26FA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="00B766C7" w:rsidRPr="007B26FA">
        <w:rPr>
          <w:rFonts w:ascii="Times New Roman" w:hAnsi="Times New Roman"/>
          <w:color w:val="000000" w:themeColor="text1"/>
          <w:sz w:val="28"/>
          <w:szCs w:val="28"/>
        </w:rPr>
        <w:t>нические колбы вместимостью 100 мл и 250 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мл;</w:t>
      </w:r>
    </w:p>
    <w:p w:rsidR="00C33E83" w:rsidRPr="007B26FA" w:rsidRDefault="004A2AC4" w:rsidP="00C33E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водяная баня;</w:t>
      </w:r>
    </w:p>
    <w:p w:rsidR="00C33E83" w:rsidRPr="007B26FA" w:rsidRDefault="004A2AC4" w:rsidP="00C33E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33E83" w:rsidRPr="007B26FA">
        <w:rPr>
          <w:rFonts w:ascii="Times New Roman" w:hAnsi="Times New Roman"/>
          <w:color w:val="000000" w:themeColor="text1"/>
          <w:sz w:val="28"/>
          <w:szCs w:val="28"/>
        </w:rPr>
        <w:t>металлическая фольга (например, из алюминия, нерж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авеющей стали).</w:t>
      </w:r>
    </w:p>
    <w:p w:rsidR="00C33E83" w:rsidRPr="007B26FA" w:rsidRDefault="00C33E83" w:rsidP="00AF6B02">
      <w:pPr>
        <w:spacing w:after="24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Колбы и стаканы перед использованием следует заполнить водой и выдержать </w:t>
      </w:r>
      <w:r w:rsidR="00F61B62"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в автоклаве при температуре </w:t>
      </w:r>
      <w:r w:rsidR="002C4955">
        <w:rPr>
          <w:rFonts w:ascii="Times New Roman" w:hAnsi="Times New Roman"/>
          <w:color w:val="000000" w:themeColor="text1"/>
          <w:sz w:val="28"/>
          <w:szCs w:val="28"/>
        </w:rPr>
        <w:t>от 120 до 122</w:t>
      </w:r>
      <w:r w:rsidR="002C4955" w:rsidRPr="006F0B5F">
        <w:rPr>
          <w:rFonts w:ascii="Times New Roman" w:hAnsi="Times New Roman"/>
          <w:color w:val="000000" w:themeColor="text1"/>
          <w:sz w:val="28"/>
          <w:szCs w:val="28"/>
        </w:rPr>
        <w:t> ºС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 в течен</w:t>
      </w:r>
      <w:r w:rsidR="00F61B62" w:rsidRPr="007B26FA">
        <w:rPr>
          <w:rFonts w:ascii="Times New Roman" w:hAnsi="Times New Roman"/>
          <w:color w:val="000000" w:themeColor="text1"/>
          <w:sz w:val="28"/>
          <w:szCs w:val="28"/>
        </w:rPr>
        <w:t>ие не менее 1 </w:t>
      </w:r>
      <w:r w:rsidR="005A2238">
        <w:rPr>
          <w:rFonts w:ascii="Times New Roman" w:hAnsi="Times New Roman"/>
          <w:color w:val="000000" w:themeColor="text1"/>
          <w:sz w:val="28"/>
          <w:szCs w:val="28"/>
        </w:rPr>
        <w:t>ч.</w:t>
      </w:r>
    </w:p>
    <w:p w:rsidR="004D7386" w:rsidRDefault="007B26FA" w:rsidP="00256E65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65A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ределение объёма наполнения</w:t>
      </w:r>
    </w:p>
    <w:p w:rsidR="00C33E83" w:rsidRPr="007B26FA" w:rsidRDefault="00C33E83" w:rsidP="00AF6B0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26FA">
        <w:rPr>
          <w:rFonts w:ascii="Times New Roman" w:hAnsi="Times New Roman"/>
          <w:color w:val="000000" w:themeColor="text1"/>
          <w:sz w:val="28"/>
          <w:szCs w:val="28"/>
        </w:rPr>
        <w:t>Объ</w:t>
      </w:r>
      <w:r w:rsidR="007B26FA" w:rsidRPr="007B26F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м наполнения </w:t>
      </w:r>
      <w:r w:rsidR="00DD2E4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 это объ</w:t>
      </w:r>
      <w:r w:rsidR="007B26FA" w:rsidRPr="007B26F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>м воды, которым следует наполнить упаковку для проведения испытания. Для бутылок и флаконов</w:t>
      </w:r>
      <w:r w:rsidR="000E0C82"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 объ</w:t>
      </w:r>
      <w:r w:rsidR="007B26FA" w:rsidRPr="007B26F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0E0C82" w:rsidRPr="007B26FA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0E0C82" w:rsidRPr="007B26FA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наполнения составляет 90 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>% от полной вместимости упаковки (до кра</w:t>
      </w:r>
      <w:r w:rsidR="007B26FA" w:rsidRPr="007B26F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>в). Для ампул этот объ</w:t>
      </w:r>
      <w:r w:rsidR="007B26FA" w:rsidRPr="007B26F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7B26FA">
        <w:rPr>
          <w:rFonts w:ascii="Times New Roman" w:hAnsi="Times New Roman"/>
          <w:color w:val="000000" w:themeColor="text1"/>
          <w:sz w:val="28"/>
          <w:szCs w:val="28"/>
        </w:rPr>
        <w:t>м соответствует объ</w:t>
      </w:r>
      <w:r w:rsidR="007B26FA" w:rsidRPr="007B26FA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7B26FA">
        <w:rPr>
          <w:rFonts w:ascii="Times New Roman" w:hAnsi="Times New Roman"/>
          <w:color w:val="000000" w:themeColor="text1"/>
          <w:sz w:val="28"/>
          <w:szCs w:val="28"/>
        </w:rPr>
        <w:t>му до высоты плеча.</w:t>
      </w:r>
    </w:p>
    <w:p w:rsidR="00C33E83" w:rsidRPr="003865AE" w:rsidRDefault="00C33E83" w:rsidP="00C179E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1078">
        <w:rPr>
          <w:rFonts w:ascii="Times New Roman" w:hAnsi="Times New Roman"/>
          <w:b/>
          <w:i/>
          <w:color w:val="000000" w:themeColor="text1"/>
          <w:sz w:val="28"/>
          <w:szCs w:val="28"/>
        </w:rPr>
        <w:t>Флаконы и бутылки.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 Отбирают случайным образом из партии 6 упаковок (или 3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, если их вместимость более 100 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>мл),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 очищают от грязи и осколков. Пустые упаковки</w:t>
      </w:r>
      <w:r w:rsidR="006304A9"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взвешивают с точностью до 0,1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г, помещают на горизонтальную поверхность и наполняют до края водой, избегая переполнения и </w:t>
      </w:r>
      <w:r w:rsidR="00433993"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воздушных пузырьков. Уровень жидкости регулируют по нижнему мениску и взвешивают заполненн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ые упаковки с точностью до 0,01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г для упаковок, имеющих номинальный объ</w:t>
      </w:r>
      <w:r w:rsidR="00B60203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 меньше или равный 30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мл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, и с точностью до 0,1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г для упаковок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 с номинальным объ</w:t>
      </w:r>
      <w:r w:rsidR="00B60203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мом более 30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мл и получают массу воды. Рассчитывают среднее значение полной вместимости в миллилитрах и умножают на 0,9. Полу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ченный объ</w:t>
      </w:r>
      <w:r w:rsidR="003865AE" w:rsidRPr="003865AE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B766C7" w:rsidRPr="003865AE">
        <w:rPr>
          <w:rFonts w:ascii="Times New Roman" w:hAnsi="Times New Roman"/>
          <w:color w:val="000000" w:themeColor="text1"/>
          <w:sz w:val="28"/>
          <w:szCs w:val="28"/>
        </w:rPr>
        <w:t>м с точностью до 0,1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мл является объ</w:t>
      </w:r>
      <w:r w:rsidR="003865AE" w:rsidRPr="003865AE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мом наполнения для конкретной упаковки.</w:t>
      </w:r>
    </w:p>
    <w:p w:rsidR="00F57DFE" w:rsidRPr="003865AE" w:rsidRDefault="00C33E83" w:rsidP="00C33E8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1078">
        <w:rPr>
          <w:rFonts w:ascii="Times New Roman" w:hAnsi="Times New Roman"/>
          <w:b/>
          <w:i/>
          <w:color w:val="000000" w:themeColor="text1"/>
          <w:sz w:val="28"/>
          <w:szCs w:val="28"/>
        </w:rPr>
        <w:t>Ампулы.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 Помещают не менее 6 сухих ампул на </w:t>
      </w:r>
      <w:r w:rsidR="003A6B78"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плоскую, 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горизонтальную поверхность и наполняют водой из бюретк</w:t>
      </w:r>
      <w:r w:rsidR="000D67E7">
        <w:rPr>
          <w:rFonts w:ascii="Times New Roman" w:hAnsi="Times New Roman"/>
          <w:color w:val="000000" w:themeColor="text1"/>
          <w:sz w:val="28"/>
          <w:szCs w:val="28"/>
        </w:rPr>
        <w:t>и до высоты плеча (точка А) (рис. 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1). Определяют вместимость (с точностью до 0,01</w:t>
      </w:r>
      <w:r w:rsidR="00B90B4B">
        <w:rPr>
          <w:rFonts w:ascii="Times New Roman" w:hAnsi="Times New Roman"/>
          <w:color w:val="000000" w:themeColor="text1"/>
          <w:sz w:val="28"/>
          <w:szCs w:val="28"/>
        </w:rPr>
        <w:t> мл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) и вычисляют среднее значение. Этот объ</w:t>
      </w:r>
      <w:r w:rsidR="003865AE" w:rsidRPr="003865AE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4D024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04A9" w:rsidRPr="003865A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 xml:space="preserve">с точностью до </w:t>
      </w:r>
      <w:r w:rsidR="006304A9" w:rsidRPr="003865AE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B90B4B">
        <w:rPr>
          <w:rFonts w:ascii="Times New Roman" w:hAnsi="Times New Roman"/>
          <w:color w:val="000000" w:themeColor="text1"/>
          <w:sz w:val="28"/>
          <w:szCs w:val="28"/>
        </w:rPr>
        <w:t> мл</w:t>
      </w:r>
      <w:r w:rsidR="006304A9" w:rsidRPr="003865A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, является объ</w:t>
      </w:r>
      <w:r w:rsidR="006F0B5F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мом наполнения для конкретной партии ампул. Объ</w:t>
      </w:r>
      <w:r w:rsidR="003865AE" w:rsidRPr="003865AE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м наполнения может также быть определ</w:t>
      </w:r>
      <w:r w:rsidR="006F0B5F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3865AE">
        <w:rPr>
          <w:rFonts w:ascii="Times New Roman" w:hAnsi="Times New Roman"/>
          <w:color w:val="000000" w:themeColor="text1"/>
          <w:sz w:val="28"/>
          <w:szCs w:val="28"/>
        </w:rPr>
        <w:t>н путем взвешивания.</w:t>
      </w:r>
    </w:p>
    <w:p w:rsidR="004D7386" w:rsidRDefault="00A112DE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0" cy="2724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67" cy="272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86" w:rsidRDefault="0065318E">
      <w:pPr>
        <w:keepNext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30907">
        <w:rPr>
          <w:rFonts w:ascii="Times New Roman" w:hAnsi="Times New Roman"/>
          <w:color w:val="000000" w:themeColor="text1"/>
          <w:sz w:val="28"/>
          <w:szCs w:val="28"/>
        </w:rPr>
        <w:lastRenderedPageBreak/>
        <w:t>Рисунок</w:t>
      </w:r>
      <w:r w:rsidR="00B309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E83" w:rsidRPr="00B30907">
        <w:rPr>
          <w:rFonts w:ascii="Times New Roman" w:hAnsi="Times New Roman"/>
          <w:color w:val="000000" w:themeColor="text1"/>
          <w:sz w:val="28"/>
          <w:szCs w:val="28"/>
        </w:rPr>
        <w:t>1. – Объ</w:t>
      </w:r>
      <w:r w:rsidR="006F0B5F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C33E83" w:rsidRPr="00B30907">
        <w:rPr>
          <w:rFonts w:ascii="Times New Roman" w:hAnsi="Times New Roman"/>
          <w:color w:val="000000" w:themeColor="text1"/>
          <w:sz w:val="28"/>
          <w:szCs w:val="28"/>
        </w:rPr>
        <w:t>м наполнения ампул (до точки А)</w:t>
      </w:r>
      <w:r w:rsidR="00BC14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1CE8" w:rsidRPr="000D67E7" w:rsidRDefault="00C33E83" w:rsidP="00C670A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1078">
        <w:rPr>
          <w:rFonts w:ascii="Times New Roman" w:hAnsi="Times New Roman"/>
          <w:b/>
          <w:i/>
          <w:color w:val="000000" w:themeColor="text1"/>
          <w:sz w:val="28"/>
          <w:szCs w:val="28"/>
        </w:rPr>
        <w:t>Шприцы и картриджи</w:t>
      </w:r>
      <w:r w:rsidRPr="000D67E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 xml:space="preserve"> Выбирают 6 шприцев или картриджей, закрывают отверстие (горловина картриджей и иглы и/или посадочный конус Луера), используя инертный материал (например, защитный колпачок)</w:t>
      </w:r>
      <w:r w:rsidR="00AD5F8E" w:rsidRPr="000D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5F8E" w:rsidRPr="000D67E7">
        <w:rPr>
          <w:rFonts w:ascii="Open Sans" w:eastAsia="Times New Roman" w:hAnsi="Open Sans"/>
          <w:color w:val="222222"/>
          <w:sz w:val="16"/>
          <w:szCs w:val="16"/>
          <w:lang w:eastAsia="ru-RU"/>
        </w:rPr>
        <w:t xml:space="preserve"> 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>или любое другое подходящее средство</w:t>
      </w:r>
      <w:r w:rsidR="00AD5F8E" w:rsidRPr="000D67E7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предотвращения утечки воды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>. Определяют средний объ</w:t>
      </w:r>
      <w:r w:rsidR="000D67E7" w:rsidRPr="000D67E7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 xml:space="preserve">м наполнения в соответствии с процедурой, </w:t>
      </w:r>
      <w:r w:rsidRPr="00A41078">
        <w:rPr>
          <w:rFonts w:ascii="Times New Roman" w:hAnsi="Times New Roman"/>
          <w:color w:val="000000" w:themeColor="text1"/>
          <w:sz w:val="28"/>
          <w:szCs w:val="28"/>
        </w:rPr>
        <w:t xml:space="preserve">описанной в разделе </w:t>
      </w:r>
      <w:r w:rsidR="00104AF7" w:rsidRPr="00A4107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41078">
        <w:rPr>
          <w:rFonts w:ascii="Times New Roman" w:hAnsi="Times New Roman"/>
          <w:color w:val="000000" w:themeColor="text1"/>
          <w:sz w:val="28"/>
          <w:szCs w:val="28"/>
        </w:rPr>
        <w:t>Флаконы и бутылки</w:t>
      </w:r>
      <w:r w:rsidR="00104AF7" w:rsidRPr="00A4107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10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04AF7">
        <w:rPr>
          <w:rFonts w:ascii="Times New Roman" w:hAnsi="Times New Roman"/>
          <w:color w:val="000000" w:themeColor="text1"/>
          <w:sz w:val="28"/>
          <w:szCs w:val="28"/>
        </w:rPr>
        <w:t xml:space="preserve">и умножают на 0,9. 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>Этот объ</w:t>
      </w:r>
      <w:r w:rsidR="000D67E7" w:rsidRPr="000D67E7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 xml:space="preserve">м, выраженный с </w:t>
      </w:r>
      <w:r w:rsidR="00304469" w:rsidRPr="000D67E7">
        <w:rPr>
          <w:rFonts w:ascii="Times New Roman" w:hAnsi="Times New Roman"/>
          <w:color w:val="000000" w:themeColor="text1"/>
          <w:sz w:val="28"/>
          <w:szCs w:val="28"/>
        </w:rPr>
        <w:t>точностью до 0,1 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>мл, является объ</w:t>
      </w:r>
      <w:r w:rsidR="000D67E7" w:rsidRPr="000D67E7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0D67E7">
        <w:rPr>
          <w:rFonts w:ascii="Times New Roman" w:hAnsi="Times New Roman"/>
          <w:color w:val="000000" w:themeColor="text1"/>
          <w:sz w:val="28"/>
          <w:szCs w:val="28"/>
        </w:rPr>
        <w:t>мом наполнения для конкретной партии упаковок.</w:t>
      </w:r>
    </w:p>
    <w:p w:rsidR="004D7386" w:rsidRDefault="00185275">
      <w:pPr>
        <w:keepNext/>
        <w:spacing w:before="24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Метод</w:t>
      </w:r>
      <w:r w:rsidR="00B766C7" w:rsidRP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А.</w:t>
      </w:r>
      <w:r w:rsidR="00C33E83" w:rsidRPr="00C33E83">
        <w:rPr>
          <w:b/>
          <w:sz w:val="23"/>
          <w:szCs w:val="23"/>
        </w:rPr>
        <w:t xml:space="preserve"> </w:t>
      </w:r>
      <w:r w:rsidR="00B766C7" w:rsidRPr="00B766C7">
        <w:rPr>
          <w:rFonts w:ascii="Times New Roman" w:hAnsi="Times New Roman"/>
          <w:b/>
          <w:color w:val="000000" w:themeColor="text1"/>
          <w:sz w:val="28"/>
          <w:szCs w:val="28"/>
        </w:rPr>
        <w:t>Гидролитическая</w:t>
      </w:r>
      <w:r w:rsidR="00B766C7">
        <w:rPr>
          <w:b/>
          <w:sz w:val="23"/>
          <w:szCs w:val="23"/>
        </w:rPr>
        <w:t xml:space="preserve"> </w:t>
      </w:r>
      <w:r w:rsidR="00B766C7" w:rsidRPr="00B766C7">
        <w:rPr>
          <w:rFonts w:ascii="Times New Roman" w:hAnsi="Times New Roman"/>
          <w:b/>
          <w:color w:val="000000" w:themeColor="text1"/>
          <w:sz w:val="28"/>
          <w:szCs w:val="28"/>
        </w:rPr>
        <w:t>устойчивость</w:t>
      </w:r>
      <w:r w:rsidR="00C33E83" w:rsidRP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766C7" w:rsidRPr="00B766C7">
        <w:rPr>
          <w:rFonts w:ascii="Times New Roman" w:hAnsi="Times New Roman"/>
          <w:b/>
          <w:color w:val="000000" w:themeColor="text1"/>
          <w:sz w:val="28"/>
          <w:szCs w:val="28"/>
        </w:rPr>
        <w:t>внутренних</w:t>
      </w:r>
      <w:r w:rsid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поверхностей</w:t>
      </w:r>
      <w:r w:rsidR="00C33E83" w:rsidRP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766C7" w:rsidRPr="00B766C7">
        <w:rPr>
          <w:rFonts w:ascii="Times New Roman" w:hAnsi="Times New Roman"/>
          <w:b/>
          <w:color w:val="000000" w:themeColor="text1"/>
          <w:sz w:val="28"/>
          <w:szCs w:val="28"/>
        </w:rPr>
        <w:t>упаковок из стекла</w:t>
      </w:r>
      <w:r w:rsid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(испытание поверхности)</w:t>
      </w:r>
    </w:p>
    <w:p w:rsidR="00C670A1" w:rsidRDefault="00C33E83" w:rsidP="00C670A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AF7">
        <w:rPr>
          <w:rFonts w:ascii="Times New Roman" w:hAnsi="Times New Roman"/>
          <w:color w:val="000000" w:themeColor="text1"/>
          <w:sz w:val="28"/>
          <w:szCs w:val="28"/>
        </w:rPr>
        <w:t>Определение проводят на упаковках, которые ранее не использовались. Объ</w:t>
      </w:r>
      <w:r w:rsidR="00104AF7" w:rsidRPr="00104AF7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07423B">
        <w:rPr>
          <w:rFonts w:ascii="Times New Roman" w:hAnsi="Times New Roman"/>
          <w:color w:val="000000" w:themeColor="text1"/>
          <w:sz w:val="28"/>
          <w:szCs w:val="28"/>
        </w:rPr>
        <w:t>мы испытуемых растворов</w:t>
      </w:r>
      <w:r w:rsidRPr="00104AF7">
        <w:rPr>
          <w:rFonts w:ascii="Times New Roman" w:hAnsi="Times New Roman"/>
          <w:color w:val="000000" w:themeColor="text1"/>
          <w:sz w:val="28"/>
          <w:szCs w:val="28"/>
        </w:rPr>
        <w:t>, необходимые для заключительного о</w:t>
      </w:r>
      <w:r w:rsidR="00104AF7" w:rsidRPr="00104AF7">
        <w:rPr>
          <w:rFonts w:ascii="Times New Roman" w:hAnsi="Times New Roman"/>
          <w:color w:val="000000" w:themeColor="text1"/>
          <w:sz w:val="28"/>
          <w:szCs w:val="28"/>
        </w:rPr>
        <w:t>пределения, приведены в таблице </w:t>
      </w:r>
      <w:r w:rsidRPr="00104AF7">
        <w:rPr>
          <w:rFonts w:ascii="Times New Roman" w:hAnsi="Times New Roman"/>
          <w:color w:val="000000" w:themeColor="text1"/>
          <w:sz w:val="28"/>
          <w:szCs w:val="28"/>
        </w:rPr>
        <w:t>2.</w:t>
      </w:r>
    </w:p>
    <w:p w:rsidR="00C33E83" w:rsidRPr="00E42675" w:rsidRDefault="001C311E" w:rsidP="00256E65">
      <w:pPr>
        <w:pStyle w:val="Default"/>
        <w:keepNext/>
        <w:spacing w:before="240" w:after="120"/>
        <w:rPr>
          <w:sz w:val="28"/>
          <w:szCs w:val="28"/>
        </w:rPr>
      </w:pPr>
      <w:r w:rsidRPr="001C311E">
        <w:rPr>
          <w:sz w:val="28"/>
          <w:szCs w:val="28"/>
        </w:rPr>
        <w:t>Таблица 2 – Объёмы испытуемой жидкости и количество титрований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3E83" w:rsidRPr="00175F3C" w:rsidTr="00C33E83"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Объ</w:t>
            </w:r>
            <w:r w:rsidR="006F0B5F" w:rsidRPr="00175F3C">
              <w:rPr>
                <w:b/>
                <w:bCs/>
              </w:rPr>
              <w:t>ё</w:t>
            </w:r>
            <w:r w:rsidRPr="00175F3C">
              <w:rPr>
                <w:b/>
                <w:bCs/>
              </w:rPr>
              <w:t>м наполнения (мл)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Объ</w:t>
            </w:r>
            <w:r w:rsidR="006F0B5F" w:rsidRPr="00175F3C">
              <w:rPr>
                <w:b/>
                <w:bCs/>
              </w:rPr>
              <w:t>ё</w:t>
            </w:r>
            <w:r w:rsidR="0007423B">
              <w:rPr>
                <w:b/>
                <w:bCs/>
              </w:rPr>
              <w:t>м испытуемого</w:t>
            </w:r>
            <w:r w:rsidR="00D236B4">
              <w:rPr>
                <w:b/>
                <w:bCs/>
              </w:rPr>
              <w:t xml:space="preserve"> раствора</w:t>
            </w:r>
            <w:r w:rsidRPr="00175F3C">
              <w:rPr>
                <w:b/>
                <w:bCs/>
              </w:rPr>
              <w:t xml:space="preserve"> для титрования (мл)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Количество титровани</w:t>
            </w:r>
            <w:r w:rsidR="00104AF7" w:rsidRPr="00175F3C">
              <w:rPr>
                <w:b/>
                <w:bCs/>
              </w:rPr>
              <w:t>й</w:t>
            </w:r>
          </w:p>
        </w:tc>
      </w:tr>
      <w:tr w:rsidR="00C33E83" w:rsidRPr="00175F3C" w:rsidTr="00C33E83"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До 3</w:t>
            </w:r>
            <w:r w:rsidR="00CE6047" w:rsidRPr="00175F3C">
              <w:t>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25,0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</w:t>
            </w:r>
          </w:p>
        </w:tc>
      </w:tr>
      <w:tr w:rsidR="00C33E83" w:rsidRPr="00175F3C" w:rsidTr="00C33E83"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3</w:t>
            </w:r>
            <w:r w:rsidR="00CE6047" w:rsidRPr="00175F3C">
              <w:t>,0</w:t>
            </w:r>
            <w:r w:rsidRPr="00175F3C">
              <w:t xml:space="preserve"> до 30</w:t>
            </w:r>
            <w:r w:rsidR="00CE6047" w:rsidRPr="00175F3C">
              <w:t>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50,0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</w:t>
            </w:r>
          </w:p>
        </w:tc>
      </w:tr>
      <w:tr w:rsidR="00C33E83" w:rsidRPr="00175F3C" w:rsidTr="00C33E83"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30</w:t>
            </w:r>
            <w:r w:rsidR="00CE6047" w:rsidRPr="00175F3C">
              <w:t>,0</w:t>
            </w:r>
            <w:r w:rsidRPr="00175F3C">
              <w:t xml:space="preserve"> до 100</w:t>
            </w:r>
            <w:r w:rsidR="00CE6047" w:rsidRPr="00175F3C">
              <w:t>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100,0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</w:t>
            </w:r>
          </w:p>
        </w:tc>
      </w:tr>
      <w:tr w:rsidR="00C33E83" w:rsidRPr="00175F3C" w:rsidTr="00C33E83"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Более 100</w:t>
            </w:r>
            <w:r w:rsidR="00CE6047" w:rsidRPr="00175F3C">
              <w:t>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100,0</w:t>
            </w:r>
          </w:p>
        </w:tc>
        <w:tc>
          <w:tcPr>
            <w:tcW w:w="3190" w:type="dxa"/>
          </w:tcPr>
          <w:p w:rsidR="004D7386" w:rsidRDefault="00C33E83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3</w:t>
            </w:r>
          </w:p>
        </w:tc>
      </w:tr>
    </w:tbl>
    <w:p w:rsidR="00322991" w:rsidRDefault="00322991" w:rsidP="00256E6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Очистка</w:t>
      </w:r>
      <w:r w:rsidR="004C6DE3" w:rsidRPr="008435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6DE3" w:rsidRPr="00843524" w:rsidRDefault="004C6DE3" w:rsidP="004C6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524">
        <w:rPr>
          <w:rFonts w:ascii="Times New Roman" w:hAnsi="Times New Roman"/>
          <w:color w:val="000000" w:themeColor="text1"/>
          <w:sz w:val="28"/>
          <w:szCs w:val="28"/>
        </w:rPr>
        <w:t>Упаковки очищают от грязи и осколков. Непосредственно перед проведением испытания каждую упаковку наполняют водой до кра</w:t>
      </w:r>
      <w:r w:rsidR="00D43296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843524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65318E" w:rsidRPr="00843524">
        <w:rPr>
          <w:rFonts w:ascii="Times New Roman" w:hAnsi="Times New Roman"/>
          <w:color w:val="000000" w:themeColor="text1"/>
          <w:sz w:val="28"/>
          <w:szCs w:val="28"/>
        </w:rPr>
        <w:t xml:space="preserve"> дают отстояться в течение </w:t>
      </w:r>
      <w:r w:rsidR="00322991">
        <w:rPr>
          <w:rFonts w:ascii="Times New Roman" w:hAnsi="Times New Roman"/>
          <w:color w:val="000000" w:themeColor="text1"/>
          <w:sz w:val="28"/>
          <w:szCs w:val="28"/>
        </w:rPr>
        <w:t>от 15 до 2</w:t>
      </w:r>
      <w:r w:rsidR="0065318E" w:rsidRPr="00843524">
        <w:rPr>
          <w:rFonts w:ascii="Times New Roman" w:hAnsi="Times New Roman"/>
          <w:color w:val="000000" w:themeColor="text1"/>
          <w:sz w:val="28"/>
          <w:szCs w:val="28"/>
        </w:rPr>
        <w:t>5 </w:t>
      </w:r>
      <w:r w:rsidRPr="00843524">
        <w:rPr>
          <w:rFonts w:ascii="Times New Roman" w:hAnsi="Times New Roman"/>
          <w:color w:val="000000" w:themeColor="text1"/>
          <w:sz w:val="28"/>
          <w:szCs w:val="28"/>
        </w:rPr>
        <w:t xml:space="preserve">мин. Воду из упаковок сливают, затем их дважды тщательно промывают водой, один раз водой </w:t>
      </w:r>
      <w:r w:rsidR="00686BDF" w:rsidRPr="00843524">
        <w:rPr>
          <w:rFonts w:ascii="Times New Roman" w:hAnsi="Times New Roman"/>
          <w:color w:val="000000" w:themeColor="text1"/>
          <w:sz w:val="28"/>
          <w:szCs w:val="28"/>
        </w:rPr>
        <w:t>свободной от углерода диоксида</w:t>
      </w:r>
      <w:r w:rsidRPr="00843524">
        <w:rPr>
          <w:rFonts w:ascii="Times New Roman" w:hAnsi="Times New Roman"/>
          <w:color w:val="000000" w:themeColor="text1"/>
          <w:sz w:val="28"/>
          <w:szCs w:val="28"/>
        </w:rPr>
        <w:t xml:space="preserve"> и дают воде стечь.</w:t>
      </w:r>
    </w:p>
    <w:p w:rsidR="004C6DE3" w:rsidRPr="00D43296" w:rsidRDefault="004C6DE3" w:rsidP="004C6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296">
        <w:rPr>
          <w:rFonts w:ascii="Times New Roman" w:hAnsi="Times New Roman"/>
          <w:color w:val="000000" w:themeColor="text1"/>
          <w:sz w:val="28"/>
          <w:szCs w:val="28"/>
        </w:rPr>
        <w:t>Закрытые ампулы не промыва</w:t>
      </w:r>
      <w:r w:rsidR="004D024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F677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43296">
        <w:rPr>
          <w:rFonts w:ascii="Times New Roman" w:hAnsi="Times New Roman"/>
          <w:color w:val="000000" w:themeColor="text1"/>
          <w:sz w:val="28"/>
          <w:szCs w:val="28"/>
        </w:rPr>
        <w:t xml:space="preserve"> перед испытанием. Закрытые ампулы перед открытием </w:t>
      </w:r>
      <w:r w:rsidR="00FF6774">
        <w:rPr>
          <w:rFonts w:ascii="Times New Roman" w:hAnsi="Times New Roman"/>
          <w:color w:val="000000" w:themeColor="text1"/>
          <w:sz w:val="28"/>
          <w:szCs w:val="28"/>
        </w:rPr>
        <w:t>нагревают</w:t>
      </w:r>
      <w:r w:rsidRPr="00D43296">
        <w:rPr>
          <w:rFonts w:ascii="Times New Roman" w:hAnsi="Times New Roman"/>
          <w:color w:val="000000" w:themeColor="text1"/>
          <w:sz w:val="28"/>
          <w:szCs w:val="28"/>
        </w:rPr>
        <w:t xml:space="preserve"> на водяной бане или в сушильном шкафу при </w:t>
      </w:r>
      <w:r w:rsidRPr="00D43296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температуре около 40</w:t>
      </w:r>
      <w:r w:rsidR="0065318E" w:rsidRPr="00D43296">
        <w:rPr>
          <w:rFonts w:ascii="Times New Roman" w:hAnsi="Times New Roman"/>
          <w:color w:val="000000" w:themeColor="text1"/>
          <w:sz w:val="28"/>
          <w:szCs w:val="28"/>
        </w:rPr>
        <w:t> °С в течение около 2 </w:t>
      </w:r>
      <w:r w:rsidRPr="00D43296">
        <w:rPr>
          <w:rFonts w:ascii="Times New Roman" w:hAnsi="Times New Roman"/>
          <w:color w:val="000000" w:themeColor="text1"/>
          <w:sz w:val="28"/>
          <w:szCs w:val="28"/>
        </w:rPr>
        <w:t>мин для выравнивания давления внутри ампул.</w:t>
      </w:r>
    </w:p>
    <w:p w:rsidR="00322991" w:rsidRDefault="00322991" w:rsidP="0032299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Наполнение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70A1" w:rsidRPr="009C3C0E" w:rsidRDefault="004C6DE3" w:rsidP="0032299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Упаковки наполняют водой </w:t>
      </w:r>
      <w:r w:rsidR="00686BDF" w:rsidRPr="009C3C0E">
        <w:rPr>
          <w:rFonts w:ascii="Times New Roman" w:hAnsi="Times New Roman"/>
          <w:color w:val="000000" w:themeColor="text1"/>
          <w:sz w:val="28"/>
          <w:szCs w:val="28"/>
        </w:rPr>
        <w:t>свободной от углерода диоксида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 до соответствующего объ</w:t>
      </w:r>
      <w:r w:rsidR="009C3C0E" w:rsidRPr="009C3C0E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360948">
        <w:rPr>
          <w:rFonts w:ascii="Times New Roman" w:hAnsi="Times New Roman"/>
          <w:color w:val="000000" w:themeColor="text1"/>
          <w:sz w:val="28"/>
          <w:szCs w:val="28"/>
        </w:rPr>
        <w:t xml:space="preserve"> наполнения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>. Упаковки в виде картриджей или шприцов для предварительного заполнения закрывают соответствующим материалом, который не влияет на результаты измерений. Каждая упаковка,</w:t>
      </w:r>
      <w:r w:rsidR="00FF6774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ампулы, неплотно закрывают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 инертными материалами из нейтрального стекла или алюминиевой фольги, предварительно промытыми водой. Бутылки и флаконы закрывают пробками из нейтрального стекла или алюминиевой фольгой, предварительно промытыми водой. Шприцы и картриджи помещают в стакан и накрывают стакан алюминиевой ф</w:t>
      </w:r>
      <w:r w:rsidR="001B5F82" w:rsidRPr="009C3C0E">
        <w:rPr>
          <w:rFonts w:ascii="Times New Roman" w:hAnsi="Times New Roman"/>
          <w:color w:val="000000" w:themeColor="text1"/>
          <w:sz w:val="28"/>
          <w:szCs w:val="28"/>
        </w:rPr>
        <w:t>ольгой. Упаковки вместимостью 2 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>мл и менее, в которых при автоклавировании вода не удерживается в достаточном количестве, закупоре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вают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 подходящим образом, например, пробкой из инертного материала (силикона), фиксируемой плунжером или зажимом. Упаковки помещают на поддон автоклава, загружают в автоклав, содержащий воду, таким образом, чтобы они находились выше уровня воды в автоклаве.</w:t>
      </w:r>
    </w:p>
    <w:p w:rsidR="004D7386" w:rsidRDefault="004C6DE3" w:rsidP="00AF6B02">
      <w:pPr>
        <w:keepNext/>
        <w:spacing w:after="0" w:line="36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41078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Процесс автоклавирования</w:t>
      </w:r>
    </w:p>
    <w:p w:rsidR="004C6DE3" w:rsidRPr="009C3C0E" w:rsidRDefault="004C6DE3" w:rsidP="00AF6B0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Закрывают автоклав </w:t>
      </w:r>
      <w:r w:rsidR="005F67B4" w:rsidRPr="009C3C0E">
        <w:rPr>
          <w:rFonts w:ascii="Times New Roman" w:hAnsi="Times New Roman"/>
          <w:color w:val="000000" w:themeColor="text1"/>
          <w:sz w:val="28"/>
          <w:szCs w:val="28"/>
        </w:rPr>
        <w:t>и выполняют следующие действия: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нагревают автоклав с постоянной скоростью в течен</w:t>
      </w:r>
      <w:r>
        <w:rPr>
          <w:rFonts w:ascii="Times New Roman" w:hAnsi="Times New Roman"/>
          <w:color w:val="000000" w:themeColor="text1"/>
          <w:sz w:val="28"/>
          <w:szCs w:val="28"/>
        </w:rPr>
        <w:t>ие 20-30 мин до температуры 100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ºС;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поддерживают температуру 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99–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 xml:space="preserve">ºС в течение 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9–11</w:t>
      </w:r>
      <w:r w:rsidR="00AF6B0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F67B4" w:rsidRPr="009C3C0E">
        <w:rPr>
          <w:rFonts w:ascii="Times New Roman" w:hAnsi="Times New Roman"/>
          <w:color w:val="000000" w:themeColor="text1"/>
          <w:sz w:val="28"/>
          <w:szCs w:val="28"/>
        </w:rPr>
        <w:t>мин;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повышают температуру от 1</w:t>
      </w:r>
      <w:r>
        <w:rPr>
          <w:rFonts w:ascii="Times New Roman" w:hAnsi="Times New Roman"/>
          <w:color w:val="000000" w:themeColor="text1"/>
          <w:sz w:val="28"/>
          <w:szCs w:val="28"/>
        </w:rPr>
        <w:t>00 ºС до 121 </w:t>
      </w:r>
      <w:r w:rsidR="001B5F82" w:rsidRPr="009C3C0E">
        <w:rPr>
          <w:rFonts w:ascii="Times New Roman" w:hAnsi="Times New Roman"/>
          <w:color w:val="000000" w:themeColor="text1"/>
          <w:sz w:val="28"/>
          <w:szCs w:val="28"/>
        </w:rPr>
        <w:t>ºС в течение 20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B5F82" w:rsidRPr="009C3C0E">
        <w:rPr>
          <w:rFonts w:ascii="Times New Roman" w:hAnsi="Times New Roman"/>
          <w:color w:val="000000" w:themeColor="text1"/>
          <w:sz w:val="28"/>
          <w:szCs w:val="28"/>
        </w:rPr>
        <w:t>22 </w:t>
      </w:r>
      <w:r w:rsidR="005F67B4" w:rsidRPr="009C3C0E">
        <w:rPr>
          <w:rFonts w:ascii="Times New Roman" w:hAnsi="Times New Roman"/>
          <w:color w:val="000000" w:themeColor="text1"/>
          <w:sz w:val="28"/>
          <w:szCs w:val="28"/>
        </w:rPr>
        <w:t>мин;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оддерживают температуру 120–122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ºС в течение </w:t>
      </w:r>
      <w:r w:rsidR="00322991">
        <w:rPr>
          <w:rFonts w:ascii="Times New Roman" w:hAnsi="Times New Roman"/>
          <w:color w:val="000000" w:themeColor="text1"/>
          <w:sz w:val="28"/>
          <w:szCs w:val="28"/>
        </w:rPr>
        <w:t>59–61</w:t>
      </w:r>
      <w:r w:rsidR="00246E51" w:rsidRPr="009C3C0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мин;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46E51" w:rsidRPr="009C3C0E">
        <w:rPr>
          <w:rFonts w:ascii="Times New Roman" w:hAnsi="Times New Roman"/>
          <w:color w:val="000000" w:themeColor="text1"/>
          <w:sz w:val="28"/>
          <w:szCs w:val="28"/>
        </w:rPr>
        <w:t>снижают температуру от 121 ºС до 100 ºС в течение 40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46E51" w:rsidRPr="009C3C0E">
        <w:rPr>
          <w:rFonts w:ascii="Times New Roman" w:hAnsi="Times New Roman"/>
          <w:color w:val="000000" w:themeColor="text1"/>
          <w:sz w:val="28"/>
          <w:szCs w:val="28"/>
        </w:rPr>
        <w:t>44 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мин, избегая при этом образо</w:t>
      </w:r>
      <w:r w:rsidR="005F67B4" w:rsidRPr="009C3C0E">
        <w:rPr>
          <w:rFonts w:ascii="Times New Roman" w:hAnsi="Times New Roman"/>
          <w:color w:val="000000" w:themeColor="text1"/>
          <w:sz w:val="28"/>
          <w:szCs w:val="28"/>
        </w:rPr>
        <w:t>вания вакуума;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автоклав не открывают, пока вода в упаков</w:t>
      </w:r>
      <w:r w:rsidR="00246E51" w:rsidRPr="009C3C0E">
        <w:rPr>
          <w:rFonts w:ascii="Times New Roman" w:hAnsi="Times New Roman"/>
          <w:color w:val="000000" w:themeColor="text1"/>
          <w:sz w:val="28"/>
          <w:szCs w:val="28"/>
        </w:rPr>
        <w:t>ках не достигнет температуры 95 </w:t>
      </w:r>
      <w:r w:rsidR="005F67B4" w:rsidRPr="009C3C0E">
        <w:rPr>
          <w:rFonts w:ascii="Times New Roman" w:hAnsi="Times New Roman"/>
          <w:color w:val="000000" w:themeColor="text1"/>
          <w:sz w:val="28"/>
          <w:szCs w:val="28"/>
        </w:rPr>
        <w:t>°C;</w:t>
      </w:r>
    </w:p>
    <w:p w:rsidR="004C6DE3" w:rsidRPr="009C3C0E" w:rsidRDefault="0022364C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упаковки вынимают из автоклава с соблюдением обычных мер предосторожности, охлаждают до ком</w:t>
      </w:r>
      <w:r w:rsidR="001B5F82" w:rsidRPr="009C3C0E">
        <w:rPr>
          <w:rFonts w:ascii="Times New Roman" w:hAnsi="Times New Roman"/>
          <w:color w:val="000000" w:themeColor="text1"/>
          <w:sz w:val="28"/>
          <w:szCs w:val="28"/>
        </w:rPr>
        <w:t>натной температуры в течение 30 </w:t>
      </w:r>
      <w:r w:rsidR="005F67B4" w:rsidRPr="009C3C0E">
        <w:rPr>
          <w:rFonts w:ascii="Times New Roman" w:hAnsi="Times New Roman"/>
          <w:color w:val="000000" w:themeColor="text1"/>
          <w:sz w:val="28"/>
          <w:szCs w:val="28"/>
        </w:rPr>
        <w:t>мин.</w:t>
      </w:r>
    </w:p>
    <w:p w:rsidR="004C6DE3" w:rsidRPr="009C3C0E" w:rsidRDefault="004C6DE3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3C0E">
        <w:rPr>
          <w:rFonts w:ascii="Times New Roman" w:hAnsi="Times New Roman"/>
          <w:color w:val="000000" w:themeColor="text1"/>
          <w:sz w:val="28"/>
          <w:szCs w:val="28"/>
        </w:rPr>
        <w:t>Перед первым использованием автоклав и системы измерения температуры калибруют, чтобы гарантировать тем</w:t>
      </w:r>
      <w:r w:rsidR="0022364C">
        <w:rPr>
          <w:rFonts w:ascii="Times New Roman" w:hAnsi="Times New Roman"/>
          <w:color w:val="000000" w:themeColor="text1"/>
          <w:sz w:val="28"/>
          <w:szCs w:val="28"/>
        </w:rPr>
        <w:t>пературу внутри упаковок 12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0–122</w:t>
      </w:r>
      <w:r w:rsidR="0022364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C3C0E">
        <w:rPr>
          <w:rFonts w:ascii="Times New Roman" w:hAnsi="Times New Roman"/>
          <w:color w:val="000000" w:themeColor="text1"/>
          <w:sz w:val="28"/>
          <w:szCs w:val="28"/>
        </w:rPr>
        <w:t>ºС.</w:t>
      </w:r>
    </w:p>
    <w:p w:rsidR="004C6DE3" w:rsidRDefault="001C311E" w:rsidP="00256E65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311E">
        <w:rPr>
          <w:rFonts w:ascii="Times New Roman" w:hAnsi="Times New Roman"/>
          <w:color w:val="000000" w:themeColor="text1"/>
          <w:sz w:val="28"/>
          <w:szCs w:val="28"/>
        </w:rPr>
        <w:t>Примечание</w:t>
      </w:r>
      <w:r w:rsidR="00BC14EC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1E4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огут наблюдаться значительные различия между температурой в автоклаве и температурой внутри упаковок.</w:t>
      </w:r>
    </w:p>
    <w:p w:rsidR="004C6DE3" w:rsidRPr="002370EB" w:rsidRDefault="00031775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Испытуемые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 xml:space="preserve"> растворы анализируют пут</w:t>
      </w:r>
      <w:r w:rsidR="00BC14EC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4C6DE3" w:rsidRPr="009C3C0E">
        <w:rPr>
          <w:rFonts w:ascii="Times New Roman" w:hAnsi="Times New Roman"/>
          <w:color w:val="000000" w:themeColor="text1"/>
          <w:sz w:val="28"/>
          <w:szCs w:val="28"/>
        </w:rPr>
        <w:t>м титрования в соответств</w:t>
      </w:r>
      <w:r w:rsidR="003A60B8">
        <w:rPr>
          <w:rFonts w:ascii="Times New Roman" w:hAnsi="Times New Roman"/>
          <w:color w:val="000000" w:themeColor="text1"/>
          <w:sz w:val="28"/>
          <w:szCs w:val="28"/>
        </w:rPr>
        <w:t>ии с методикой, описанной ниже.</w:t>
      </w:r>
    </w:p>
    <w:p w:rsidR="002370EB" w:rsidRPr="002370EB" w:rsidRDefault="002370EB" w:rsidP="00221E4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9E6">
        <w:rPr>
          <w:rFonts w:ascii="Times New Roman" w:hAnsi="Times New Roman"/>
          <w:color w:val="000000" w:themeColor="text1"/>
          <w:sz w:val="28"/>
          <w:szCs w:val="28"/>
        </w:rPr>
        <w:t>В случае упаковки из стекла,</w:t>
      </w:r>
      <w:r w:rsidR="00177104" w:rsidRPr="00B969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69E6">
        <w:rPr>
          <w:rFonts w:ascii="Times New Roman" w:hAnsi="Times New Roman"/>
          <w:color w:val="000000" w:themeColor="text1"/>
          <w:sz w:val="28"/>
          <w:szCs w:val="28"/>
        </w:rPr>
        <w:t>произвед</w:t>
      </w:r>
      <w:r w:rsidR="00BC14EC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B969E6">
        <w:rPr>
          <w:rFonts w:ascii="Times New Roman" w:hAnsi="Times New Roman"/>
          <w:color w:val="000000" w:themeColor="text1"/>
          <w:sz w:val="28"/>
          <w:szCs w:val="28"/>
        </w:rPr>
        <w:t>нной для водных лекарственных препаратов</w:t>
      </w:r>
      <w:r w:rsidR="00177104" w:rsidRPr="00B969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69E6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2A79CF" w:rsidRPr="00B969E6">
        <w:rPr>
          <w:rFonts w:ascii="Times New Roman" w:hAnsi="Times New Roman"/>
          <w:color w:val="000000" w:themeColor="text1"/>
          <w:sz w:val="28"/>
          <w:szCs w:val="28"/>
        </w:rPr>
        <w:t>парентерального</w:t>
      </w:r>
      <w:r w:rsidRPr="00B969E6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применения</w:t>
      </w:r>
      <w:r w:rsidR="002A79CF" w:rsidRPr="00B969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969E6">
        <w:rPr>
          <w:rFonts w:ascii="Times New Roman" w:hAnsi="Times New Roman"/>
          <w:color w:val="000000" w:themeColor="text1"/>
          <w:sz w:val="28"/>
          <w:szCs w:val="28"/>
        </w:rPr>
        <w:t xml:space="preserve"> экстракционный раствор подвергается определению мышьяка в соответствии с ОФС «</w:t>
      </w:r>
      <w:r w:rsidR="00177104" w:rsidRPr="00B969E6">
        <w:rPr>
          <w:rFonts w:ascii="Times New Roman" w:hAnsi="Times New Roman"/>
          <w:color w:val="000000" w:themeColor="text1"/>
          <w:sz w:val="28"/>
          <w:szCs w:val="28"/>
        </w:rPr>
        <w:t>Упаковка для фармацевтического применения из стекла».</w:t>
      </w:r>
    </w:p>
    <w:p w:rsidR="00463653" w:rsidRDefault="00463653" w:rsidP="004C6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Методика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6DE3" w:rsidRPr="003A60B8" w:rsidRDefault="001B5F82" w:rsidP="004C6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0B8">
        <w:rPr>
          <w:rFonts w:ascii="Times New Roman" w:hAnsi="Times New Roman"/>
          <w:color w:val="000000" w:themeColor="text1"/>
          <w:sz w:val="28"/>
          <w:szCs w:val="28"/>
        </w:rPr>
        <w:t>Титрование проводят в течение 1 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>ч после изъятия упа</w:t>
      </w:r>
      <w:r w:rsidR="00463653">
        <w:rPr>
          <w:rFonts w:ascii="Times New Roman" w:hAnsi="Times New Roman"/>
          <w:color w:val="000000" w:themeColor="text1"/>
          <w:sz w:val="28"/>
          <w:szCs w:val="28"/>
        </w:rPr>
        <w:t>ковок из автоклава. Испытуем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>ые растворы, полученные из упаковок, объединяют и перемешивают. Необходимый объ</w:t>
      </w:r>
      <w:r w:rsidR="00463653">
        <w:rPr>
          <w:rFonts w:ascii="Times New Roman" w:hAnsi="Times New Roman"/>
          <w:color w:val="000000" w:themeColor="text1"/>
          <w:sz w:val="28"/>
          <w:szCs w:val="28"/>
        </w:rPr>
        <w:t>ём испытуемого раствора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 xml:space="preserve"> (табл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>1) помещают в коническую колбу. Во вторую аналогичную колбу добавляют такой же объ</w:t>
      </w:r>
      <w:r w:rsidR="005C6977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м воды </w:t>
      </w:r>
      <w:r w:rsidR="007641BB" w:rsidRPr="00843524">
        <w:rPr>
          <w:rFonts w:ascii="Times New Roman" w:hAnsi="Times New Roman"/>
          <w:color w:val="000000" w:themeColor="text1"/>
          <w:sz w:val="28"/>
          <w:szCs w:val="28"/>
        </w:rPr>
        <w:t>свободной от углерода диоксида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(контрольный раствор)</w:t>
      </w:r>
      <w:r w:rsidRPr="003A60B8">
        <w:rPr>
          <w:rFonts w:ascii="Times New Roman" w:hAnsi="Times New Roman"/>
          <w:color w:val="000000" w:themeColor="text1"/>
          <w:sz w:val="28"/>
          <w:szCs w:val="28"/>
        </w:rPr>
        <w:t>. В каждую колбу добавляют 0,05 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мл раствора </w:t>
      </w:r>
      <w:r w:rsidR="0010389B" w:rsidRPr="003A60B8">
        <w:rPr>
          <w:rFonts w:ascii="Times New Roman" w:hAnsi="Times New Roman"/>
          <w:color w:val="000000" w:themeColor="text1"/>
          <w:sz w:val="28"/>
          <w:szCs w:val="28"/>
        </w:rPr>
        <w:t>метилового красного раствор 0,05 % на каждые 25 </w:t>
      </w:r>
      <w:r w:rsidR="00031775">
        <w:rPr>
          <w:rFonts w:ascii="Times New Roman" w:hAnsi="Times New Roman"/>
          <w:color w:val="000000" w:themeColor="text1"/>
          <w:sz w:val="28"/>
          <w:szCs w:val="28"/>
        </w:rPr>
        <w:t>мл раствора</w:t>
      </w:r>
      <w:r w:rsidR="00976C56" w:rsidRPr="003A60B8">
        <w:rPr>
          <w:rFonts w:ascii="Times New Roman" w:hAnsi="Times New Roman"/>
          <w:color w:val="000000" w:themeColor="text1"/>
          <w:sz w:val="28"/>
          <w:szCs w:val="28"/>
        </w:rPr>
        <w:t>. Конт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рольный раствор </w:t>
      </w:r>
      <w:r w:rsidR="004C6DE3" w:rsidRPr="00907E50">
        <w:rPr>
          <w:rFonts w:ascii="Times New Roman" w:hAnsi="Times New Roman"/>
          <w:color w:val="000000" w:themeColor="text1"/>
          <w:sz w:val="28"/>
          <w:szCs w:val="28"/>
        </w:rPr>
        <w:t>титруют</w:t>
      </w:r>
      <w:r w:rsidR="00BC0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3653" w:rsidRPr="00907E50">
        <w:rPr>
          <w:rFonts w:ascii="Times New Roman" w:eastAsia="TimesNewRoman,Bold" w:hAnsi="Times New Roman"/>
          <w:bCs/>
          <w:sz w:val="28"/>
          <w:szCs w:val="28"/>
        </w:rPr>
        <w:t xml:space="preserve">0,01 М </w:t>
      </w:r>
      <w:r w:rsidR="00463653">
        <w:rPr>
          <w:rFonts w:ascii="Times New Roman" w:eastAsia="TimesNewRoman,Bold" w:hAnsi="Times New Roman"/>
          <w:bCs/>
          <w:sz w:val="28"/>
          <w:szCs w:val="28"/>
        </w:rPr>
        <w:t>раствором хлористоводородной кислоты</w:t>
      </w:r>
      <w:r w:rsidR="00907E50">
        <w:rPr>
          <w:rFonts w:ascii="Times New Roman" w:eastAsia="TimesNewRoman,Bold" w:hAnsi="Times New Roman"/>
          <w:sz w:val="28"/>
          <w:szCs w:val="28"/>
        </w:rPr>
        <w:t>.</w:t>
      </w:r>
      <w:r w:rsidR="007339A6">
        <w:rPr>
          <w:rFonts w:ascii="Times New Roman" w:hAnsi="Times New Roman"/>
          <w:color w:val="000000" w:themeColor="text1"/>
          <w:sz w:val="28"/>
          <w:szCs w:val="28"/>
        </w:rPr>
        <w:t xml:space="preserve"> Испытуемый раствор 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титруют </w:t>
      </w:r>
      <w:r w:rsidR="00AB26F3">
        <w:rPr>
          <w:rFonts w:ascii="Times New Roman" w:hAnsi="Times New Roman"/>
          <w:color w:val="000000" w:themeColor="text1"/>
          <w:sz w:val="28"/>
          <w:szCs w:val="28"/>
        </w:rPr>
        <w:t>тем же титрантом</w:t>
      </w:r>
      <w:r w:rsidR="004C6DE3" w:rsidRPr="003A60B8">
        <w:rPr>
          <w:rFonts w:ascii="Times New Roman" w:hAnsi="Times New Roman"/>
          <w:color w:val="000000" w:themeColor="text1"/>
          <w:sz w:val="28"/>
          <w:szCs w:val="28"/>
        </w:rPr>
        <w:t xml:space="preserve"> до окраски контрольного раствора. Разница 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>между объ</w:t>
      </w:r>
      <w:r w:rsidR="005C6977" w:rsidRPr="007339A6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>мами титрант</w:t>
      </w:r>
      <w:r w:rsidRPr="007339A6">
        <w:rPr>
          <w:rFonts w:ascii="Times New Roman" w:hAnsi="Times New Roman"/>
          <w:color w:val="000000" w:themeColor="text1"/>
          <w:sz w:val="28"/>
          <w:szCs w:val="28"/>
        </w:rPr>
        <w:t xml:space="preserve">а выражается в </w:t>
      </w:r>
      <w:r w:rsidR="00907E50" w:rsidRPr="007339A6">
        <w:rPr>
          <w:rFonts w:ascii="Times New Roman" w:hAnsi="Times New Roman"/>
          <w:color w:val="000000" w:themeColor="text1"/>
          <w:sz w:val="28"/>
          <w:szCs w:val="28"/>
        </w:rPr>
        <w:t>мл</w:t>
      </w:r>
      <w:r w:rsidRPr="00733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39A6" w:rsidRPr="00907E50">
        <w:rPr>
          <w:rFonts w:ascii="Times New Roman" w:eastAsia="TimesNewRoman,Bold" w:hAnsi="Times New Roman"/>
          <w:bCs/>
          <w:sz w:val="28"/>
          <w:szCs w:val="28"/>
        </w:rPr>
        <w:t xml:space="preserve">0,01 М </w:t>
      </w:r>
      <w:r w:rsidR="007339A6">
        <w:rPr>
          <w:rFonts w:ascii="Times New Roman" w:eastAsia="TimesNewRoman,Bold" w:hAnsi="Times New Roman"/>
          <w:bCs/>
          <w:sz w:val="28"/>
          <w:szCs w:val="28"/>
        </w:rPr>
        <w:t>раствора хлористоводородной кислоты</w:t>
      </w:r>
      <w:r w:rsidR="00BC04CB" w:rsidRPr="007339A6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>на 10</w:t>
      </w:r>
      <w:r w:rsidRPr="007339A6">
        <w:rPr>
          <w:rFonts w:ascii="Times New Roman" w:hAnsi="Times New Roman"/>
          <w:color w:val="000000" w:themeColor="text1"/>
          <w:sz w:val="28"/>
          <w:szCs w:val="28"/>
        </w:rPr>
        <w:t>0 </w:t>
      </w:r>
      <w:r w:rsidR="0010389B" w:rsidRPr="007339A6">
        <w:rPr>
          <w:rFonts w:ascii="Times New Roman" w:hAnsi="Times New Roman"/>
          <w:color w:val="000000" w:themeColor="text1"/>
          <w:sz w:val="28"/>
          <w:szCs w:val="28"/>
        </w:rPr>
        <w:t>мл. Объ</w:t>
      </w:r>
      <w:r w:rsidR="00BC14EC" w:rsidRPr="007339A6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10389B" w:rsidRPr="007339A6">
        <w:rPr>
          <w:rFonts w:ascii="Times New Roman" w:hAnsi="Times New Roman"/>
          <w:color w:val="000000" w:themeColor="text1"/>
          <w:sz w:val="28"/>
          <w:szCs w:val="28"/>
        </w:rPr>
        <w:t>м титранта меньше 1,0 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 xml:space="preserve">мл указывают с точностью до </w:t>
      </w:r>
      <w:r w:rsidR="0046124F" w:rsidRPr="007339A6">
        <w:rPr>
          <w:rFonts w:ascii="Times New Roman" w:hAnsi="Times New Roman"/>
          <w:color w:val="000000" w:themeColor="text1"/>
          <w:sz w:val="28"/>
          <w:szCs w:val="28"/>
        </w:rPr>
        <w:t>0,01</w:t>
      </w:r>
      <w:r w:rsidR="00BC14EC" w:rsidRPr="007339A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5AA5" w:rsidRPr="007339A6">
        <w:rPr>
          <w:rFonts w:ascii="Times New Roman" w:hAnsi="Times New Roman"/>
          <w:color w:val="000000" w:themeColor="text1"/>
          <w:sz w:val="28"/>
          <w:szCs w:val="28"/>
        </w:rPr>
        <w:t>мл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>, а объ</w:t>
      </w:r>
      <w:r w:rsidR="00BC14EC" w:rsidRPr="007339A6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0389B" w:rsidRPr="007339A6">
        <w:rPr>
          <w:rFonts w:ascii="Times New Roman" w:hAnsi="Times New Roman"/>
          <w:color w:val="000000" w:themeColor="text1"/>
          <w:sz w:val="28"/>
          <w:szCs w:val="28"/>
        </w:rPr>
        <w:t xml:space="preserve"> титранта больше или равный 1,0 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 xml:space="preserve">мл указывают с точностью </w:t>
      </w:r>
      <w:r w:rsidR="0046124F" w:rsidRPr="007339A6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BC14EC" w:rsidRPr="007339A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5AA5" w:rsidRPr="007339A6">
        <w:rPr>
          <w:rFonts w:ascii="Times New Roman" w:hAnsi="Times New Roman"/>
          <w:color w:val="000000" w:themeColor="text1"/>
          <w:sz w:val="28"/>
          <w:szCs w:val="28"/>
        </w:rPr>
        <w:t>мл</w:t>
      </w:r>
      <w:r w:rsidR="004C6DE3" w:rsidRPr="007339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39A6" w:rsidRDefault="00224687" w:rsidP="004C6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Допустимые нормы</w:t>
      </w:r>
      <w:r w:rsidR="004C6DE3" w:rsidRPr="007641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6DE3" w:rsidRPr="007641BB" w:rsidRDefault="004C6DE3" w:rsidP="004C6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41BB">
        <w:rPr>
          <w:rFonts w:ascii="Times New Roman" w:hAnsi="Times New Roman"/>
          <w:color w:val="000000" w:themeColor="text1"/>
          <w:sz w:val="28"/>
          <w:szCs w:val="28"/>
        </w:rPr>
        <w:t>Полученные результаты не должны превышать значени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й, приведё</w:t>
      </w:r>
      <w:r w:rsidR="007339A6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7641BB" w:rsidRPr="007641BB">
        <w:rPr>
          <w:rFonts w:ascii="Times New Roman" w:hAnsi="Times New Roman"/>
          <w:color w:val="000000" w:themeColor="text1"/>
          <w:sz w:val="28"/>
          <w:szCs w:val="28"/>
        </w:rPr>
        <w:t xml:space="preserve"> в табл</w:t>
      </w:r>
      <w:r w:rsidR="00256E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41BB" w:rsidRPr="007641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41BB">
        <w:rPr>
          <w:rFonts w:ascii="Times New Roman" w:hAnsi="Times New Roman"/>
          <w:color w:val="000000" w:themeColor="text1"/>
          <w:sz w:val="28"/>
          <w:szCs w:val="28"/>
        </w:rPr>
        <w:t>3.</w:t>
      </w:r>
    </w:p>
    <w:p w:rsidR="004C6DE3" w:rsidRPr="00E42675" w:rsidRDefault="001C311E" w:rsidP="00256E65">
      <w:pPr>
        <w:pStyle w:val="Default"/>
        <w:keepNext/>
        <w:spacing w:before="240" w:after="120"/>
        <w:rPr>
          <w:sz w:val="28"/>
          <w:szCs w:val="28"/>
        </w:rPr>
      </w:pPr>
      <w:r w:rsidRPr="001C311E">
        <w:rPr>
          <w:sz w:val="28"/>
          <w:szCs w:val="28"/>
        </w:rPr>
        <w:lastRenderedPageBreak/>
        <w:t>Таблица 3 – Допустимые нормы при испытании поверхностной гидролитической устойчивости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E6FFF" w:rsidRPr="00175F3C" w:rsidTr="004C6DE3">
        <w:tc>
          <w:tcPr>
            <w:tcW w:w="3190" w:type="dxa"/>
            <w:vMerge w:val="restart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  <w:color w:val="000000" w:themeColor="text1"/>
                <w:highlight w:val="yellow"/>
              </w:rPr>
            </w:pPr>
            <w:r w:rsidRPr="00175F3C">
              <w:rPr>
                <w:b/>
                <w:bCs/>
              </w:rPr>
              <w:t>Объ</w:t>
            </w:r>
            <w:r w:rsidR="00224687" w:rsidRPr="00175F3C">
              <w:rPr>
                <w:b/>
                <w:bCs/>
              </w:rPr>
              <w:t>ё</w:t>
            </w:r>
            <w:r w:rsidRPr="00175F3C">
              <w:rPr>
                <w:b/>
                <w:bCs/>
              </w:rPr>
              <w:t>м наполнения (мл)</w:t>
            </w:r>
          </w:p>
        </w:tc>
        <w:tc>
          <w:tcPr>
            <w:tcW w:w="6380" w:type="dxa"/>
            <w:gridSpan w:val="2"/>
          </w:tcPr>
          <w:p w:rsidR="004D7386" w:rsidRDefault="00B05286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Максимальный объ</w:t>
            </w:r>
            <w:r w:rsidR="00224687" w:rsidRPr="00175F3C">
              <w:rPr>
                <w:b/>
                <w:bCs/>
              </w:rPr>
              <w:t>ё</w:t>
            </w:r>
            <w:r w:rsidR="007339A6">
              <w:rPr>
                <w:b/>
                <w:bCs/>
              </w:rPr>
              <w:t>м 0,01 </w:t>
            </w:r>
            <w:r w:rsidR="007339A6" w:rsidRPr="007339A6">
              <w:rPr>
                <w:b/>
                <w:bCs/>
              </w:rPr>
              <w:t xml:space="preserve">М </w:t>
            </w:r>
            <w:r w:rsidR="007339A6" w:rsidRPr="007339A6">
              <w:rPr>
                <w:rFonts w:eastAsia="TimesNewRoman,Bold"/>
                <w:b/>
                <w:bCs/>
              </w:rPr>
              <w:t>раствора хлористоводородной кислоты</w:t>
            </w:r>
            <w:r w:rsidRPr="007339A6">
              <w:rPr>
                <w:b/>
                <w:bCs/>
              </w:rPr>
              <w:t xml:space="preserve"> </w:t>
            </w:r>
            <w:r w:rsidRPr="00175F3C">
              <w:rPr>
                <w:b/>
                <w:bCs/>
              </w:rPr>
              <w:t>на 100 </w:t>
            </w:r>
            <w:r w:rsidR="007339A6">
              <w:rPr>
                <w:b/>
                <w:bCs/>
              </w:rPr>
              <w:t>мл испытуемого раствора</w:t>
            </w:r>
            <w:r w:rsidR="003E6FFF" w:rsidRPr="00175F3C">
              <w:rPr>
                <w:b/>
                <w:bCs/>
              </w:rPr>
              <w:t xml:space="preserve"> (мл)</w:t>
            </w:r>
          </w:p>
        </w:tc>
      </w:tr>
      <w:tr w:rsidR="003E6FFF" w:rsidRPr="00175F3C" w:rsidTr="004C6DE3">
        <w:tc>
          <w:tcPr>
            <w:tcW w:w="3190" w:type="dxa"/>
            <w:vMerge/>
          </w:tcPr>
          <w:p w:rsidR="004D7386" w:rsidRDefault="004D7386">
            <w:pPr>
              <w:pStyle w:val="Default"/>
              <w:spacing w:after="120"/>
              <w:jc w:val="center"/>
              <w:rPr>
                <w:rFonts w:eastAsia="Calibri"/>
                <w:color w:val="000000" w:themeColor="text1"/>
                <w:highlight w:val="yellow"/>
              </w:rPr>
            </w:pPr>
          </w:p>
        </w:tc>
        <w:tc>
          <w:tcPr>
            <w:tcW w:w="6380" w:type="dxa"/>
            <w:gridSpan w:val="2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Класс стекла для упаковок</w:t>
            </w:r>
          </w:p>
        </w:tc>
      </w:tr>
      <w:tr w:rsidR="003E6FFF" w:rsidRPr="00175F3C" w:rsidTr="004C6DE3">
        <w:tc>
          <w:tcPr>
            <w:tcW w:w="3190" w:type="dxa"/>
            <w:vMerge/>
          </w:tcPr>
          <w:p w:rsidR="004D7386" w:rsidRDefault="004D7386">
            <w:pPr>
              <w:pStyle w:val="Default"/>
              <w:spacing w:after="120"/>
              <w:jc w:val="center"/>
              <w:rPr>
                <w:rFonts w:eastAsia="Calibri"/>
              </w:rPr>
            </w:pP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  <w:b/>
              </w:rPr>
            </w:pPr>
            <w:r w:rsidRPr="00175F3C">
              <w:rPr>
                <w:b/>
              </w:rPr>
              <w:t>Тип I и II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  <w:b/>
              </w:rPr>
            </w:pPr>
            <w:r w:rsidRPr="00175F3C">
              <w:rPr>
                <w:b/>
              </w:rPr>
              <w:t>Тип III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До 0,5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3,0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30,0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0,5 до 1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2,0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20,0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1 до 2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1,8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17,6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2 до 3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1,6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16,1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3 до 5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1,3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13,2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5 до 10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10,2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10 до 20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0,80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8,1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20 до 50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0,60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6,1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50 до 100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0,50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4,8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100 до 200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0,40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3,8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200 до 500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0,30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2,9</w:t>
            </w:r>
          </w:p>
        </w:tc>
      </w:tr>
      <w:tr w:rsidR="003E6FFF" w:rsidRPr="00175F3C" w:rsidTr="004C6DE3"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Более 500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0,20</w:t>
            </w:r>
          </w:p>
        </w:tc>
        <w:tc>
          <w:tcPr>
            <w:tcW w:w="3190" w:type="dxa"/>
          </w:tcPr>
          <w:p w:rsidR="004D7386" w:rsidRDefault="003E6FFF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2,2</w:t>
            </w:r>
          </w:p>
        </w:tc>
      </w:tr>
    </w:tbl>
    <w:p w:rsidR="001B5F82" w:rsidRPr="00D47D0F" w:rsidRDefault="00185275" w:rsidP="00E80E9C">
      <w:pPr>
        <w:pStyle w:val="Default"/>
        <w:keepNext/>
        <w:spacing w:before="24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</w:t>
      </w:r>
      <w:r w:rsidR="00D47D0F" w:rsidRPr="00D47D0F">
        <w:rPr>
          <w:b/>
          <w:iCs/>
          <w:sz w:val="28"/>
          <w:szCs w:val="28"/>
        </w:rPr>
        <w:t xml:space="preserve"> Б.</w:t>
      </w:r>
      <w:r w:rsidR="00D47D0F">
        <w:rPr>
          <w:b/>
          <w:iCs/>
          <w:sz w:val="28"/>
          <w:szCs w:val="28"/>
        </w:rPr>
        <w:t xml:space="preserve"> Гидролитическая устойчивость</w:t>
      </w:r>
      <w:r w:rsidR="001B5F82">
        <w:rPr>
          <w:i/>
          <w:iCs/>
          <w:sz w:val="23"/>
          <w:szCs w:val="23"/>
        </w:rPr>
        <w:t xml:space="preserve"> </w:t>
      </w:r>
      <w:r w:rsidR="00D47D0F">
        <w:rPr>
          <w:b/>
          <w:iCs/>
          <w:sz w:val="28"/>
          <w:szCs w:val="28"/>
        </w:rPr>
        <w:t>измельч</w:t>
      </w:r>
      <w:r w:rsidR="008A45A8">
        <w:rPr>
          <w:b/>
          <w:iCs/>
          <w:sz w:val="28"/>
          <w:szCs w:val="28"/>
        </w:rPr>
        <w:t>ё</w:t>
      </w:r>
      <w:r w:rsidR="00D47D0F">
        <w:rPr>
          <w:b/>
          <w:iCs/>
          <w:sz w:val="28"/>
          <w:szCs w:val="28"/>
        </w:rPr>
        <w:t>нного в порошок стекла (и</w:t>
      </w:r>
      <w:r w:rsidR="00D47D0F" w:rsidRPr="00D47D0F">
        <w:rPr>
          <w:b/>
          <w:iCs/>
          <w:sz w:val="28"/>
          <w:szCs w:val="28"/>
        </w:rPr>
        <w:t>спытание</w:t>
      </w:r>
      <w:r w:rsidR="00D47D0F">
        <w:rPr>
          <w:b/>
          <w:iCs/>
          <w:sz w:val="28"/>
          <w:szCs w:val="28"/>
        </w:rPr>
        <w:t xml:space="preserve"> измельч</w:t>
      </w:r>
      <w:r w:rsidR="008A45A8">
        <w:rPr>
          <w:b/>
          <w:iCs/>
          <w:sz w:val="28"/>
          <w:szCs w:val="28"/>
        </w:rPr>
        <w:t>ё</w:t>
      </w:r>
      <w:r w:rsidR="00D47D0F">
        <w:rPr>
          <w:b/>
          <w:iCs/>
          <w:sz w:val="28"/>
          <w:szCs w:val="28"/>
        </w:rPr>
        <w:t>нного в порошок стекла)</w:t>
      </w:r>
    </w:p>
    <w:p w:rsidR="001B5F82" w:rsidRPr="007641BB" w:rsidRDefault="001B5F82" w:rsidP="007641B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Проверяют, были ли эти изделия подвергнуты обжигу для получения </w:t>
      </w:r>
      <w:r w:rsid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приемлемого качества.</w:t>
      </w:r>
    </w:p>
    <w:p w:rsidR="001B5F82" w:rsidRPr="008C3872" w:rsidRDefault="008935ED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Испытание 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трубках, используемых для производства упаковок из стекла или на самих упаковках.</w:t>
      </w:r>
    </w:p>
    <w:p w:rsidR="001B5F82" w:rsidRDefault="008C3872" w:rsidP="00467D6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F32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Оборудование</w:t>
      </w:r>
    </w:p>
    <w:p w:rsidR="00AC35DF" w:rsidRPr="00184C93" w:rsidRDefault="00AC35DF" w:rsidP="00AC35D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C93">
        <w:rPr>
          <w:rFonts w:ascii="Times New Roman" w:hAnsi="Times New Roman"/>
          <w:color w:val="000000" w:themeColor="text1"/>
          <w:sz w:val="28"/>
          <w:szCs w:val="28"/>
        </w:rPr>
        <w:t>Ис</w:t>
      </w:r>
      <w:r>
        <w:rPr>
          <w:rFonts w:ascii="Times New Roman" w:hAnsi="Times New Roman"/>
          <w:color w:val="000000" w:themeColor="text1"/>
          <w:sz w:val="28"/>
          <w:szCs w:val="28"/>
        </w:rPr>
        <w:t>пользуемое оборудование включает следующие компоненты:</w:t>
      </w:r>
    </w:p>
    <w:p w:rsidR="001B5F82" w:rsidRPr="008C3872" w:rsidRDefault="00E15265" w:rsidP="00467D6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ступка, пестик (рис.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 молоток из закаленной магнитной стали;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альтернативы ступке, пестику и молотку может быть использована шаровая мельница из агата, диоксида циркония ил</w:t>
      </w:r>
      <w:r w:rsidR="00246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нержавеющей стали объ</w:t>
      </w:r>
      <w:r w:rsidR="00A70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246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 250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мл; исп</w:t>
      </w:r>
      <w:r w:rsidR="00246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ользуются 2 шарика диаметром 40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 или 3 ш</w:t>
      </w:r>
      <w:r w:rsidR="00246E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арика диаметром 30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 из тр</w:t>
      </w:r>
      <w:r w:rsidR="00BC1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сит с квадратными отверстиями из нержавеющей стали, установленных на рамках из того же материала и состоящий из:</w:t>
      </w:r>
    </w:p>
    <w:p w:rsidR="001B5F82" w:rsidRPr="00C6028D" w:rsidRDefault="001B5F82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(а) </w:t>
      </w:r>
      <w:r w:rsidRPr="00C60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сита номер 710;</w:t>
      </w:r>
    </w:p>
    <w:p w:rsidR="001B5F82" w:rsidRPr="00C6028D" w:rsidRDefault="001B5F82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(б) сита номер 425;</w:t>
      </w:r>
    </w:p>
    <w:p w:rsidR="001B5F82" w:rsidRPr="008C3872" w:rsidRDefault="001B5F82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(в) сита номер 300;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просеивания стекла использ</w:t>
      </w:r>
      <w:r w:rsidR="00893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уют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механический просеиватель или просеивающую машину.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постоянный магнит;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металлическая фольга (например, алюминий, нержавеющая сталь);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сушильный шкаф, способный п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оддерживать температуру 135–</w:t>
      </w:r>
      <w:r w:rsidR="001E7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145</w:t>
      </w:r>
      <w:r w:rsidR="00535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ºС;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35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эксикатор;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весы для взвешивания до 500</w:t>
      </w:r>
      <w:r w:rsidR="00535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 с точностью 0,005 </w:t>
      </w:r>
      <w:r w:rsidR="001B5F8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г;</w:t>
      </w:r>
    </w:p>
    <w:p w:rsidR="001B5F82" w:rsidRPr="008C3872" w:rsidRDefault="00E15265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35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ультразвуковая баня.</w:t>
      </w:r>
    </w:p>
    <w:p w:rsidR="007339A6" w:rsidRDefault="001B5F82" w:rsidP="008C3872">
      <w:pPr>
        <w:spacing w:after="0" w:line="360" w:lineRule="auto"/>
        <w:ind w:firstLine="709"/>
        <w:jc w:val="both"/>
        <w:rPr>
          <w:b/>
          <w:bCs/>
          <w:sz w:val="23"/>
          <w:szCs w:val="23"/>
        </w:rPr>
      </w:pPr>
      <w:r w:rsidRPr="008A45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Методика</w:t>
      </w:r>
      <w:r w:rsidRPr="007641BB">
        <w:rPr>
          <w:b/>
          <w:bCs/>
          <w:sz w:val="23"/>
          <w:szCs w:val="23"/>
        </w:rPr>
        <w:t xml:space="preserve"> </w:t>
      </w:r>
    </w:p>
    <w:p w:rsidR="001B5F82" w:rsidRPr="008C3872" w:rsidRDefault="001B5F82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Испытуемые упаковки промывают водой и высушивают в сушильном шкафу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получения двух о</w:t>
      </w:r>
      <w:r w:rsidR="00D47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бразцов стекла массой около 100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каждый, не менее тр</w:t>
      </w:r>
      <w:r w:rsid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упаковок заворачивают в чистую бумагу и разбивают молотком таким образом, чтобы получить осколки 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размерами, не превышающими 30 </w:t>
      </w:r>
      <w:r w:rsid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мм.</w:t>
      </w:r>
    </w:p>
    <w:p w:rsidR="001B5F82" w:rsidRPr="008C3872" w:rsidRDefault="001B5F82" w:rsidP="00E9497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использовании ступки, пестика и молотка пос</w:t>
      </w:r>
      <w:r w:rsidR="00893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тупают следующим образом: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30–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одного обр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азца с осколками размером 10</w:t>
      </w:r>
      <w:r w:rsidR="002E6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 переносят в ступку, ставят пестик и сильно ударяют один раз молотком. Содержимое ступки переносят на большее сито (а) из комплекта. Операцию повторяют несколько раз, пока все осколки не будут перенесены на сито</w:t>
      </w:r>
      <w:r w:rsid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94973" w:rsidRP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Встрях</w:t>
      </w:r>
      <w:r w:rsidR="00733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ивают</w:t>
      </w:r>
      <w:r w:rsidR="00E94973" w:rsidRP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комплект сит в течение короткого времени и удал</w:t>
      </w:r>
      <w:r w:rsidR="00733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яют</w:t>
      </w:r>
      <w:r w:rsidR="00E94973" w:rsidRP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стекло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оставше</w:t>
      </w:r>
      <w:r w:rsid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на ситах (а) и (б). Затем </w:t>
      </w:r>
      <w:r w:rsid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E94973" w:rsidRP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одверг</w:t>
      </w:r>
      <w:r w:rsidR="00733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</w:t>
      </w:r>
      <w:r w:rsidR="00E94973" w:rsidRPr="00E94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порции дальнейшему дроблению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повторяя операции до тех пор, пока на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сите (а) не останется около 10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 стекла. Выбрасывают эту часть и часть, проходящую через сито (в). Встря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хивают комплект сит в течение 5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мин.</w:t>
      </w:r>
    </w:p>
    <w:p w:rsidR="008C3872" w:rsidRPr="008C3872" w:rsidRDefault="00557CC4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Переносят в бюкс</w:t>
      </w:r>
      <w:r w:rsidR="008C387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стеклянных осколков, проходящих через сит</w:t>
      </w:r>
      <w:r w:rsidR="00F55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(б) и оставшихся на сите (в).</w:t>
      </w:r>
    </w:p>
    <w:p w:rsidR="008C3872" w:rsidRPr="008C3872" w:rsidRDefault="008C3872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использовании шаровой мельницы поступаю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следующим образом. К около 50 г осколков размером 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10–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30 </w:t>
      </w:r>
      <w:r w:rsidR="00315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мм, взятых из 1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образца, добавляют шарики и измельчают тонкостенно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стекло (толщина стенки до 1,5 мм) в течение 2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 и толстостенное с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текло (толщина стенки более 1,5 мм) в течение 5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мин. Переносят стекло в си</w:t>
      </w:r>
      <w:r w:rsidR="0039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(а), просеивают в течение 30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 собирают оставшуюся часть на сите (в). Переносят стекло из сит</w:t>
      </w:r>
      <w:r w:rsidR="00893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(a) и (б) в шаровую мельницу и снова измельчают и просеивают, как указано выше. Объединяют все части, оставшиеся на сите (в).</w:t>
      </w:r>
    </w:p>
    <w:p w:rsidR="008C3872" w:rsidRDefault="008C3872" w:rsidP="008C387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Повторяют операцию измельчения и просеивания со вторым образцом</w:t>
      </w:r>
      <w:r w:rsidR="00403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93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аким образом</w:t>
      </w:r>
      <w:r w:rsidR="00315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3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получают 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обр</w:t>
      </w:r>
      <w:r w:rsidR="00F55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азца, каждый массой не менее 10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Каждый образец выкладывают на чистую глянцевую бумагу и удаляют </w:t>
      </w:r>
      <w:r w:rsidR="00F55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стеклянных осколков любые ме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таллические примеси, проводя над ними магнитом. Образцы стекла переносят в стакан, добавляют </w:t>
      </w:r>
      <w:r w:rsidR="00A70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 ацетона и очищают осколки с помощью стеклянной палочки, покрытой резиной или пластиком. Затем дают отстояться и декантируют </w:t>
      </w:r>
      <w:r w:rsidR="00A70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слой ацетона. Прибавляют еще 30 </w:t>
      </w:r>
      <w:r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 ацетона, встряхивают, сливают и прибавл</w:t>
      </w:r>
      <w:r w:rsidR="00A70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яют новую порцию 30 </w:t>
      </w:r>
      <w:r w:rsidR="00764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 ацетона.</w:t>
      </w:r>
    </w:p>
    <w:p w:rsidR="004D7386" w:rsidRDefault="008C387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7063" cy="3354779"/>
            <wp:effectExtent l="19050" t="0" r="6987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23" cy="335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86" w:rsidRDefault="00586553" w:rsidP="00256E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Рисунок </w:t>
      </w:r>
      <w:r w:rsidR="008C3872" w:rsidRPr="008C3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˗ Прибо</w:t>
      </w:r>
      <w:r w:rsidR="00C72C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 для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измельчения стекла</w:t>
      </w:r>
    </w:p>
    <w:p w:rsidR="004D7386" w:rsidRDefault="00C72C43" w:rsidP="00256E65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Размеры в </w:t>
      </w:r>
      <w:r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миллиметрах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3872" w:rsidRPr="008C3872" w:rsidRDefault="008C3872" w:rsidP="006574C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C3872">
        <w:rPr>
          <w:rFonts w:eastAsia="Times New Roman"/>
          <w:sz w:val="28"/>
          <w:szCs w:val="28"/>
          <w:lang w:eastAsia="ru-RU"/>
        </w:rPr>
        <w:lastRenderedPageBreak/>
        <w:t>Ультразвуковую баню наполняют водой комнатной температуры, помещают стаканы с образцами стекла и закрепляют так, чтобы уровень воды был на уровне аце</w:t>
      </w:r>
      <w:r w:rsidR="00A70EC2">
        <w:rPr>
          <w:rFonts w:eastAsia="Times New Roman"/>
          <w:sz w:val="28"/>
          <w:szCs w:val="28"/>
          <w:lang w:eastAsia="ru-RU"/>
        </w:rPr>
        <w:t>тона и обрабатывают в течение 1 </w:t>
      </w:r>
      <w:r w:rsidRPr="008C3872">
        <w:rPr>
          <w:rFonts w:eastAsia="Times New Roman"/>
          <w:sz w:val="28"/>
          <w:szCs w:val="28"/>
          <w:lang w:eastAsia="ru-RU"/>
        </w:rPr>
        <w:t>мин. Жидкость в стаканах отстаивают, максимально сли</w:t>
      </w:r>
      <w:r w:rsidR="00A70EC2">
        <w:rPr>
          <w:rFonts w:eastAsia="Times New Roman"/>
          <w:sz w:val="28"/>
          <w:szCs w:val="28"/>
          <w:lang w:eastAsia="ru-RU"/>
        </w:rPr>
        <w:t>вают ацетон, затем добавляют 30 </w:t>
      </w:r>
      <w:r w:rsidRPr="008C3872">
        <w:rPr>
          <w:rFonts w:eastAsia="Times New Roman"/>
          <w:sz w:val="28"/>
          <w:szCs w:val="28"/>
          <w:lang w:eastAsia="ru-RU"/>
        </w:rPr>
        <w:t>мл ацетона и повторно обрабатывают на ультразвуковой бане. Промывание ацетоном проводят до тех пор, пока раствор не станет прозрачным. Затем ацетон декантируют, выпаривают</w:t>
      </w:r>
      <w:r w:rsidR="00687D18">
        <w:rPr>
          <w:rFonts w:eastAsia="Times New Roman"/>
          <w:sz w:val="28"/>
          <w:szCs w:val="28"/>
          <w:lang w:eastAsia="ru-RU"/>
        </w:rPr>
        <w:t xml:space="preserve">, </w:t>
      </w:r>
      <w:r w:rsidRPr="008C3872">
        <w:rPr>
          <w:rFonts w:eastAsia="Times New Roman"/>
          <w:sz w:val="28"/>
          <w:szCs w:val="28"/>
          <w:lang w:eastAsia="ru-RU"/>
        </w:rPr>
        <w:t xml:space="preserve">стеклянные осколки сушат в сушильном шкафу при </w:t>
      </w:r>
      <w:r w:rsidR="00467D6E">
        <w:rPr>
          <w:rFonts w:eastAsia="Times New Roman"/>
          <w:sz w:val="28"/>
          <w:szCs w:val="28"/>
          <w:lang w:eastAsia="ru-RU"/>
        </w:rPr>
        <w:t>температуре 140 </w:t>
      </w:r>
      <w:r w:rsidR="00965A66">
        <w:rPr>
          <w:rFonts w:eastAsia="Times New Roman"/>
          <w:sz w:val="28"/>
          <w:szCs w:val="28"/>
          <w:lang w:eastAsia="ru-RU"/>
        </w:rPr>
        <w:t>ºС в течение 20</w:t>
      </w:r>
      <w:r w:rsidR="00467D6E">
        <w:rPr>
          <w:rFonts w:eastAsia="Times New Roman"/>
          <w:sz w:val="28"/>
          <w:szCs w:val="28"/>
          <w:lang w:eastAsia="ru-RU"/>
        </w:rPr>
        <w:t> </w:t>
      </w:r>
      <w:r w:rsidR="00965A66">
        <w:rPr>
          <w:rFonts w:eastAsia="Times New Roman"/>
          <w:sz w:val="28"/>
          <w:szCs w:val="28"/>
          <w:lang w:eastAsia="ru-RU"/>
        </w:rPr>
        <w:t> </w:t>
      </w:r>
      <w:r w:rsidRPr="008C3872">
        <w:rPr>
          <w:rFonts w:eastAsia="Times New Roman"/>
          <w:sz w:val="28"/>
          <w:szCs w:val="28"/>
          <w:lang w:eastAsia="ru-RU"/>
        </w:rPr>
        <w:t xml:space="preserve">мин. Высушенные осколки стекла из каждого стакана помещают раздельно во взвешенные бюксы, закрывают крышками и охлаждают в </w:t>
      </w:r>
      <w:r w:rsidR="00692165">
        <w:rPr>
          <w:rFonts w:eastAsia="Times New Roman"/>
          <w:sz w:val="28"/>
          <w:szCs w:val="28"/>
          <w:lang w:eastAsia="ru-RU"/>
        </w:rPr>
        <w:t>эксикаторе. Взвешивают по 10</w:t>
      </w:r>
      <w:r w:rsidR="00467D6E">
        <w:rPr>
          <w:rFonts w:eastAsia="Times New Roman"/>
          <w:sz w:val="28"/>
          <w:szCs w:val="28"/>
          <w:lang w:eastAsia="ru-RU"/>
        </w:rPr>
        <w:t> </w:t>
      </w:r>
      <w:r w:rsidR="00692165">
        <w:rPr>
          <w:rFonts w:eastAsia="Times New Roman"/>
          <w:sz w:val="28"/>
          <w:szCs w:val="28"/>
          <w:lang w:eastAsia="ru-RU"/>
        </w:rPr>
        <w:t> </w:t>
      </w:r>
      <w:r w:rsidRPr="008C3872">
        <w:rPr>
          <w:rFonts w:eastAsia="Times New Roman"/>
          <w:sz w:val="28"/>
          <w:szCs w:val="28"/>
          <w:lang w:eastAsia="ru-RU"/>
        </w:rPr>
        <w:t>г высушенных стеклянных осколков, помещают в две кон</w:t>
      </w:r>
      <w:r w:rsidR="00467D6E">
        <w:rPr>
          <w:rFonts w:eastAsia="Times New Roman"/>
          <w:sz w:val="28"/>
          <w:szCs w:val="28"/>
          <w:lang w:eastAsia="ru-RU"/>
        </w:rPr>
        <w:t>ические колбы, прибавляют по 50 </w:t>
      </w:r>
      <w:r w:rsidRPr="008C3872">
        <w:rPr>
          <w:rFonts w:eastAsia="Times New Roman"/>
          <w:sz w:val="28"/>
          <w:szCs w:val="28"/>
          <w:lang w:eastAsia="ru-RU"/>
        </w:rPr>
        <w:t xml:space="preserve">мл воды </w:t>
      </w:r>
      <w:r w:rsidR="00692165" w:rsidRPr="00843524">
        <w:rPr>
          <w:color w:val="000000" w:themeColor="text1"/>
          <w:sz w:val="28"/>
          <w:szCs w:val="28"/>
        </w:rPr>
        <w:t xml:space="preserve">свободной от углерода диоксида </w:t>
      </w:r>
      <w:r w:rsidRPr="008C3872">
        <w:rPr>
          <w:rFonts w:eastAsia="Times New Roman"/>
          <w:sz w:val="28"/>
          <w:szCs w:val="28"/>
          <w:lang w:eastAsia="ru-RU"/>
        </w:rPr>
        <w:t>с помощью пипетки (испытуемые растворы). В третью</w:t>
      </w:r>
      <w:r w:rsidR="00467D6E">
        <w:rPr>
          <w:rFonts w:eastAsia="Times New Roman"/>
          <w:sz w:val="28"/>
          <w:szCs w:val="28"/>
          <w:lang w:eastAsia="ru-RU"/>
        </w:rPr>
        <w:t xml:space="preserve"> коническую колбу прибавляют 50 м</w:t>
      </w:r>
      <w:r w:rsidRPr="008C3872">
        <w:rPr>
          <w:rFonts w:eastAsia="Times New Roman"/>
          <w:sz w:val="28"/>
          <w:szCs w:val="28"/>
          <w:lang w:eastAsia="ru-RU"/>
        </w:rPr>
        <w:t xml:space="preserve">л воды </w:t>
      </w:r>
      <w:r w:rsidR="00AA6B65" w:rsidRPr="00843524">
        <w:rPr>
          <w:color w:val="000000" w:themeColor="text1"/>
          <w:sz w:val="28"/>
          <w:szCs w:val="28"/>
        </w:rPr>
        <w:t>свободной от углерода диоксида</w:t>
      </w:r>
      <w:r w:rsidRPr="008C3872">
        <w:rPr>
          <w:rFonts w:eastAsia="Times New Roman"/>
          <w:sz w:val="28"/>
          <w:szCs w:val="28"/>
          <w:lang w:eastAsia="ru-RU"/>
        </w:rPr>
        <w:t xml:space="preserve"> (контрольный раствор). Стеклянные осколки равномерно распределяют на дне колбы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C3872">
        <w:rPr>
          <w:rFonts w:eastAsia="Times New Roman"/>
          <w:sz w:val="28"/>
          <w:szCs w:val="28"/>
          <w:lang w:eastAsia="ru-RU"/>
        </w:rPr>
        <w:t>осторожным встряхиванием. Колбы закрывают пробками и</w:t>
      </w:r>
      <w:r w:rsidR="00692165">
        <w:rPr>
          <w:rFonts w:eastAsia="Times New Roman"/>
          <w:sz w:val="28"/>
          <w:szCs w:val="28"/>
          <w:lang w:eastAsia="ru-RU"/>
        </w:rPr>
        <w:t>з нейтрального стекла или алюми</w:t>
      </w:r>
      <w:r w:rsidRPr="008C3872">
        <w:rPr>
          <w:rFonts w:eastAsia="Times New Roman"/>
          <w:sz w:val="28"/>
          <w:szCs w:val="28"/>
          <w:lang w:eastAsia="ru-RU"/>
        </w:rPr>
        <w:t>ниевой фольгой, промытыми водой или перевернутыми стаканами так, чтобы внутренняя часть стакана плотно прилегала к горловине колбы. Колбы помещают в автоклав с водой комнатной температуры так, чтобы уровень воды в колбе был выше, чем в автоклаве и выде</w:t>
      </w:r>
      <w:r w:rsidR="00344510">
        <w:rPr>
          <w:rFonts w:eastAsia="Times New Roman"/>
          <w:sz w:val="28"/>
          <w:szCs w:val="28"/>
          <w:lang w:eastAsia="ru-RU"/>
        </w:rPr>
        <w:t>рживают при температуре 120</w:t>
      </w:r>
      <w:r w:rsidR="00344510">
        <w:rPr>
          <w:color w:val="000000" w:themeColor="text1"/>
          <w:sz w:val="28"/>
          <w:szCs w:val="28"/>
        </w:rPr>
        <w:t>–122</w:t>
      </w:r>
      <w:r w:rsidR="004F7ED4">
        <w:rPr>
          <w:rFonts w:eastAsia="Times New Roman"/>
          <w:sz w:val="28"/>
          <w:szCs w:val="28"/>
          <w:lang w:eastAsia="ru-RU"/>
        </w:rPr>
        <w:t> ºС в течение 30 </w:t>
      </w:r>
      <w:r w:rsidRPr="008C3872">
        <w:rPr>
          <w:rFonts w:eastAsia="Times New Roman"/>
          <w:sz w:val="28"/>
          <w:szCs w:val="28"/>
          <w:lang w:eastAsia="ru-RU"/>
        </w:rPr>
        <w:t xml:space="preserve">мин, выполняя те же операции, что и при проведении </w:t>
      </w:r>
      <w:r w:rsidR="00344510">
        <w:rPr>
          <w:rFonts w:eastAsia="Times New Roman"/>
          <w:sz w:val="28"/>
          <w:szCs w:val="28"/>
          <w:lang w:eastAsia="ru-RU"/>
        </w:rPr>
        <w:t>испытания</w:t>
      </w:r>
      <w:r w:rsidR="00AF66AC">
        <w:rPr>
          <w:rFonts w:eastAsia="Times New Roman"/>
          <w:sz w:val="28"/>
          <w:szCs w:val="28"/>
          <w:lang w:eastAsia="ru-RU"/>
        </w:rPr>
        <w:t xml:space="preserve"> </w:t>
      </w:r>
      <w:r w:rsidR="00185275">
        <w:rPr>
          <w:rFonts w:eastAsia="Times New Roman"/>
          <w:sz w:val="28"/>
          <w:szCs w:val="28"/>
          <w:lang w:eastAsia="ru-RU"/>
        </w:rPr>
        <w:t xml:space="preserve">методом </w:t>
      </w:r>
      <w:r w:rsidRPr="008C3872">
        <w:rPr>
          <w:rFonts w:eastAsia="Times New Roman"/>
          <w:sz w:val="28"/>
          <w:szCs w:val="28"/>
          <w:lang w:eastAsia="ru-RU"/>
        </w:rPr>
        <w:t>А на поверхностную гидролитическую устойчивость. Автоклав не открывают, пок</w:t>
      </w:r>
      <w:r w:rsidR="00AF66AC">
        <w:rPr>
          <w:rFonts w:eastAsia="Times New Roman"/>
          <w:sz w:val="28"/>
          <w:szCs w:val="28"/>
          <w:lang w:eastAsia="ru-RU"/>
        </w:rPr>
        <w:t>а температура не снизится до 95 </w:t>
      </w:r>
      <w:r w:rsidRPr="008C3872">
        <w:rPr>
          <w:rFonts w:eastAsia="Times New Roman"/>
          <w:sz w:val="28"/>
          <w:szCs w:val="28"/>
          <w:lang w:eastAsia="ru-RU"/>
        </w:rPr>
        <w:t>ºС. Колбы вынимают из автоклава и сразу охлаждают под проточной водопроводной водой.</w:t>
      </w:r>
    </w:p>
    <w:p w:rsidR="008C3872" w:rsidRPr="00F9490E" w:rsidRDefault="000D1E23" w:rsidP="006574CB">
      <w:pPr>
        <w:pStyle w:val="Default"/>
        <w:spacing w:line="36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каждую колбу добавляют 0,05 </w:t>
      </w:r>
      <w:r w:rsidR="008C3872" w:rsidRPr="008C3872">
        <w:rPr>
          <w:rFonts w:eastAsia="Times New Roman"/>
          <w:sz w:val="28"/>
          <w:szCs w:val="28"/>
          <w:lang w:eastAsia="ru-RU"/>
        </w:rPr>
        <w:t>м</w:t>
      </w:r>
      <w:r w:rsidR="00AF66AC">
        <w:rPr>
          <w:rFonts w:eastAsia="Times New Roman"/>
          <w:sz w:val="28"/>
          <w:szCs w:val="28"/>
          <w:lang w:eastAsia="ru-RU"/>
        </w:rPr>
        <w:t xml:space="preserve">л метилового красного </w:t>
      </w:r>
      <w:r w:rsidR="005E674D">
        <w:rPr>
          <w:rFonts w:eastAsia="Times New Roman"/>
          <w:sz w:val="28"/>
          <w:szCs w:val="28"/>
          <w:lang w:eastAsia="ru-RU"/>
        </w:rPr>
        <w:t>раствор 0,05 %</w:t>
      </w:r>
      <w:r>
        <w:rPr>
          <w:rFonts w:eastAsia="Times New Roman"/>
          <w:sz w:val="28"/>
          <w:szCs w:val="28"/>
          <w:lang w:eastAsia="ru-RU"/>
        </w:rPr>
        <w:t xml:space="preserve"> и немедленно титруют</w:t>
      </w:r>
      <w:r w:rsidR="00214F5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0,02 </w:t>
      </w:r>
      <w:r w:rsidR="008C3872" w:rsidRPr="008C3872">
        <w:rPr>
          <w:rFonts w:eastAsia="Times New Roman"/>
          <w:sz w:val="28"/>
          <w:szCs w:val="28"/>
          <w:lang w:eastAsia="ru-RU"/>
        </w:rPr>
        <w:t xml:space="preserve">М </w:t>
      </w:r>
      <w:r w:rsidR="00214F56">
        <w:rPr>
          <w:rFonts w:eastAsia="Times New Roman"/>
          <w:sz w:val="28"/>
          <w:szCs w:val="28"/>
          <w:lang w:eastAsia="ru-RU"/>
        </w:rPr>
        <w:t xml:space="preserve">раствором </w:t>
      </w:r>
      <w:r w:rsidR="008C3872" w:rsidRPr="008C3872">
        <w:rPr>
          <w:rFonts w:eastAsia="Times New Roman"/>
          <w:sz w:val="28"/>
          <w:szCs w:val="28"/>
          <w:lang w:eastAsia="ru-RU"/>
        </w:rPr>
        <w:t>хлор</w:t>
      </w:r>
      <w:r w:rsidR="00214F56">
        <w:rPr>
          <w:rFonts w:eastAsia="Times New Roman"/>
          <w:sz w:val="28"/>
          <w:szCs w:val="28"/>
          <w:lang w:eastAsia="ru-RU"/>
        </w:rPr>
        <w:t>истоводородной кислоты</w:t>
      </w:r>
      <w:r w:rsidR="008C3872" w:rsidRPr="008C3872">
        <w:rPr>
          <w:rFonts w:eastAsia="Times New Roman"/>
          <w:sz w:val="28"/>
          <w:szCs w:val="28"/>
          <w:lang w:eastAsia="ru-RU"/>
        </w:rPr>
        <w:t xml:space="preserve"> в первую очередь контрольный раствор. Испытуемые растворы титруют</w:t>
      </w:r>
      <w:r w:rsidR="00654FE5">
        <w:rPr>
          <w:rFonts w:eastAsia="Times New Roman"/>
          <w:sz w:val="28"/>
          <w:szCs w:val="28"/>
          <w:lang w:eastAsia="ru-RU"/>
        </w:rPr>
        <w:t xml:space="preserve"> тем же титрантом</w:t>
      </w:r>
      <w:r w:rsidR="008C3872" w:rsidRPr="008C3872">
        <w:rPr>
          <w:rFonts w:eastAsia="Times New Roman"/>
          <w:sz w:val="28"/>
          <w:szCs w:val="28"/>
          <w:lang w:eastAsia="ru-RU"/>
        </w:rPr>
        <w:t xml:space="preserve"> до</w:t>
      </w:r>
      <w:r w:rsidR="00654FE5">
        <w:rPr>
          <w:rFonts w:eastAsia="Times New Roman"/>
          <w:sz w:val="28"/>
          <w:szCs w:val="28"/>
          <w:lang w:eastAsia="ru-RU"/>
        </w:rPr>
        <w:t xml:space="preserve"> </w:t>
      </w:r>
      <w:r w:rsidR="00E15265">
        <w:rPr>
          <w:rFonts w:eastAsia="Times New Roman"/>
          <w:sz w:val="28"/>
          <w:szCs w:val="28"/>
          <w:lang w:eastAsia="ru-RU"/>
        </w:rPr>
        <w:t xml:space="preserve">появления жёлтой окраски. </w:t>
      </w:r>
      <w:r w:rsidR="008C3872" w:rsidRPr="008C3872">
        <w:rPr>
          <w:rFonts w:eastAsia="Times New Roman"/>
          <w:sz w:val="28"/>
          <w:szCs w:val="28"/>
          <w:lang w:eastAsia="ru-RU"/>
        </w:rPr>
        <w:t xml:space="preserve">Вычисляют </w:t>
      </w:r>
      <w:r w:rsidR="008C3872" w:rsidRPr="008C3872">
        <w:rPr>
          <w:rFonts w:eastAsia="Times New Roman"/>
          <w:sz w:val="28"/>
          <w:szCs w:val="28"/>
          <w:lang w:eastAsia="ru-RU"/>
        </w:rPr>
        <w:lastRenderedPageBreak/>
        <w:t>разницу между объ</w:t>
      </w:r>
      <w:r w:rsidR="00BC14EC">
        <w:rPr>
          <w:rFonts w:eastAsia="Times New Roman"/>
          <w:sz w:val="28"/>
          <w:szCs w:val="28"/>
          <w:lang w:eastAsia="ru-RU"/>
        </w:rPr>
        <w:t>ё</w:t>
      </w:r>
      <w:r w:rsidR="008C3872" w:rsidRPr="008C3872">
        <w:rPr>
          <w:rFonts w:eastAsia="Times New Roman"/>
          <w:sz w:val="28"/>
          <w:szCs w:val="28"/>
          <w:lang w:eastAsia="ru-RU"/>
        </w:rPr>
        <w:t>мами титранта испытуемого раствора и контрольного раствора.</w:t>
      </w:r>
    </w:p>
    <w:p w:rsidR="008C3872" w:rsidRDefault="001C311E" w:rsidP="00C17176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311E">
        <w:rPr>
          <w:rFonts w:eastAsia="Times New Roman"/>
          <w:sz w:val="28"/>
          <w:szCs w:val="28"/>
          <w:lang w:eastAsia="ru-RU"/>
        </w:rPr>
        <w:t>Примечание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 </w:t>
      </w:r>
      <w:r w:rsidR="00BC14EC">
        <w:rPr>
          <w:rFonts w:eastAsia="Times New Roman"/>
          <w:sz w:val="28"/>
          <w:szCs w:val="28"/>
          <w:lang w:eastAsia="ru-RU"/>
        </w:rPr>
        <w:t xml:space="preserve">– </w:t>
      </w:r>
      <w:r w:rsidR="008C3872" w:rsidRPr="001A611F">
        <w:rPr>
          <w:rFonts w:eastAsia="Times New Roman"/>
          <w:sz w:val="28"/>
          <w:szCs w:val="28"/>
          <w:lang w:eastAsia="ru-RU"/>
        </w:rPr>
        <w:t>для точного установления конеч</w:t>
      </w:r>
      <w:r w:rsidR="00344510">
        <w:rPr>
          <w:rFonts w:eastAsia="Times New Roman"/>
          <w:sz w:val="28"/>
          <w:szCs w:val="28"/>
          <w:lang w:eastAsia="ru-RU"/>
        </w:rPr>
        <w:t xml:space="preserve">ной точки титрования </w:t>
      </w:r>
      <w:r w:rsidR="008C3872" w:rsidRPr="001A611F">
        <w:rPr>
          <w:rFonts w:eastAsia="Times New Roman"/>
          <w:sz w:val="28"/>
          <w:szCs w:val="28"/>
          <w:lang w:eastAsia="ru-RU"/>
        </w:rPr>
        <w:t>надосадочную жидкость декантир</w:t>
      </w:r>
      <w:r w:rsidR="00344510">
        <w:rPr>
          <w:rFonts w:eastAsia="Times New Roman"/>
          <w:sz w:val="28"/>
          <w:szCs w:val="28"/>
          <w:lang w:eastAsia="ru-RU"/>
        </w:rPr>
        <w:t>уют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 в о</w:t>
      </w:r>
      <w:r w:rsidR="000D1E23" w:rsidRPr="001A611F">
        <w:rPr>
          <w:rFonts w:eastAsia="Times New Roman"/>
          <w:sz w:val="28"/>
          <w:szCs w:val="28"/>
          <w:lang w:eastAsia="ru-RU"/>
        </w:rPr>
        <w:t>тдельную колбу вместимостью 250 </w:t>
      </w:r>
      <w:r w:rsidR="008C3872" w:rsidRPr="001A611F">
        <w:rPr>
          <w:rFonts w:eastAsia="Times New Roman"/>
          <w:sz w:val="28"/>
          <w:szCs w:val="28"/>
          <w:lang w:eastAsia="ru-RU"/>
        </w:rPr>
        <w:t>мл; стеклянные осколки в каждой пробе промы</w:t>
      </w:r>
      <w:r w:rsidR="00344510">
        <w:rPr>
          <w:rFonts w:eastAsia="Times New Roman"/>
          <w:sz w:val="28"/>
          <w:szCs w:val="28"/>
          <w:lang w:eastAsia="ru-RU"/>
        </w:rPr>
        <w:t>вают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 круг</w:t>
      </w:r>
      <w:r w:rsidR="001A611F">
        <w:rPr>
          <w:rFonts w:eastAsia="Times New Roman"/>
          <w:sz w:val="28"/>
          <w:szCs w:val="28"/>
          <w:lang w:eastAsia="ru-RU"/>
        </w:rPr>
        <w:t>овыми движениями три раза по 15 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мл водой </w:t>
      </w:r>
      <w:r w:rsidR="000D1E23" w:rsidRPr="001A611F">
        <w:rPr>
          <w:rFonts w:eastAsia="Times New Roman"/>
          <w:sz w:val="28"/>
          <w:szCs w:val="28"/>
          <w:lang w:eastAsia="ru-RU"/>
        </w:rPr>
        <w:t>свободной от углерода диоксида</w:t>
      </w:r>
      <w:r w:rsidR="008C3872" w:rsidRPr="001A611F">
        <w:rPr>
          <w:rFonts w:eastAsia="Times New Roman"/>
          <w:sz w:val="28"/>
          <w:szCs w:val="28"/>
          <w:lang w:eastAsia="ru-RU"/>
        </w:rPr>
        <w:t>, добавляя промывные воды к основному раствору. К испытуемым растворам и контрольн</w:t>
      </w:r>
      <w:r w:rsidR="000D1E23" w:rsidRPr="001A611F">
        <w:rPr>
          <w:rFonts w:eastAsia="Times New Roman"/>
          <w:sz w:val="28"/>
          <w:szCs w:val="28"/>
          <w:lang w:eastAsia="ru-RU"/>
        </w:rPr>
        <w:t>ому раствору прибавляют по 0,05 </w:t>
      </w:r>
      <w:r w:rsidR="008C3872" w:rsidRPr="001A611F">
        <w:rPr>
          <w:rFonts w:eastAsia="Times New Roman"/>
          <w:sz w:val="28"/>
          <w:szCs w:val="28"/>
          <w:lang w:eastAsia="ru-RU"/>
        </w:rPr>
        <w:t>м</w:t>
      </w:r>
      <w:r w:rsidR="000D1E23" w:rsidRPr="001A611F">
        <w:rPr>
          <w:rFonts w:eastAsia="Times New Roman"/>
          <w:sz w:val="28"/>
          <w:szCs w:val="28"/>
          <w:lang w:eastAsia="ru-RU"/>
        </w:rPr>
        <w:t>л метилового красного раствора</w:t>
      </w:r>
      <w:r w:rsidR="008C3872" w:rsidRPr="001A611F">
        <w:rPr>
          <w:rFonts w:eastAsia="Times New Roman"/>
          <w:sz w:val="28"/>
          <w:szCs w:val="28"/>
          <w:lang w:eastAsia="ru-RU"/>
        </w:rPr>
        <w:t>. Титруют и рассчитывают, как описано ниже</w:t>
      </w:r>
      <w:r w:rsidR="00344510">
        <w:rPr>
          <w:rFonts w:eastAsia="Times New Roman"/>
          <w:sz w:val="28"/>
          <w:szCs w:val="28"/>
          <w:lang w:eastAsia="ru-RU"/>
        </w:rPr>
        <w:t xml:space="preserve">. В контрольный раствор </w:t>
      </w:r>
      <w:r w:rsidR="008C3872" w:rsidRPr="001A611F">
        <w:rPr>
          <w:rFonts w:eastAsia="Times New Roman"/>
          <w:sz w:val="28"/>
          <w:szCs w:val="28"/>
          <w:lang w:eastAsia="ru-RU"/>
        </w:rPr>
        <w:t>прибав</w:t>
      </w:r>
      <w:r w:rsidR="00344510">
        <w:rPr>
          <w:rFonts w:eastAsia="Times New Roman"/>
          <w:sz w:val="28"/>
          <w:szCs w:val="28"/>
          <w:lang w:eastAsia="ru-RU"/>
        </w:rPr>
        <w:t>ляют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 также </w:t>
      </w:r>
      <w:r w:rsidR="001A611F">
        <w:rPr>
          <w:rFonts w:eastAsia="Times New Roman"/>
          <w:sz w:val="28"/>
          <w:szCs w:val="28"/>
          <w:lang w:eastAsia="ru-RU"/>
        </w:rPr>
        <w:t>45 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мл воды </w:t>
      </w:r>
      <w:r w:rsidR="000D1E23" w:rsidRPr="001A611F">
        <w:rPr>
          <w:rFonts w:eastAsia="Times New Roman"/>
          <w:sz w:val="28"/>
          <w:szCs w:val="28"/>
          <w:lang w:eastAsia="ru-RU"/>
        </w:rPr>
        <w:t>свободной от углерода диоксида</w:t>
      </w:r>
      <w:r w:rsidR="001A611F">
        <w:rPr>
          <w:rFonts w:eastAsia="Times New Roman"/>
          <w:sz w:val="28"/>
          <w:szCs w:val="28"/>
          <w:lang w:eastAsia="ru-RU"/>
        </w:rPr>
        <w:t xml:space="preserve"> и 0,05 </w:t>
      </w:r>
      <w:r w:rsidR="008C3872" w:rsidRPr="001A611F">
        <w:rPr>
          <w:rFonts w:eastAsia="Times New Roman"/>
          <w:sz w:val="28"/>
          <w:szCs w:val="28"/>
          <w:lang w:eastAsia="ru-RU"/>
        </w:rPr>
        <w:t xml:space="preserve">мл </w:t>
      </w:r>
      <w:r w:rsidR="00C312FD">
        <w:rPr>
          <w:rFonts w:eastAsia="Times New Roman"/>
          <w:sz w:val="28"/>
          <w:szCs w:val="28"/>
          <w:lang w:eastAsia="ru-RU"/>
        </w:rPr>
        <w:t>метилового красного раствор 0,05 %</w:t>
      </w:r>
      <w:r w:rsidR="000D1E23" w:rsidRPr="001A611F">
        <w:rPr>
          <w:rFonts w:eastAsia="Times New Roman"/>
          <w:sz w:val="28"/>
          <w:szCs w:val="28"/>
          <w:lang w:eastAsia="ru-RU"/>
        </w:rPr>
        <w:t>.</w:t>
      </w:r>
    </w:p>
    <w:p w:rsidR="008C3872" w:rsidRPr="008C3872" w:rsidRDefault="008C3872" w:rsidP="00256E65">
      <w:pPr>
        <w:pStyle w:val="Default"/>
        <w:spacing w:before="12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C3872">
        <w:rPr>
          <w:rFonts w:eastAsia="Times New Roman"/>
          <w:sz w:val="28"/>
          <w:szCs w:val="28"/>
          <w:lang w:eastAsia="ru-RU"/>
        </w:rPr>
        <w:t xml:space="preserve">Рассчитывают среднее значение в </w:t>
      </w:r>
      <w:r w:rsidR="00687D18">
        <w:rPr>
          <w:rFonts w:eastAsia="Times New Roman"/>
          <w:sz w:val="28"/>
          <w:szCs w:val="28"/>
          <w:lang w:eastAsia="ru-RU"/>
        </w:rPr>
        <w:t>мл</w:t>
      </w:r>
      <w:r w:rsidR="000D1E23">
        <w:rPr>
          <w:rFonts w:eastAsia="Times New Roman"/>
          <w:sz w:val="28"/>
          <w:szCs w:val="28"/>
          <w:lang w:eastAsia="ru-RU"/>
        </w:rPr>
        <w:t xml:space="preserve"> </w:t>
      </w:r>
      <w:r w:rsidR="00344510">
        <w:rPr>
          <w:rFonts w:eastAsia="Times New Roman"/>
          <w:sz w:val="28"/>
          <w:szCs w:val="28"/>
          <w:lang w:eastAsia="ru-RU"/>
        </w:rPr>
        <w:t>0,02 </w:t>
      </w:r>
      <w:r w:rsidR="00344510" w:rsidRPr="008C3872">
        <w:rPr>
          <w:rFonts w:eastAsia="Times New Roman"/>
          <w:sz w:val="28"/>
          <w:szCs w:val="28"/>
          <w:lang w:eastAsia="ru-RU"/>
        </w:rPr>
        <w:t>М</w:t>
      </w:r>
      <w:r w:rsidR="00344510">
        <w:rPr>
          <w:rFonts w:eastAsia="TimesNewRoman,Bold"/>
          <w:sz w:val="28"/>
          <w:szCs w:val="28"/>
        </w:rPr>
        <w:t xml:space="preserve"> раствора </w:t>
      </w:r>
      <w:r w:rsidR="00D34DDA" w:rsidRPr="008C3872">
        <w:rPr>
          <w:rFonts w:eastAsia="Times New Roman"/>
          <w:sz w:val="28"/>
          <w:szCs w:val="28"/>
          <w:lang w:eastAsia="ru-RU"/>
        </w:rPr>
        <w:t>хлор</w:t>
      </w:r>
      <w:r w:rsidR="00D34DDA">
        <w:rPr>
          <w:rFonts w:eastAsia="Times New Roman"/>
          <w:sz w:val="28"/>
          <w:szCs w:val="28"/>
          <w:lang w:eastAsia="ru-RU"/>
        </w:rPr>
        <w:t>истоводородной кислоты</w:t>
      </w:r>
      <w:r w:rsidR="00A70EC2">
        <w:rPr>
          <w:rFonts w:eastAsia="TimesNewRoman,Bold"/>
          <w:sz w:val="28"/>
          <w:szCs w:val="28"/>
        </w:rPr>
        <w:t xml:space="preserve"> </w:t>
      </w:r>
      <w:r w:rsidRPr="008C3872">
        <w:rPr>
          <w:rFonts w:eastAsia="Times New Roman"/>
          <w:sz w:val="28"/>
          <w:szCs w:val="28"/>
          <w:lang w:eastAsia="ru-RU"/>
        </w:rPr>
        <w:t xml:space="preserve">на </w:t>
      </w:r>
      <w:r w:rsidR="006574CB">
        <w:rPr>
          <w:rFonts w:eastAsia="Times New Roman"/>
          <w:sz w:val="28"/>
          <w:szCs w:val="28"/>
          <w:lang w:eastAsia="ru-RU"/>
        </w:rPr>
        <w:t>1 </w:t>
      </w:r>
      <w:r w:rsidR="00687D18">
        <w:rPr>
          <w:rFonts w:eastAsia="Times New Roman"/>
          <w:sz w:val="28"/>
          <w:szCs w:val="28"/>
          <w:lang w:eastAsia="ru-RU"/>
        </w:rPr>
        <w:t>г</w:t>
      </w:r>
      <w:r w:rsidRPr="008C3872">
        <w:rPr>
          <w:rFonts w:eastAsia="Times New Roman"/>
          <w:sz w:val="28"/>
          <w:szCs w:val="28"/>
          <w:lang w:eastAsia="ru-RU"/>
        </w:rPr>
        <w:t xml:space="preserve"> образца результатов тр</w:t>
      </w:r>
      <w:r w:rsidR="000F4215">
        <w:rPr>
          <w:rFonts w:eastAsia="Times New Roman"/>
          <w:sz w:val="28"/>
          <w:szCs w:val="28"/>
          <w:lang w:eastAsia="ru-RU"/>
        </w:rPr>
        <w:t>ё</w:t>
      </w:r>
      <w:r w:rsidRPr="008C3872">
        <w:rPr>
          <w:rFonts w:eastAsia="Times New Roman"/>
          <w:sz w:val="28"/>
          <w:szCs w:val="28"/>
          <w:lang w:eastAsia="ru-RU"/>
        </w:rPr>
        <w:t>х определений. Отклонение каждого определения от среднего з</w:t>
      </w:r>
      <w:r w:rsidR="000D1E23">
        <w:rPr>
          <w:rFonts w:eastAsia="Times New Roman"/>
          <w:sz w:val="28"/>
          <w:szCs w:val="28"/>
          <w:lang w:eastAsia="ru-RU"/>
        </w:rPr>
        <w:t>начения не должно превышать ±10 </w:t>
      </w:r>
      <w:r w:rsidRPr="008C3872">
        <w:rPr>
          <w:rFonts w:eastAsia="Times New Roman"/>
          <w:sz w:val="28"/>
          <w:szCs w:val="28"/>
          <w:lang w:eastAsia="ru-RU"/>
        </w:rPr>
        <w:t xml:space="preserve">% </w:t>
      </w:r>
      <w:r w:rsidR="00210CF9">
        <w:rPr>
          <w:rFonts w:eastAsia="Times New Roman"/>
          <w:sz w:val="28"/>
          <w:szCs w:val="28"/>
          <w:lang w:eastAsia="ru-RU"/>
        </w:rPr>
        <w:t>–</w:t>
      </w:r>
      <w:r w:rsidRPr="008C3872">
        <w:rPr>
          <w:rFonts w:eastAsia="Times New Roman"/>
          <w:sz w:val="28"/>
          <w:szCs w:val="28"/>
          <w:lang w:eastAsia="ru-RU"/>
        </w:rPr>
        <w:t xml:space="preserve"> </w:t>
      </w:r>
      <w:r w:rsidR="000D1E23">
        <w:rPr>
          <w:rFonts w:eastAsia="Times New Roman"/>
          <w:sz w:val="28"/>
          <w:szCs w:val="28"/>
          <w:lang w:eastAsia="ru-RU"/>
        </w:rPr>
        <w:t xml:space="preserve">для стекла </w:t>
      </w:r>
      <w:r w:rsidR="00210CF9">
        <w:rPr>
          <w:rFonts w:eastAsia="Times New Roman"/>
          <w:sz w:val="28"/>
          <w:szCs w:val="28"/>
          <w:lang w:eastAsia="ru-RU"/>
        </w:rPr>
        <w:t>т</w:t>
      </w:r>
      <w:r w:rsidR="000D1E23">
        <w:rPr>
          <w:rFonts w:eastAsia="Times New Roman"/>
          <w:sz w:val="28"/>
          <w:szCs w:val="28"/>
          <w:lang w:eastAsia="ru-RU"/>
        </w:rPr>
        <w:t xml:space="preserve">ипа I и </w:t>
      </w:r>
      <w:r w:rsidR="00210CF9">
        <w:rPr>
          <w:rFonts w:eastAsia="Times New Roman"/>
          <w:sz w:val="28"/>
          <w:szCs w:val="28"/>
          <w:lang w:eastAsia="ru-RU"/>
        </w:rPr>
        <w:t>т</w:t>
      </w:r>
      <w:r w:rsidR="000D1E23">
        <w:rPr>
          <w:rFonts w:eastAsia="Times New Roman"/>
          <w:sz w:val="28"/>
          <w:szCs w:val="28"/>
          <w:lang w:eastAsia="ru-RU"/>
        </w:rPr>
        <w:t>ипа II; ±5 </w:t>
      </w:r>
      <w:r w:rsidRPr="008C3872">
        <w:rPr>
          <w:rFonts w:eastAsia="Times New Roman"/>
          <w:sz w:val="28"/>
          <w:szCs w:val="28"/>
          <w:lang w:eastAsia="ru-RU"/>
        </w:rPr>
        <w:t xml:space="preserve">% </w:t>
      </w:r>
      <w:r w:rsidR="00210CF9">
        <w:rPr>
          <w:rFonts w:eastAsia="Times New Roman"/>
          <w:sz w:val="28"/>
          <w:szCs w:val="28"/>
          <w:lang w:eastAsia="ru-RU"/>
        </w:rPr>
        <w:t>–</w:t>
      </w:r>
      <w:r w:rsidRPr="008C3872">
        <w:rPr>
          <w:rFonts w:eastAsia="Times New Roman"/>
          <w:sz w:val="28"/>
          <w:szCs w:val="28"/>
          <w:lang w:eastAsia="ru-RU"/>
        </w:rPr>
        <w:t xml:space="preserve"> для стекла </w:t>
      </w:r>
      <w:r w:rsidR="00210CF9">
        <w:rPr>
          <w:rFonts w:eastAsia="Times New Roman"/>
          <w:sz w:val="28"/>
          <w:szCs w:val="28"/>
          <w:lang w:eastAsia="ru-RU"/>
        </w:rPr>
        <w:t>т</w:t>
      </w:r>
      <w:r w:rsidRPr="008C3872">
        <w:rPr>
          <w:rFonts w:eastAsia="Times New Roman"/>
          <w:sz w:val="28"/>
          <w:szCs w:val="28"/>
          <w:lang w:eastAsia="ru-RU"/>
        </w:rPr>
        <w:t>ипа III. При необходимости рассчитывают его эквивалент в пересч</w:t>
      </w:r>
      <w:r w:rsidR="000F4215">
        <w:rPr>
          <w:rFonts w:eastAsia="Times New Roman"/>
          <w:sz w:val="28"/>
          <w:szCs w:val="28"/>
          <w:lang w:eastAsia="ru-RU"/>
        </w:rPr>
        <w:t>ё</w:t>
      </w:r>
      <w:r w:rsidRPr="008C3872">
        <w:rPr>
          <w:rFonts w:eastAsia="Times New Roman"/>
          <w:sz w:val="28"/>
          <w:szCs w:val="28"/>
          <w:lang w:eastAsia="ru-RU"/>
        </w:rPr>
        <w:t>те на высвобождаемую щ</w:t>
      </w:r>
      <w:r w:rsidR="000F4215">
        <w:rPr>
          <w:rFonts w:eastAsia="Times New Roman"/>
          <w:sz w:val="28"/>
          <w:szCs w:val="28"/>
          <w:lang w:eastAsia="ru-RU"/>
        </w:rPr>
        <w:t>ё</w:t>
      </w:r>
      <w:r w:rsidRPr="008C3872">
        <w:rPr>
          <w:rFonts w:eastAsia="Times New Roman"/>
          <w:sz w:val="28"/>
          <w:szCs w:val="28"/>
          <w:lang w:eastAsia="ru-RU"/>
        </w:rPr>
        <w:t>лочь, рассчитанный в мкг натрия окси</w:t>
      </w:r>
      <w:r w:rsidR="000D1E23">
        <w:rPr>
          <w:rFonts w:eastAsia="Times New Roman"/>
          <w:sz w:val="28"/>
          <w:szCs w:val="28"/>
          <w:lang w:eastAsia="ru-RU"/>
        </w:rPr>
        <w:t>да на грамм стеклянных з</w:t>
      </w:r>
      <w:r w:rsidR="000F4215">
        <w:rPr>
          <w:rFonts w:eastAsia="Times New Roman"/>
          <w:sz w:val="28"/>
          <w:szCs w:val="28"/>
          <w:lang w:eastAsia="ru-RU"/>
        </w:rPr>
        <w:t>ё</w:t>
      </w:r>
      <w:r w:rsidR="006574CB">
        <w:rPr>
          <w:rFonts w:eastAsia="Times New Roman"/>
          <w:sz w:val="28"/>
          <w:szCs w:val="28"/>
          <w:lang w:eastAsia="ru-RU"/>
        </w:rPr>
        <w:t>рен, при этом</w:t>
      </w:r>
      <w:r w:rsidR="000D1E23">
        <w:rPr>
          <w:rFonts w:eastAsia="Times New Roman"/>
          <w:sz w:val="28"/>
          <w:szCs w:val="28"/>
          <w:lang w:eastAsia="ru-RU"/>
        </w:rPr>
        <w:t xml:space="preserve"> 1 мл </w:t>
      </w:r>
      <w:r w:rsidR="00344510">
        <w:rPr>
          <w:rFonts w:eastAsia="Times New Roman"/>
          <w:sz w:val="28"/>
          <w:szCs w:val="28"/>
          <w:lang w:eastAsia="ru-RU"/>
        </w:rPr>
        <w:t>0,02 </w:t>
      </w:r>
      <w:r w:rsidR="00344510" w:rsidRPr="008C3872">
        <w:rPr>
          <w:rFonts w:eastAsia="Times New Roman"/>
          <w:sz w:val="28"/>
          <w:szCs w:val="28"/>
          <w:lang w:eastAsia="ru-RU"/>
        </w:rPr>
        <w:t>М</w:t>
      </w:r>
      <w:r w:rsidR="00344510">
        <w:rPr>
          <w:rFonts w:eastAsia="TimesNewRoman,Bold"/>
          <w:sz w:val="28"/>
          <w:szCs w:val="28"/>
        </w:rPr>
        <w:t xml:space="preserve"> раствор </w:t>
      </w:r>
      <w:r w:rsidR="00344510" w:rsidRPr="008C3872">
        <w:rPr>
          <w:rFonts w:eastAsia="Times New Roman"/>
          <w:sz w:val="28"/>
          <w:szCs w:val="28"/>
          <w:lang w:eastAsia="ru-RU"/>
        </w:rPr>
        <w:t>хлор</w:t>
      </w:r>
      <w:r w:rsidR="00344510">
        <w:rPr>
          <w:rFonts w:eastAsia="Times New Roman"/>
          <w:sz w:val="28"/>
          <w:szCs w:val="28"/>
          <w:lang w:eastAsia="ru-RU"/>
        </w:rPr>
        <w:t>истоводородной кислоты</w:t>
      </w:r>
      <w:r w:rsidR="00A70EC2" w:rsidRPr="00F9490E">
        <w:rPr>
          <w:rFonts w:eastAsia="TimesNewRoman,Bold"/>
          <w:sz w:val="28"/>
          <w:szCs w:val="28"/>
        </w:rPr>
        <w:t xml:space="preserve"> </w:t>
      </w:r>
      <w:r w:rsidR="000D1E23" w:rsidRPr="00F9490E">
        <w:rPr>
          <w:rFonts w:eastAsia="Times New Roman"/>
          <w:sz w:val="28"/>
          <w:szCs w:val="28"/>
          <w:lang w:eastAsia="ru-RU"/>
        </w:rPr>
        <w:t>эквивалентен</w:t>
      </w:r>
      <w:r w:rsidR="000D1E23">
        <w:rPr>
          <w:rFonts w:eastAsia="Times New Roman"/>
          <w:sz w:val="28"/>
          <w:szCs w:val="28"/>
          <w:lang w:eastAsia="ru-RU"/>
        </w:rPr>
        <w:t xml:space="preserve"> 620 </w:t>
      </w:r>
      <w:r w:rsidRPr="008C3872">
        <w:rPr>
          <w:rFonts w:eastAsia="Times New Roman"/>
          <w:sz w:val="28"/>
          <w:szCs w:val="28"/>
          <w:lang w:eastAsia="ru-RU"/>
        </w:rPr>
        <w:t>мкг натрия оксида.</w:t>
      </w:r>
    </w:p>
    <w:p w:rsidR="00344510" w:rsidRDefault="00344510" w:rsidP="003314FA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i/>
          <w:color w:val="000000" w:themeColor="text1"/>
          <w:sz w:val="28"/>
          <w:szCs w:val="28"/>
          <w:lang w:eastAsia="ru-RU"/>
        </w:rPr>
        <w:t>Пределы</w:t>
      </w:r>
      <w:r w:rsidR="008C3872" w:rsidRPr="0032746B">
        <w:rPr>
          <w:rFonts w:eastAsia="Times New Roman"/>
          <w:sz w:val="28"/>
          <w:szCs w:val="28"/>
          <w:lang w:eastAsia="ru-RU"/>
        </w:rPr>
        <w:t xml:space="preserve"> </w:t>
      </w:r>
    </w:p>
    <w:p w:rsidR="008C3872" w:rsidRPr="0032746B" w:rsidRDefault="006574CB" w:rsidP="003314FA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Используют</w:t>
      </w:r>
      <w:r w:rsidR="00687D18">
        <w:rPr>
          <w:rFonts w:eastAsia="Times New Roman"/>
          <w:sz w:val="28"/>
          <w:szCs w:val="28"/>
          <w:lang w:eastAsia="ru-RU"/>
        </w:rPr>
        <w:t xml:space="preserve"> </w:t>
      </w:r>
      <w:r w:rsidR="000D1E23">
        <w:rPr>
          <w:rFonts w:eastAsia="Times New Roman"/>
          <w:sz w:val="28"/>
          <w:szCs w:val="28"/>
          <w:lang w:eastAsia="ru-RU"/>
        </w:rPr>
        <w:t xml:space="preserve">не более 0,1 мл </w:t>
      </w:r>
      <w:r w:rsidR="00344510">
        <w:rPr>
          <w:rFonts w:eastAsia="Times New Roman"/>
          <w:sz w:val="28"/>
          <w:szCs w:val="28"/>
          <w:lang w:eastAsia="ru-RU"/>
        </w:rPr>
        <w:t>0,02 </w:t>
      </w:r>
      <w:r w:rsidR="00344510" w:rsidRPr="008C3872">
        <w:rPr>
          <w:rFonts w:eastAsia="Times New Roman"/>
          <w:sz w:val="28"/>
          <w:szCs w:val="28"/>
          <w:lang w:eastAsia="ru-RU"/>
        </w:rPr>
        <w:t>М</w:t>
      </w:r>
      <w:r w:rsidR="00344510">
        <w:rPr>
          <w:rFonts w:eastAsia="TimesNewRoman,Bold"/>
          <w:sz w:val="28"/>
          <w:szCs w:val="28"/>
        </w:rPr>
        <w:t xml:space="preserve"> раствора </w:t>
      </w:r>
      <w:r w:rsidR="00344510" w:rsidRPr="008C3872">
        <w:rPr>
          <w:rFonts w:eastAsia="Times New Roman"/>
          <w:sz w:val="28"/>
          <w:szCs w:val="28"/>
          <w:lang w:eastAsia="ru-RU"/>
        </w:rPr>
        <w:t>хлор</w:t>
      </w:r>
      <w:r w:rsidR="00344510">
        <w:rPr>
          <w:rFonts w:eastAsia="Times New Roman"/>
          <w:sz w:val="28"/>
          <w:szCs w:val="28"/>
          <w:lang w:eastAsia="ru-RU"/>
        </w:rPr>
        <w:t>истоводородной кислоты</w:t>
      </w:r>
      <w:r w:rsidRPr="008C3872">
        <w:rPr>
          <w:rFonts w:eastAsia="Times New Roman"/>
          <w:sz w:val="28"/>
          <w:szCs w:val="28"/>
          <w:lang w:eastAsia="ru-RU"/>
        </w:rPr>
        <w:t xml:space="preserve"> </w:t>
      </w:r>
      <w:r w:rsidR="000D1E23">
        <w:rPr>
          <w:rFonts w:eastAsia="Times New Roman"/>
          <w:sz w:val="28"/>
          <w:szCs w:val="28"/>
          <w:lang w:eastAsia="ru-RU"/>
        </w:rPr>
        <w:t xml:space="preserve">на 1 г стекла </w:t>
      </w:r>
      <w:r w:rsidR="001A2EC7">
        <w:rPr>
          <w:rFonts w:eastAsia="Times New Roman"/>
          <w:sz w:val="28"/>
          <w:szCs w:val="28"/>
          <w:lang w:eastAsia="ru-RU"/>
        </w:rPr>
        <w:t>т</w:t>
      </w:r>
      <w:r w:rsidR="000D1E23">
        <w:rPr>
          <w:rFonts w:eastAsia="Times New Roman"/>
          <w:sz w:val="28"/>
          <w:szCs w:val="28"/>
          <w:lang w:eastAsia="ru-RU"/>
        </w:rPr>
        <w:t xml:space="preserve">ипа I, не более 0,85 мл </w:t>
      </w:r>
      <w:r w:rsidR="00344510">
        <w:rPr>
          <w:rFonts w:eastAsia="Times New Roman"/>
          <w:sz w:val="28"/>
          <w:szCs w:val="28"/>
          <w:lang w:eastAsia="ru-RU"/>
        </w:rPr>
        <w:t>0,02 </w:t>
      </w:r>
      <w:r w:rsidR="00344510" w:rsidRPr="008C3872">
        <w:rPr>
          <w:rFonts w:eastAsia="Times New Roman"/>
          <w:sz w:val="28"/>
          <w:szCs w:val="28"/>
          <w:lang w:eastAsia="ru-RU"/>
        </w:rPr>
        <w:t>М</w:t>
      </w:r>
      <w:r w:rsidR="00344510">
        <w:rPr>
          <w:rFonts w:eastAsia="TimesNewRoman,Bold"/>
          <w:sz w:val="28"/>
          <w:szCs w:val="28"/>
        </w:rPr>
        <w:t xml:space="preserve"> раствора </w:t>
      </w:r>
      <w:r w:rsidR="00344510" w:rsidRPr="008C3872">
        <w:rPr>
          <w:rFonts w:eastAsia="Times New Roman"/>
          <w:sz w:val="28"/>
          <w:szCs w:val="28"/>
          <w:lang w:eastAsia="ru-RU"/>
        </w:rPr>
        <w:t>хлор</w:t>
      </w:r>
      <w:r w:rsidR="00344510">
        <w:rPr>
          <w:rFonts w:eastAsia="Times New Roman"/>
          <w:sz w:val="28"/>
          <w:szCs w:val="28"/>
          <w:lang w:eastAsia="ru-RU"/>
        </w:rPr>
        <w:t>истоводородной кислоты</w:t>
      </w:r>
      <w:r w:rsidR="000D1E23">
        <w:rPr>
          <w:rFonts w:eastAsia="Times New Roman"/>
          <w:sz w:val="28"/>
          <w:szCs w:val="28"/>
          <w:lang w:eastAsia="ru-RU"/>
        </w:rPr>
        <w:t xml:space="preserve"> на 1 </w:t>
      </w:r>
      <w:r w:rsidR="008C3872" w:rsidRPr="0032746B">
        <w:rPr>
          <w:rFonts w:eastAsia="Times New Roman"/>
          <w:sz w:val="28"/>
          <w:szCs w:val="28"/>
          <w:lang w:eastAsia="ru-RU"/>
        </w:rPr>
        <w:t xml:space="preserve">г стекла </w:t>
      </w:r>
      <w:r w:rsidR="001A2EC7">
        <w:rPr>
          <w:rFonts w:eastAsia="Times New Roman"/>
          <w:sz w:val="28"/>
          <w:szCs w:val="28"/>
          <w:lang w:eastAsia="ru-RU"/>
        </w:rPr>
        <w:t>т</w:t>
      </w:r>
      <w:r w:rsidR="008C3872" w:rsidRPr="0032746B">
        <w:rPr>
          <w:rFonts w:eastAsia="Times New Roman"/>
          <w:sz w:val="28"/>
          <w:szCs w:val="28"/>
          <w:lang w:eastAsia="ru-RU"/>
        </w:rPr>
        <w:t xml:space="preserve">ипа II или </w:t>
      </w:r>
      <w:r w:rsidR="001A2EC7">
        <w:rPr>
          <w:rFonts w:eastAsia="Times New Roman"/>
          <w:sz w:val="28"/>
          <w:szCs w:val="28"/>
          <w:lang w:eastAsia="ru-RU"/>
        </w:rPr>
        <w:t>типа III.</w:t>
      </w:r>
    </w:p>
    <w:p w:rsidR="004D7386" w:rsidRDefault="00185275" w:rsidP="00256E65">
      <w:pPr>
        <w:widowControl w:val="0"/>
        <w:spacing w:before="24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Метод</w:t>
      </w:r>
      <w:r w:rsidR="00BE5702" w:rsidRP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E5702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BE5702" w:rsidRPr="00B766C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E5702" w:rsidRPr="00C33E83">
        <w:rPr>
          <w:b/>
          <w:sz w:val="23"/>
          <w:szCs w:val="23"/>
        </w:rPr>
        <w:t xml:space="preserve"> </w:t>
      </w:r>
      <w:r w:rsidR="00BE5702" w:rsidRPr="00BE5702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BE5702">
        <w:rPr>
          <w:rFonts w:ascii="Times New Roman" w:hAnsi="Times New Roman"/>
          <w:b/>
          <w:color w:val="000000" w:themeColor="text1"/>
          <w:sz w:val="28"/>
          <w:szCs w:val="28"/>
        </w:rPr>
        <w:t>спытание упаковок с обработанной поверхностью</w:t>
      </w:r>
      <w:r w:rsidR="00BE5702" w:rsidRPr="00B766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E5702">
        <w:rPr>
          <w:rFonts w:ascii="Times New Roman" w:hAnsi="Times New Roman"/>
          <w:b/>
          <w:color w:val="000000" w:themeColor="text1"/>
          <w:sz w:val="28"/>
          <w:szCs w:val="28"/>
        </w:rPr>
        <w:t>(испытание обработанной поверхности)</w:t>
      </w:r>
    </w:p>
    <w:p w:rsidR="008C3872" w:rsidRPr="00BE5702" w:rsidRDefault="00344510" w:rsidP="00256E65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Испытание</w:t>
      </w:r>
      <w:r w:rsidR="008C3872" w:rsidRPr="00BE5702">
        <w:rPr>
          <w:iCs/>
          <w:sz w:val="28"/>
          <w:szCs w:val="28"/>
        </w:rPr>
        <w:t xml:space="preserve"> </w:t>
      </w:r>
      <w:r w:rsidR="00185275">
        <w:rPr>
          <w:iCs/>
          <w:sz w:val="28"/>
          <w:szCs w:val="28"/>
        </w:rPr>
        <w:t xml:space="preserve">методом </w:t>
      </w:r>
      <w:r w:rsidR="008C3872" w:rsidRPr="00BE5702">
        <w:rPr>
          <w:iCs/>
          <w:sz w:val="28"/>
          <w:szCs w:val="28"/>
        </w:rPr>
        <w:t xml:space="preserve">В </w:t>
      </w:r>
      <w:r w:rsidR="006574CB">
        <w:rPr>
          <w:iCs/>
          <w:sz w:val="28"/>
          <w:szCs w:val="28"/>
        </w:rPr>
        <w:t xml:space="preserve">проводят </w:t>
      </w:r>
      <w:r w:rsidR="00A70EC2">
        <w:rPr>
          <w:iCs/>
          <w:sz w:val="28"/>
          <w:szCs w:val="28"/>
        </w:rPr>
        <w:t xml:space="preserve">для </w:t>
      </w:r>
      <w:r w:rsidR="008C3872" w:rsidRPr="00BE5702">
        <w:rPr>
          <w:iCs/>
          <w:sz w:val="28"/>
          <w:szCs w:val="28"/>
        </w:rPr>
        <w:t xml:space="preserve">упаковок с обработанной поверхностью в дополнение к </w:t>
      </w:r>
      <w:r>
        <w:rPr>
          <w:iCs/>
          <w:sz w:val="28"/>
          <w:szCs w:val="28"/>
        </w:rPr>
        <w:t>испытанию</w:t>
      </w:r>
      <w:r w:rsidR="00BE5702">
        <w:rPr>
          <w:iCs/>
          <w:sz w:val="28"/>
          <w:szCs w:val="28"/>
        </w:rPr>
        <w:t xml:space="preserve"> </w:t>
      </w:r>
      <w:r w:rsidR="00185275">
        <w:rPr>
          <w:iCs/>
          <w:sz w:val="28"/>
          <w:szCs w:val="28"/>
        </w:rPr>
        <w:t xml:space="preserve">методом </w:t>
      </w:r>
      <w:r w:rsidR="006574CB">
        <w:rPr>
          <w:iCs/>
          <w:sz w:val="28"/>
          <w:szCs w:val="28"/>
        </w:rPr>
        <w:t>А с целью определения</w:t>
      </w:r>
      <w:r w:rsidR="008C3872" w:rsidRPr="00BE5702">
        <w:rPr>
          <w:iCs/>
          <w:sz w:val="28"/>
          <w:szCs w:val="28"/>
        </w:rPr>
        <w:t xml:space="preserve">, обрабатывалась ли поверхность стекла и/или с целью установления различий стекла типа I </w:t>
      </w:r>
      <w:r w:rsidR="008C3872" w:rsidRPr="00BE5702">
        <w:rPr>
          <w:sz w:val="28"/>
          <w:szCs w:val="28"/>
        </w:rPr>
        <w:t xml:space="preserve">и </w:t>
      </w:r>
      <w:r w:rsidR="008C3872" w:rsidRPr="00BE5702">
        <w:rPr>
          <w:iCs/>
          <w:sz w:val="28"/>
          <w:szCs w:val="28"/>
        </w:rPr>
        <w:t xml:space="preserve">II. Альтернативно </w:t>
      </w:r>
      <w:r w:rsidR="006574CB">
        <w:rPr>
          <w:iCs/>
          <w:sz w:val="28"/>
          <w:szCs w:val="28"/>
        </w:rPr>
        <w:t>используют</w:t>
      </w:r>
      <w:r w:rsidR="008C3872" w:rsidRPr="00BE5702">
        <w:rPr>
          <w:iCs/>
          <w:sz w:val="28"/>
          <w:szCs w:val="28"/>
        </w:rPr>
        <w:t xml:space="preserve"> </w:t>
      </w:r>
      <w:r w:rsidR="00185275">
        <w:rPr>
          <w:iCs/>
          <w:sz w:val="28"/>
          <w:szCs w:val="28"/>
        </w:rPr>
        <w:t xml:space="preserve">методы </w:t>
      </w:r>
      <w:r w:rsidR="008C3872" w:rsidRPr="00BE5702">
        <w:rPr>
          <w:iCs/>
          <w:sz w:val="28"/>
          <w:szCs w:val="28"/>
        </w:rPr>
        <w:t>А и Б</w:t>
      </w:r>
      <w:r w:rsidR="008C3872" w:rsidRPr="00BE5702">
        <w:rPr>
          <w:rFonts w:ascii="Century Gothic" w:hAnsi="Century Gothic" w:cs="Century Gothic"/>
          <w:b/>
          <w:bCs/>
          <w:sz w:val="28"/>
          <w:szCs w:val="28"/>
        </w:rPr>
        <w:t xml:space="preserve">. </w:t>
      </w:r>
      <w:r>
        <w:rPr>
          <w:iCs/>
          <w:sz w:val="28"/>
          <w:szCs w:val="28"/>
        </w:rPr>
        <w:t>Испытание</w:t>
      </w:r>
      <w:r w:rsidR="00BE5702">
        <w:rPr>
          <w:iCs/>
          <w:sz w:val="28"/>
          <w:szCs w:val="28"/>
        </w:rPr>
        <w:t xml:space="preserve"> </w:t>
      </w:r>
      <w:r w:rsidR="00185275">
        <w:rPr>
          <w:iCs/>
          <w:sz w:val="28"/>
          <w:szCs w:val="28"/>
        </w:rPr>
        <w:t xml:space="preserve">методом </w:t>
      </w:r>
      <w:r w:rsidR="00BE5702">
        <w:rPr>
          <w:iCs/>
          <w:sz w:val="28"/>
          <w:szCs w:val="28"/>
        </w:rPr>
        <w:t>В пров</w:t>
      </w:r>
      <w:r w:rsidR="0010790F">
        <w:rPr>
          <w:iCs/>
          <w:sz w:val="28"/>
          <w:szCs w:val="28"/>
        </w:rPr>
        <w:t>одят</w:t>
      </w:r>
      <w:r w:rsidR="008C3872" w:rsidRPr="00BE5702">
        <w:rPr>
          <w:iCs/>
          <w:sz w:val="28"/>
          <w:szCs w:val="28"/>
        </w:rPr>
        <w:t xml:space="preserve"> на неиспользованных образцах или на образцах, использованных ранее при </w:t>
      </w:r>
      <w:r w:rsidR="00BE5702" w:rsidRPr="00BE5702">
        <w:rPr>
          <w:iCs/>
          <w:sz w:val="28"/>
          <w:szCs w:val="28"/>
        </w:rPr>
        <w:t>методе</w:t>
      </w:r>
      <w:r w:rsidR="008C3872" w:rsidRPr="00BE5702">
        <w:rPr>
          <w:iCs/>
          <w:sz w:val="28"/>
          <w:szCs w:val="28"/>
        </w:rPr>
        <w:t xml:space="preserve"> А.</w:t>
      </w:r>
    </w:p>
    <w:p w:rsidR="00344510" w:rsidRDefault="008C3872" w:rsidP="00256E65">
      <w:pPr>
        <w:keepNext/>
        <w:keepLines/>
        <w:spacing w:after="0" w:line="360" w:lineRule="auto"/>
        <w:ind w:firstLine="709"/>
        <w:jc w:val="both"/>
        <w:rPr>
          <w:b/>
          <w:bCs/>
          <w:sz w:val="23"/>
          <w:szCs w:val="23"/>
        </w:rPr>
      </w:pPr>
      <w:r w:rsidRPr="00036DF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Флаконы и бутылки</w:t>
      </w:r>
      <w:r>
        <w:rPr>
          <w:b/>
          <w:bCs/>
          <w:sz w:val="23"/>
          <w:szCs w:val="23"/>
        </w:rPr>
        <w:t xml:space="preserve"> </w:t>
      </w:r>
    </w:p>
    <w:p w:rsidR="008C3872" w:rsidRDefault="008C3872" w:rsidP="00256E65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</w:t>
      </w:r>
      <w:r w:rsidR="00E95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FF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необходимых испытуемых растворов</w:t>
      </w:r>
      <w:r w:rsidR="00BE5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приведены в таблице 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</w:t>
      </w:r>
      <w:r w:rsidR="00BE5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паковки дважды промывают водой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заполняют до края смесью </w:t>
      </w:r>
      <w:r w:rsidR="00836D8A"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836D8A" w:rsidRPr="00687D18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тористоводородн</w:t>
      </w:r>
      <w:r w:rsidR="00836D8A"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</w:t>
      </w:r>
      <w:r w:rsidR="00836D8A" w:rsidRPr="00687D18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кислот</w:t>
      </w:r>
      <w:r w:rsidR="00836D8A"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r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6B5AA5"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6B5AA5" w:rsidRPr="00687D18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лористоводород</w:t>
      </w:r>
      <w:r w:rsidR="006B5AA5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ной</w:t>
      </w:r>
      <w:r w:rsidR="006B5AA5"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5AA5" w:rsidRPr="00687D18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кислот</w:t>
      </w:r>
      <w:r w:rsidR="006B5AA5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ы</w:t>
      </w:r>
      <w:r w:rsidR="006B5AA5" w:rsidRPr="00687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5AA5" w:rsidRPr="00687D18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концентрированн</w:t>
      </w:r>
      <w:r w:rsidR="006B5AA5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ой</w:t>
      </w:r>
      <w:r w:rsidR="006B5AA5"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(1:9</w:t>
      </w:r>
      <w:r w:rsidR="0083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выдерживают в течение 10 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мин. Затем упаковки освобождают от содержимог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и тщательно промывают водой 5 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раз. Непосредственно перед испытанием снова промывают водой. Упаковки, подготовленные таким образом, подвергают процедуре автоклавирования и определяют в соответствии с указаниями в </w:t>
      </w:r>
      <w:r w:rsidR="001852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методе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поверхностную гидролитическую устойчивость. Если полученные результаты значительно выше, чем полученные при испытании необработанны</w:t>
      </w:r>
      <w:r w:rsidR="00256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поверхностей (примерно в 5–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 раз), то считают</w:t>
      </w:r>
      <w:r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образцы имеют</w:t>
      </w:r>
      <w:r w:rsid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746B"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обработанную поверхность.</w:t>
      </w:r>
    </w:p>
    <w:p w:rsidR="00FF46CA" w:rsidRDefault="00FF46CA" w:rsidP="00E95BBC">
      <w:pPr>
        <w:spacing w:after="0" w:line="36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Ампулы, картриджи, шприцы</w:t>
      </w:r>
    </w:p>
    <w:p w:rsidR="0032746B" w:rsidRDefault="00FF46CA" w:rsidP="00E95BBC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2746B"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спытаний такие же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2746B"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для флаконов и бутылок. В случае ампул с </w:t>
      </w:r>
      <w:r w:rsidR="0032746B" w:rsidRPr="003314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необработанной</w:t>
      </w:r>
      <w:r w:rsidR="0032746B"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поверхностью получ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енные</w:t>
      </w:r>
      <w:r w:rsidR="0032746B" w:rsidRPr="00327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значения несколько ниже, чем значения, полученны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 испытаниях, описанные</w:t>
      </w:r>
      <w:r w:rsidR="005A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выше.</w:t>
      </w:r>
    </w:p>
    <w:p w:rsidR="003314FA" w:rsidRDefault="001C311E" w:rsidP="00256E65">
      <w:pPr>
        <w:pStyle w:val="Default"/>
        <w:ind w:firstLine="709"/>
        <w:jc w:val="both"/>
        <w:rPr>
          <w:sz w:val="28"/>
          <w:szCs w:val="28"/>
        </w:rPr>
      </w:pPr>
      <w:r w:rsidRPr="001C311E">
        <w:rPr>
          <w:iCs/>
          <w:sz w:val="28"/>
          <w:szCs w:val="28"/>
        </w:rPr>
        <w:t>Примечание</w:t>
      </w:r>
      <w:r w:rsidR="000F4215">
        <w:rPr>
          <w:iCs/>
          <w:sz w:val="28"/>
          <w:szCs w:val="28"/>
        </w:rPr>
        <w:t xml:space="preserve"> –</w:t>
      </w:r>
      <w:r w:rsidR="003314FA" w:rsidRPr="00B10FAE">
        <w:rPr>
          <w:sz w:val="28"/>
          <w:szCs w:val="28"/>
        </w:rPr>
        <w:t xml:space="preserve"> </w:t>
      </w:r>
      <w:r w:rsidR="003314FA">
        <w:rPr>
          <w:iCs/>
          <w:sz w:val="28"/>
          <w:szCs w:val="28"/>
        </w:rPr>
        <w:t>А</w:t>
      </w:r>
      <w:r w:rsidR="003314FA" w:rsidRPr="00B10FAE">
        <w:rPr>
          <w:iCs/>
          <w:sz w:val="28"/>
          <w:szCs w:val="28"/>
        </w:rPr>
        <w:t>мпулы, картриджи, шприцы, изготовленные из стеклянных трубок, обычно не подвергаются внутренней обработке поверхности, так как их высокая химическая устойчивость зависит от химического состава стекла как материала</w:t>
      </w:r>
      <w:r w:rsidR="003314FA">
        <w:rPr>
          <w:sz w:val="28"/>
          <w:szCs w:val="28"/>
        </w:rPr>
        <w:t>.</w:t>
      </w:r>
    </w:p>
    <w:p w:rsidR="0032746B" w:rsidRPr="00FF46CA" w:rsidRDefault="0032746B" w:rsidP="00256E65">
      <w:pPr>
        <w:pStyle w:val="Default"/>
        <w:keepNext/>
        <w:spacing w:before="120" w:line="360" w:lineRule="auto"/>
        <w:ind w:firstLine="709"/>
        <w:rPr>
          <w:bCs/>
          <w:sz w:val="28"/>
          <w:szCs w:val="28"/>
        </w:rPr>
      </w:pPr>
      <w:r w:rsidRPr="00FF46CA">
        <w:rPr>
          <w:bCs/>
          <w:sz w:val="28"/>
          <w:szCs w:val="28"/>
        </w:rPr>
        <w:t xml:space="preserve">Различия между упаковками из стекла </w:t>
      </w:r>
      <w:r w:rsidR="00CA4F87" w:rsidRPr="00FF46CA">
        <w:rPr>
          <w:bCs/>
          <w:sz w:val="28"/>
          <w:szCs w:val="28"/>
        </w:rPr>
        <w:t>т</w:t>
      </w:r>
      <w:r w:rsidRPr="00FF46CA">
        <w:rPr>
          <w:bCs/>
          <w:sz w:val="28"/>
          <w:szCs w:val="28"/>
        </w:rPr>
        <w:t xml:space="preserve">ипа I и </w:t>
      </w:r>
      <w:r w:rsidR="00CA4F87" w:rsidRPr="00FF46CA">
        <w:rPr>
          <w:bCs/>
          <w:sz w:val="28"/>
          <w:szCs w:val="28"/>
        </w:rPr>
        <w:t>т</w:t>
      </w:r>
      <w:r w:rsidRPr="00FF46CA">
        <w:rPr>
          <w:bCs/>
          <w:sz w:val="28"/>
          <w:szCs w:val="28"/>
        </w:rPr>
        <w:t>ипа II</w:t>
      </w:r>
      <w:r w:rsidR="00FF46CA" w:rsidRPr="00FF46CA">
        <w:rPr>
          <w:bCs/>
          <w:sz w:val="28"/>
          <w:szCs w:val="28"/>
        </w:rPr>
        <w:t xml:space="preserve">, полученные </w:t>
      </w:r>
      <w:r w:rsidRPr="00FF46CA">
        <w:rPr>
          <w:rFonts w:eastAsia="Times New Roman"/>
          <w:sz w:val="28"/>
          <w:szCs w:val="28"/>
          <w:lang w:eastAsia="ru-RU"/>
        </w:rPr>
        <w:t xml:space="preserve">в </w:t>
      </w:r>
      <w:r w:rsidR="00185275">
        <w:rPr>
          <w:rFonts w:eastAsia="Times New Roman"/>
          <w:sz w:val="28"/>
          <w:szCs w:val="28"/>
          <w:lang w:eastAsia="ru-RU"/>
        </w:rPr>
        <w:t>испытании методом</w:t>
      </w:r>
      <w:r w:rsidR="005A2238" w:rsidRPr="00FF46CA">
        <w:rPr>
          <w:rFonts w:eastAsia="Times New Roman"/>
          <w:sz w:val="28"/>
          <w:szCs w:val="28"/>
          <w:lang w:eastAsia="ru-RU"/>
        </w:rPr>
        <w:t xml:space="preserve"> </w:t>
      </w:r>
      <w:r w:rsidRPr="00FF46CA">
        <w:rPr>
          <w:rFonts w:eastAsia="Times New Roman"/>
          <w:sz w:val="28"/>
          <w:szCs w:val="28"/>
          <w:lang w:eastAsia="ru-RU"/>
        </w:rPr>
        <w:t xml:space="preserve">В, по сравнению с результатами, полученными в </w:t>
      </w:r>
      <w:r w:rsidR="00FF46CA" w:rsidRPr="00FF46CA">
        <w:rPr>
          <w:rFonts w:eastAsia="Times New Roman"/>
          <w:sz w:val="28"/>
          <w:szCs w:val="28"/>
          <w:lang w:eastAsia="ru-RU"/>
        </w:rPr>
        <w:t xml:space="preserve">испытании </w:t>
      </w:r>
      <w:r w:rsidR="00185275">
        <w:rPr>
          <w:rFonts w:eastAsia="Times New Roman"/>
          <w:sz w:val="28"/>
          <w:szCs w:val="28"/>
          <w:lang w:eastAsia="ru-RU"/>
        </w:rPr>
        <w:t>методом А,</w:t>
      </w:r>
      <w:r w:rsidR="00FF46CA" w:rsidRPr="00FF46CA">
        <w:rPr>
          <w:rFonts w:eastAsia="Times New Roman"/>
          <w:sz w:val="28"/>
          <w:szCs w:val="28"/>
          <w:lang w:eastAsia="ru-RU"/>
        </w:rPr>
        <w:t xml:space="preserve"> </w:t>
      </w:r>
      <w:r w:rsidRPr="00FF46CA">
        <w:rPr>
          <w:rFonts w:eastAsia="Times New Roman"/>
          <w:sz w:val="28"/>
          <w:szCs w:val="28"/>
          <w:lang w:eastAsia="ru-RU"/>
        </w:rPr>
        <w:t>п</w:t>
      </w:r>
      <w:r w:rsidR="00FF46CA" w:rsidRPr="00FF46CA">
        <w:rPr>
          <w:rFonts w:eastAsia="Times New Roman"/>
          <w:sz w:val="28"/>
          <w:szCs w:val="28"/>
          <w:lang w:eastAsia="ru-RU"/>
        </w:rPr>
        <w:t>риведены</w:t>
      </w:r>
      <w:r w:rsidR="007750A0" w:rsidRPr="00FF46CA">
        <w:rPr>
          <w:rFonts w:eastAsia="Times New Roman"/>
          <w:sz w:val="28"/>
          <w:szCs w:val="28"/>
          <w:lang w:eastAsia="ru-RU"/>
        </w:rPr>
        <w:t xml:space="preserve"> в таблице </w:t>
      </w:r>
      <w:r w:rsidRPr="00FF46CA">
        <w:rPr>
          <w:rFonts w:eastAsia="Times New Roman"/>
          <w:sz w:val="28"/>
          <w:szCs w:val="28"/>
          <w:lang w:eastAsia="ru-RU"/>
        </w:rPr>
        <w:t>4.</w:t>
      </w:r>
    </w:p>
    <w:p w:rsidR="004D7386" w:rsidRDefault="001C311E" w:rsidP="00256E65">
      <w:pPr>
        <w:keepNext/>
        <w:spacing w:before="240" w:after="120" w:line="240" w:lineRule="auto"/>
        <w:rPr>
          <w:rFonts w:ascii="Times New Roman" w:hAnsi="Times New Roman"/>
          <w:iCs/>
          <w:sz w:val="28"/>
          <w:szCs w:val="28"/>
        </w:rPr>
      </w:pPr>
      <w:r w:rsidRPr="001C311E">
        <w:rPr>
          <w:rFonts w:ascii="Times New Roman" w:hAnsi="Times New Roman"/>
          <w:sz w:val="28"/>
          <w:szCs w:val="28"/>
        </w:rPr>
        <w:t xml:space="preserve">Таблица 4 – </w:t>
      </w:r>
      <w:r w:rsidRPr="001C311E">
        <w:rPr>
          <w:rFonts w:ascii="Times New Roman" w:hAnsi="Times New Roman"/>
          <w:iCs/>
          <w:sz w:val="28"/>
          <w:szCs w:val="28"/>
        </w:rPr>
        <w:t>Различия между упаковками из стекла типа I и типа 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2E98" w:rsidRPr="00175F3C" w:rsidTr="001B2E98">
        <w:tc>
          <w:tcPr>
            <w:tcW w:w="4785" w:type="dxa"/>
          </w:tcPr>
          <w:p w:rsidR="004D7386" w:rsidRDefault="001B2E98">
            <w:pPr>
              <w:pStyle w:val="Default"/>
              <w:keepNext/>
              <w:spacing w:after="120"/>
              <w:rPr>
                <w:rFonts w:eastAsia="Calibri"/>
              </w:rPr>
            </w:pPr>
            <w:r w:rsidRPr="00175F3C">
              <w:rPr>
                <w:b/>
                <w:bCs/>
              </w:rPr>
              <w:t xml:space="preserve">Тип I </w:t>
            </w:r>
          </w:p>
        </w:tc>
        <w:tc>
          <w:tcPr>
            <w:tcW w:w="4785" w:type="dxa"/>
          </w:tcPr>
          <w:p w:rsidR="004D7386" w:rsidRDefault="001B2E98">
            <w:pPr>
              <w:pStyle w:val="Default"/>
              <w:keepNext/>
              <w:spacing w:after="120"/>
              <w:rPr>
                <w:rFonts w:eastAsia="Calibri"/>
              </w:rPr>
            </w:pPr>
            <w:r w:rsidRPr="00175F3C">
              <w:rPr>
                <w:b/>
                <w:bCs/>
              </w:rPr>
              <w:t xml:space="preserve">Тип II </w:t>
            </w:r>
          </w:p>
        </w:tc>
      </w:tr>
      <w:tr w:rsidR="001B2E98" w:rsidRPr="00175F3C" w:rsidTr="001B2E98">
        <w:tc>
          <w:tcPr>
            <w:tcW w:w="4785" w:type="dxa"/>
          </w:tcPr>
          <w:p w:rsidR="004D7386" w:rsidRDefault="001B2E98">
            <w:pPr>
              <w:pStyle w:val="Default"/>
              <w:spacing w:after="120"/>
              <w:rPr>
                <w:rFonts w:eastAsia="Calibri"/>
              </w:rPr>
            </w:pPr>
            <w:r w:rsidRPr="00175F3C">
              <w:t xml:space="preserve">Значения очень близки к величинам, полученным при испытании поверхностной гидролитической устойчивости для упаковок из стекла типа I </w:t>
            </w:r>
          </w:p>
        </w:tc>
        <w:tc>
          <w:tcPr>
            <w:tcW w:w="4785" w:type="dxa"/>
          </w:tcPr>
          <w:p w:rsidR="004D7386" w:rsidRDefault="001B2E98">
            <w:pPr>
              <w:pStyle w:val="Default"/>
              <w:spacing w:after="120"/>
              <w:rPr>
                <w:rFonts w:eastAsia="Calibri"/>
              </w:rPr>
            </w:pPr>
            <w:r w:rsidRPr="00175F3C">
              <w:t xml:space="preserve">Значения значительно превышают величины, полученные при испытании поверхностной гидролитической устойчивости и подобны значениям, полученным для упаковок из стекла типа III, но не превышают их </w:t>
            </w:r>
          </w:p>
        </w:tc>
      </w:tr>
    </w:tbl>
    <w:p w:rsidR="004F7ED4" w:rsidRPr="004F7ED4" w:rsidRDefault="001E7C4A" w:rsidP="00BD3EBB">
      <w:pPr>
        <w:pStyle w:val="Default"/>
        <w:keepNext/>
        <w:spacing w:before="24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Метод</w:t>
      </w:r>
      <w:r w:rsidR="00BD44BC" w:rsidRPr="00D47D0F">
        <w:rPr>
          <w:b/>
          <w:iCs/>
          <w:sz w:val="28"/>
          <w:szCs w:val="28"/>
        </w:rPr>
        <w:t xml:space="preserve"> </w:t>
      </w:r>
      <w:r w:rsidR="00BD44BC">
        <w:rPr>
          <w:b/>
          <w:iCs/>
          <w:sz w:val="28"/>
          <w:szCs w:val="28"/>
        </w:rPr>
        <w:t>Г</w:t>
      </w:r>
      <w:r w:rsidR="00BD44BC" w:rsidRPr="00D47D0F">
        <w:rPr>
          <w:b/>
          <w:iCs/>
          <w:sz w:val="28"/>
          <w:szCs w:val="28"/>
        </w:rPr>
        <w:t>.</w:t>
      </w:r>
      <w:r w:rsidR="00BD44BC">
        <w:rPr>
          <w:b/>
          <w:iCs/>
          <w:sz w:val="28"/>
          <w:szCs w:val="28"/>
        </w:rPr>
        <w:t xml:space="preserve"> И</w:t>
      </w:r>
      <w:r w:rsidR="00BD44BC" w:rsidRPr="00BD44BC">
        <w:rPr>
          <w:b/>
          <w:iCs/>
          <w:sz w:val="28"/>
          <w:szCs w:val="28"/>
        </w:rPr>
        <w:t>спытание на поверхностную гидролитическую устойчивость</w:t>
      </w:r>
      <w:r w:rsidR="0010790F">
        <w:rPr>
          <w:b/>
          <w:iCs/>
          <w:sz w:val="28"/>
          <w:szCs w:val="28"/>
        </w:rPr>
        <w:t xml:space="preserve"> </w:t>
      </w:r>
      <w:r w:rsidR="00BD44BC" w:rsidRPr="00BD44BC">
        <w:rPr>
          <w:b/>
          <w:iCs/>
          <w:sz w:val="28"/>
          <w:szCs w:val="28"/>
        </w:rPr>
        <w:t>– определение</w:t>
      </w:r>
      <w:r w:rsidR="007214D3">
        <w:rPr>
          <w:b/>
          <w:iCs/>
          <w:sz w:val="28"/>
          <w:szCs w:val="28"/>
        </w:rPr>
        <w:t xml:space="preserve"> </w:t>
      </w:r>
      <w:r w:rsidR="007214D3" w:rsidRPr="007214D3">
        <w:rPr>
          <w:b/>
          <w:iCs/>
          <w:sz w:val="28"/>
          <w:szCs w:val="28"/>
        </w:rPr>
        <w:t>атомно-</w:t>
      </w:r>
      <w:r w:rsidR="007214D3">
        <w:rPr>
          <w:b/>
          <w:iCs/>
          <w:sz w:val="28"/>
          <w:szCs w:val="28"/>
        </w:rPr>
        <w:t>абсорбционной</w:t>
      </w:r>
      <w:r w:rsidR="00BD44BC" w:rsidRPr="00BD44BC">
        <w:rPr>
          <w:b/>
          <w:iCs/>
          <w:sz w:val="28"/>
          <w:szCs w:val="28"/>
        </w:rPr>
        <w:t xml:space="preserve"> </w:t>
      </w:r>
      <w:r w:rsidR="007214D3">
        <w:rPr>
          <w:b/>
          <w:bCs/>
          <w:sz w:val="28"/>
          <w:szCs w:val="28"/>
        </w:rPr>
        <w:t>спектрометрией (ААС) и атомно-эмиссионной</w:t>
      </w:r>
      <w:r w:rsidR="007214D3" w:rsidRPr="007214D3">
        <w:rPr>
          <w:b/>
          <w:bCs/>
          <w:sz w:val="28"/>
          <w:szCs w:val="28"/>
        </w:rPr>
        <w:t xml:space="preserve"> спектрометрией</w:t>
      </w:r>
      <w:r w:rsidR="007214D3" w:rsidRPr="007214D3">
        <w:rPr>
          <w:b/>
          <w:iCs/>
          <w:sz w:val="28"/>
          <w:szCs w:val="28"/>
        </w:rPr>
        <w:t xml:space="preserve"> (АЭС</w:t>
      </w:r>
      <w:r w:rsidR="007214D3">
        <w:rPr>
          <w:b/>
          <w:iCs/>
          <w:sz w:val="28"/>
          <w:szCs w:val="28"/>
        </w:rPr>
        <w:t>).</w:t>
      </w:r>
    </w:p>
    <w:p w:rsidR="00E3683C" w:rsidRPr="00BD44BC" w:rsidRDefault="00E3683C" w:rsidP="00BD44B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Поверхностная гидролитическая устойчивость стекла типов I и II может быть определена анализом щелочных растворов по</w:t>
      </w:r>
      <w:r w:rsidR="00721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 выщелачивания стекла </w:t>
      </w:r>
      <w:r w:rsidR="007214D3" w:rsidRPr="00331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методами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ААС и АЭС</w:t>
      </w:r>
      <w:r w:rsidR="003314FA" w:rsidRPr="00331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(ОФС «Атомно-абсорбционная спектрометрия», ОФС «Атомно-эмиссионная спектрометрия»). </w:t>
      </w: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Установлено, что ряд химических элементов, присутствующих в стекле в виде оксидов, влияют на щ</w:t>
      </w:r>
      <w:r w:rsidR="00922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лоч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 раствора, что используют</w:t>
      </w: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определения эквивалента щ</w:t>
      </w:r>
      <w:r w:rsidR="00922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лочности данным методом. Спектрометрический метод имеет преимущество, так как позволяет использовать значительно меньшие объ</w:t>
      </w:r>
      <w:r w:rsid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извлечения и может применяться для анализа небольших индивидуальных упаковок. Это позволяет объективно оценить качество упаковок определенной партии, где такой показатель может быть критичным. Оба метода не могут считаться взаимозаменяемыми</w:t>
      </w:r>
      <w:r w:rsidR="0010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результаты этих измерений не эквивалентны значениям, полученным при методе титриметрии. Корреляция между двумя методами зависит от типа стекла, а также от размера и формы упаковки. Титриметрический метод является стандартным методом; спектрометрический метод может быть использован при необходи</w:t>
      </w:r>
      <w:r w:rsid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мости и в обоснованных случаях.</w:t>
      </w:r>
    </w:p>
    <w:p w:rsidR="00FF46CA" w:rsidRDefault="00E3683C" w:rsidP="00BD3EBB">
      <w:pPr>
        <w:pStyle w:val="Default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3314FA">
        <w:rPr>
          <w:b/>
          <w:i/>
          <w:iCs/>
          <w:sz w:val="28"/>
          <w:szCs w:val="28"/>
        </w:rPr>
        <w:t>Методика</w:t>
      </w:r>
    </w:p>
    <w:p w:rsidR="008C3872" w:rsidRPr="00CC4C91" w:rsidRDefault="0010790F" w:rsidP="00FF46C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проводят на не</w:t>
      </w:r>
      <w:r w:rsidR="00E3683C" w:rsidRPr="00CC4C91">
        <w:rPr>
          <w:sz w:val="28"/>
          <w:szCs w:val="28"/>
        </w:rPr>
        <w:t xml:space="preserve">использованных ранее упаковках. Количество упаковок для испытаний приведено в </w:t>
      </w:r>
      <w:r w:rsidR="009220CB">
        <w:rPr>
          <w:sz w:val="28"/>
          <w:szCs w:val="28"/>
        </w:rPr>
        <w:t>т</w:t>
      </w:r>
      <w:r w:rsidR="00E3683C" w:rsidRPr="00CC4C91">
        <w:rPr>
          <w:sz w:val="28"/>
          <w:szCs w:val="28"/>
        </w:rPr>
        <w:t>абл</w:t>
      </w:r>
      <w:r w:rsidR="00642B20">
        <w:rPr>
          <w:sz w:val="28"/>
          <w:szCs w:val="28"/>
        </w:rPr>
        <w:t>.</w:t>
      </w:r>
      <w:r w:rsidR="00E3683C" w:rsidRPr="00CC4C91">
        <w:rPr>
          <w:sz w:val="28"/>
          <w:szCs w:val="28"/>
        </w:rPr>
        <w:t xml:space="preserve"> </w:t>
      </w:r>
      <w:r w:rsidR="00BD44BC">
        <w:rPr>
          <w:sz w:val="28"/>
          <w:szCs w:val="28"/>
        </w:rPr>
        <w:t>5</w:t>
      </w:r>
      <w:r w:rsidR="00E3683C" w:rsidRPr="00CC4C91">
        <w:rPr>
          <w:sz w:val="28"/>
          <w:szCs w:val="28"/>
        </w:rPr>
        <w:t>.</w:t>
      </w:r>
    </w:p>
    <w:p w:rsidR="004D7386" w:rsidRPr="00747500" w:rsidRDefault="001C311E" w:rsidP="00642B20">
      <w:pPr>
        <w:keepNext/>
        <w:keepLines/>
        <w:spacing w:before="240" w:after="120" w:line="240" w:lineRule="auto"/>
        <w:rPr>
          <w:rFonts w:ascii="Times New Roman" w:hAnsi="Times New Roman"/>
          <w:iCs/>
          <w:sz w:val="28"/>
          <w:szCs w:val="28"/>
        </w:rPr>
      </w:pPr>
      <w:r w:rsidRPr="001C311E">
        <w:rPr>
          <w:rFonts w:ascii="Times New Roman" w:hAnsi="Times New Roman"/>
          <w:sz w:val="28"/>
          <w:szCs w:val="28"/>
        </w:rPr>
        <w:lastRenderedPageBreak/>
        <w:t xml:space="preserve">Таблица 5. ‒ </w:t>
      </w:r>
      <w:r w:rsidRPr="001C311E">
        <w:rPr>
          <w:rFonts w:ascii="Times New Roman" w:hAnsi="Times New Roman"/>
          <w:iCs/>
          <w:sz w:val="28"/>
          <w:szCs w:val="28"/>
        </w:rPr>
        <w:t xml:space="preserve">Количество упаковок, которые могут быть использованы </w:t>
      </w:r>
      <w:r w:rsidR="00FF46CA">
        <w:rPr>
          <w:rFonts w:ascii="Times New Roman" w:hAnsi="Times New Roman"/>
          <w:iCs/>
          <w:sz w:val="28"/>
          <w:szCs w:val="28"/>
        </w:rPr>
        <w:t xml:space="preserve">для </w:t>
      </w:r>
      <w:r w:rsidR="00FF46CA" w:rsidRPr="00747500">
        <w:rPr>
          <w:rFonts w:ascii="Times New Roman" w:hAnsi="Times New Roman"/>
          <w:iCs/>
          <w:sz w:val="28"/>
          <w:szCs w:val="28"/>
        </w:rPr>
        <w:t xml:space="preserve">испытаний </w:t>
      </w:r>
      <w:r w:rsidR="00747500" w:rsidRPr="00747500">
        <w:rPr>
          <w:rFonts w:ascii="Times New Roman" w:hAnsi="Times New Roman"/>
          <w:iCs/>
          <w:sz w:val="28"/>
          <w:szCs w:val="28"/>
        </w:rPr>
        <w:t xml:space="preserve">на поверхностную гидролитическую устойчивость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3683C" w:rsidRPr="00175F3C" w:rsidTr="00E3683C"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Объ</w:t>
            </w:r>
            <w:r w:rsidR="009220CB" w:rsidRPr="00175F3C">
              <w:rPr>
                <w:b/>
                <w:bCs/>
              </w:rPr>
              <w:t>ё</w:t>
            </w:r>
            <w:r w:rsidRPr="00175F3C">
              <w:rPr>
                <w:b/>
                <w:bCs/>
              </w:rPr>
              <w:t xml:space="preserve">м наполнения (мл) 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 xml:space="preserve">Количество упаковок 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 xml:space="preserve">Количество упаковок, необходимое для дополнительных измерений </w:t>
            </w:r>
          </w:p>
        </w:tc>
      </w:tr>
      <w:tr w:rsidR="00E3683C" w:rsidRPr="00175F3C" w:rsidTr="00E3683C"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До 2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20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2</w:t>
            </w:r>
          </w:p>
        </w:tc>
      </w:tr>
      <w:tr w:rsidR="00E3683C" w:rsidRPr="00175F3C" w:rsidTr="00E3683C"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От 2 до 5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15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2</w:t>
            </w:r>
          </w:p>
        </w:tc>
      </w:tr>
      <w:tr w:rsidR="00E3683C" w:rsidRPr="00175F3C" w:rsidTr="00E3683C"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От 5 до 30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10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2</w:t>
            </w:r>
          </w:p>
        </w:tc>
      </w:tr>
      <w:tr w:rsidR="00E3683C" w:rsidRPr="00175F3C" w:rsidTr="00E3683C"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От 30 до 100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5</w:t>
            </w:r>
          </w:p>
        </w:tc>
        <w:tc>
          <w:tcPr>
            <w:tcW w:w="3190" w:type="dxa"/>
          </w:tcPr>
          <w:p w:rsidR="004D7386" w:rsidRDefault="00E3683C" w:rsidP="00642B20">
            <w:pPr>
              <w:pStyle w:val="Default"/>
              <w:keepNext/>
              <w:keepLines/>
              <w:spacing w:after="120"/>
              <w:jc w:val="center"/>
              <w:rPr>
                <w:rFonts w:eastAsia="Calibri"/>
              </w:rPr>
            </w:pPr>
            <w:r w:rsidRPr="00175F3C">
              <w:t>1</w:t>
            </w:r>
          </w:p>
        </w:tc>
      </w:tr>
      <w:tr w:rsidR="00E3683C" w:rsidRPr="00175F3C" w:rsidTr="00E3683C">
        <w:tc>
          <w:tcPr>
            <w:tcW w:w="3190" w:type="dxa"/>
          </w:tcPr>
          <w:p w:rsidR="004D7386" w:rsidRDefault="00E3683C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Более 100</w:t>
            </w:r>
          </w:p>
        </w:tc>
        <w:tc>
          <w:tcPr>
            <w:tcW w:w="3190" w:type="dxa"/>
          </w:tcPr>
          <w:p w:rsidR="004D7386" w:rsidRDefault="00E3683C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3</w:t>
            </w:r>
          </w:p>
        </w:tc>
        <w:tc>
          <w:tcPr>
            <w:tcW w:w="3190" w:type="dxa"/>
          </w:tcPr>
          <w:p w:rsidR="004D7386" w:rsidRDefault="00E3683C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</w:t>
            </w:r>
          </w:p>
        </w:tc>
      </w:tr>
    </w:tbl>
    <w:p w:rsidR="00D76A6B" w:rsidRPr="004A27EB" w:rsidRDefault="00D76A6B" w:rsidP="00642B20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B83561">
        <w:rPr>
          <w:sz w:val="28"/>
          <w:szCs w:val="28"/>
        </w:rPr>
        <w:t>Методика по определению объ</w:t>
      </w:r>
      <w:r w:rsidR="009220CB">
        <w:rPr>
          <w:sz w:val="28"/>
          <w:szCs w:val="28"/>
        </w:rPr>
        <w:t>ё</w:t>
      </w:r>
      <w:r w:rsidRPr="00B83561">
        <w:rPr>
          <w:sz w:val="28"/>
          <w:szCs w:val="28"/>
        </w:rPr>
        <w:t xml:space="preserve">ма </w:t>
      </w:r>
      <w:r w:rsidR="0078299C">
        <w:rPr>
          <w:sz w:val="28"/>
          <w:szCs w:val="28"/>
        </w:rPr>
        <w:t>на</w:t>
      </w:r>
      <w:r w:rsidRPr="00B83561">
        <w:rPr>
          <w:sz w:val="28"/>
          <w:szCs w:val="28"/>
        </w:rPr>
        <w:t xml:space="preserve">полнения, очистки упаковок, наполнения и </w:t>
      </w:r>
      <w:r w:rsidR="00ED5547" w:rsidRPr="00ED5547">
        <w:rPr>
          <w:sz w:val="28"/>
          <w:szCs w:val="28"/>
        </w:rPr>
        <w:t>процесса автоклавирования</w:t>
      </w:r>
      <w:r w:rsidR="00ED5547">
        <w:rPr>
          <w:sz w:val="28"/>
          <w:szCs w:val="28"/>
        </w:rPr>
        <w:t xml:space="preserve"> </w:t>
      </w:r>
      <w:r w:rsidRPr="00B83561">
        <w:rPr>
          <w:sz w:val="28"/>
          <w:szCs w:val="28"/>
        </w:rPr>
        <w:t xml:space="preserve">приведена в </w:t>
      </w:r>
      <w:r w:rsidR="0010790F">
        <w:rPr>
          <w:sz w:val="28"/>
          <w:szCs w:val="28"/>
        </w:rPr>
        <w:t>разделах</w:t>
      </w:r>
      <w:r w:rsidRPr="00B83561">
        <w:rPr>
          <w:sz w:val="28"/>
          <w:szCs w:val="28"/>
        </w:rPr>
        <w:t xml:space="preserve"> </w:t>
      </w:r>
      <w:r w:rsidR="00B83561">
        <w:rPr>
          <w:sz w:val="28"/>
          <w:szCs w:val="28"/>
        </w:rPr>
        <w:t>«</w:t>
      </w:r>
      <w:r w:rsidRPr="00B83561">
        <w:rPr>
          <w:sz w:val="28"/>
          <w:szCs w:val="28"/>
        </w:rPr>
        <w:t>Гидролитическая устойчивость</w:t>
      </w:r>
      <w:r w:rsidR="00B83561">
        <w:rPr>
          <w:sz w:val="28"/>
          <w:szCs w:val="28"/>
        </w:rPr>
        <w:t>»</w:t>
      </w:r>
      <w:r w:rsidRPr="00B83561">
        <w:rPr>
          <w:sz w:val="28"/>
          <w:szCs w:val="28"/>
        </w:rPr>
        <w:t xml:space="preserve"> и </w:t>
      </w:r>
      <w:r w:rsidR="00747500">
        <w:rPr>
          <w:sz w:val="28"/>
          <w:szCs w:val="28"/>
        </w:rPr>
        <w:t>испытании</w:t>
      </w:r>
      <w:r w:rsidRPr="00B83561">
        <w:rPr>
          <w:sz w:val="28"/>
          <w:szCs w:val="28"/>
        </w:rPr>
        <w:t xml:space="preserve"> А.</w:t>
      </w:r>
    </w:p>
    <w:p w:rsidR="00D76A6B" w:rsidRPr="004A27EB" w:rsidRDefault="00FD0E8B" w:rsidP="00BD3E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 w:rsidR="00D76A6B" w:rsidRPr="004A27EB">
        <w:rPr>
          <w:i/>
          <w:iCs/>
          <w:sz w:val="28"/>
          <w:szCs w:val="28"/>
        </w:rPr>
        <w:t>уферный раствор</w:t>
      </w:r>
      <w:r w:rsidR="0095098B">
        <w:rPr>
          <w:sz w:val="28"/>
          <w:szCs w:val="28"/>
        </w:rPr>
        <w:t xml:space="preserve">. </w:t>
      </w:r>
      <w:r w:rsidR="005F73D4">
        <w:rPr>
          <w:sz w:val="28"/>
          <w:szCs w:val="28"/>
        </w:rPr>
        <w:t xml:space="preserve">Растворяют </w:t>
      </w:r>
      <w:r w:rsidR="0095098B">
        <w:rPr>
          <w:sz w:val="28"/>
          <w:szCs w:val="28"/>
        </w:rPr>
        <w:t>80 </w:t>
      </w:r>
      <w:r w:rsidR="00D76A6B" w:rsidRPr="001113BA">
        <w:rPr>
          <w:sz w:val="28"/>
          <w:szCs w:val="28"/>
        </w:rPr>
        <w:t xml:space="preserve">г </w:t>
      </w:r>
      <w:r w:rsidR="00D76A6B" w:rsidRPr="001113BA">
        <w:rPr>
          <w:iCs/>
          <w:sz w:val="28"/>
          <w:szCs w:val="28"/>
        </w:rPr>
        <w:t>цезия хлорида</w:t>
      </w:r>
      <w:r w:rsidR="00986607" w:rsidRPr="001113BA">
        <w:rPr>
          <w:sz w:val="28"/>
          <w:szCs w:val="28"/>
        </w:rPr>
        <w:t xml:space="preserve"> в 300 </w:t>
      </w:r>
      <w:r w:rsidR="00D76A6B" w:rsidRPr="001113BA">
        <w:rPr>
          <w:sz w:val="28"/>
          <w:szCs w:val="28"/>
        </w:rPr>
        <w:t>мл воды</w:t>
      </w:r>
      <w:r w:rsidR="00726AC6" w:rsidRPr="001113BA">
        <w:rPr>
          <w:sz w:val="28"/>
          <w:szCs w:val="28"/>
        </w:rPr>
        <w:t>, свободной от углерода диоксида</w:t>
      </w:r>
      <w:r w:rsidR="005F73D4">
        <w:rPr>
          <w:sz w:val="28"/>
          <w:szCs w:val="28"/>
        </w:rPr>
        <w:t xml:space="preserve">, </w:t>
      </w:r>
      <w:r w:rsidR="005F73D4" w:rsidRPr="0013398B">
        <w:rPr>
          <w:color w:val="000000" w:themeColor="text1"/>
          <w:sz w:val="28"/>
          <w:szCs w:val="28"/>
        </w:rPr>
        <w:t xml:space="preserve">количественно переносят полученный раствор в </w:t>
      </w:r>
      <w:r w:rsidR="005F73D4">
        <w:rPr>
          <w:color w:val="000000" w:themeColor="text1"/>
          <w:sz w:val="28"/>
          <w:szCs w:val="28"/>
        </w:rPr>
        <w:t>мерную колбу вместимостью</w:t>
      </w:r>
      <w:r w:rsidR="00986607" w:rsidRPr="001113BA">
        <w:rPr>
          <w:sz w:val="28"/>
          <w:szCs w:val="28"/>
        </w:rPr>
        <w:t xml:space="preserve"> 1000 </w:t>
      </w:r>
      <w:r w:rsidR="0095098B" w:rsidRPr="001113BA">
        <w:rPr>
          <w:sz w:val="28"/>
          <w:szCs w:val="28"/>
        </w:rPr>
        <w:t>мл, прибавляют 10 </w:t>
      </w:r>
      <w:r w:rsidR="00986607" w:rsidRPr="001113BA">
        <w:rPr>
          <w:sz w:val="28"/>
          <w:szCs w:val="28"/>
        </w:rPr>
        <w:t xml:space="preserve">мл </w:t>
      </w:r>
      <w:r w:rsidR="0078299C">
        <w:rPr>
          <w:iCs/>
          <w:sz w:val="28"/>
          <w:szCs w:val="28"/>
        </w:rPr>
        <w:t>хлористо</w:t>
      </w:r>
      <w:r w:rsidR="00D76A6B" w:rsidRPr="001113BA">
        <w:rPr>
          <w:iCs/>
          <w:sz w:val="28"/>
          <w:szCs w:val="28"/>
        </w:rPr>
        <w:t>водородной кислоты</w:t>
      </w:r>
      <w:r w:rsidR="0078299C">
        <w:rPr>
          <w:iCs/>
          <w:sz w:val="28"/>
          <w:szCs w:val="28"/>
        </w:rPr>
        <w:t xml:space="preserve"> раствор</w:t>
      </w:r>
      <w:r w:rsidR="005F73D4">
        <w:rPr>
          <w:iCs/>
          <w:sz w:val="28"/>
          <w:szCs w:val="28"/>
        </w:rPr>
        <w:t>а</w:t>
      </w:r>
      <w:r w:rsidR="00D76A6B" w:rsidRPr="001113BA">
        <w:rPr>
          <w:i/>
          <w:iCs/>
          <w:sz w:val="28"/>
          <w:szCs w:val="28"/>
        </w:rPr>
        <w:t xml:space="preserve"> </w:t>
      </w:r>
      <w:r w:rsidR="0078299C" w:rsidRPr="001113BA">
        <w:rPr>
          <w:sz w:val="28"/>
          <w:szCs w:val="28"/>
        </w:rPr>
        <w:t xml:space="preserve">6 М </w:t>
      </w:r>
      <w:r w:rsidR="00D76A6B" w:rsidRPr="001113BA">
        <w:rPr>
          <w:sz w:val="28"/>
          <w:szCs w:val="28"/>
        </w:rPr>
        <w:t>и</w:t>
      </w:r>
      <w:r w:rsidR="00D76A6B" w:rsidRPr="004A27EB">
        <w:rPr>
          <w:sz w:val="28"/>
          <w:szCs w:val="28"/>
        </w:rPr>
        <w:t xml:space="preserve"> доводят </w:t>
      </w:r>
      <w:r w:rsidR="00726AC6" w:rsidRPr="00726AC6">
        <w:rPr>
          <w:sz w:val="28"/>
          <w:szCs w:val="28"/>
        </w:rPr>
        <w:t>вод</w:t>
      </w:r>
      <w:r w:rsidR="00726AC6">
        <w:rPr>
          <w:sz w:val="28"/>
          <w:szCs w:val="28"/>
        </w:rPr>
        <w:t>ой</w:t>
      </w:r>
      <w:r w:rsidR="00726AC6" w:rsidRPr="00726AC6">
        <w:rPr>
          <w:sz w:val="28"/>
          <w:szCs w:val="28"/>
        </w:rPr>
        <w:t>, свободн</w:t>
      </w:r>
      <w:r w:rsidR="00726AC6">
        <w:rPr>
          <w:sz w:val="28"/>
          <w:szCs w:val="28"/>
        </w:rPr>
        <w:t>ой</w:t>
      </w:r>
      <w:r w:rsidR="00726AC6" w:rsidRPr="00726AC6">
        <w:rPr>
          <w:sz w:val="28"/>
          <w:szCs w:val="28"/>
        </w:rPr>
        <w:t xml:space="preserve"> от углерода диоксида</w:t>
      </w:r>
      <w:r w:rsidR="00D76A6B" w:rsidRPr="004A27EB">
        <w:rPr>
          <w:i/>
          <w:iCs/>
          <w:sz w:val="28"/>
          <w:szCs w:val="28"/>
        </w:rPr>
        <w:t xml:space="preserve"> </w:t>
      </w:r>
      <w:r w:rsidR="00BD3EBB">
        <w:rPr>
          <w:sz w:val="28"/>
          <w:szCs w:val="28"/>
        </w:rPr>
        <w:t>до метки, перемешивают.</w:t>
      </w:r>
    </w:p>
    <w:p w:rsidR="00726AC6" w:rsidRPr="001113BA" w:rsidRDefault="00130601" w:rsidP="00BD3E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Эталонный</w:t>
      </w:r>
      <w:r w:rsidR="00726AC6" w:rsidRPr="004A27EB">
        <w:rPr>
          <w:i/>
          <w:iCs/>
          <w:sz w:val="28"/>
          <w:szCs w:val="28"/>
        </w:rPr>
        <w:t xml:space="preserve"> </w:t>
      </w:r>
      <w:r w:rsidR="00726AC6" w:rsidRPr="001113BA">
        <w:rPr>
          <w:i/>
          <w:iCs/>
          <w:sz w:val="28"/>
          <w:szCs w:val="28"/>
        </w:rPr>
        <w:t>раствор</w:t>
      </w:r>
      <w:r w:rsidRPr="001113BA">
        <w:rPr>
          <w:i/>
          <w:sz w:val="28"/>
          <w:szCs w:val="28"/>
        </w:rPr>
        <w:t xml:space="preserve"> натрия оксида</w:t>
      </w:r>
      <w:r>
        <w:rPr>
          <w:i/>
          <w:sz w:val="28"/>
          <w:szCs w:val="28"/>
        </w:rPr>
        <w:t xml:space="preserve">. </w:t>
      </w:r>
      <w:r w:rsidRPr="00130601">
        <w:rPr>
          <w:sz w:val="28"/>
          <w:szCs w:val="28"/>
        </w:rPr>
        <w:t>В мерную колбу</w:t>
      </w:r>
      <w:r>
        <w:rPr>
          <w:sz w:val="28"/>
          <w:szCs w:val="28"/>
        </w:rPr>
        <w:t xml:space="preserve"> </w:t>
      </w:r>
      <w:r w:rsidR="005F73D4" w:rsidRPr="0013398B">
        <w:rPr>
          <w:color w:val="000000" w:themeColor="text1"/>
          <w:sz w:val="28"/>
          <w:szCs w:val="28"/>
        </w:rPr>
        <w:t>вместимостью</w:t>
      </w:r>
      <w:r w:rsidR="005F73D4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BD3EBB">
        <w:rPr>
          <w:sz w:val="28"/>
          <w:szCs w:val="28"/>
        </w:rPr>
        <w:t> </w:t>
      </w:r>
      <w:r>
        <w:rPr>
          <w:sz w:val="28"/>
          <w:szCs w:val="28"/>
        </w:rPr>
        <w:t>мл помещают 2</w:t>
      </w:r>
      <w:r w:rsidR="005D5630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Pr="00130601">
        <w:rPr>
          <w:sz w:val="28"/>
          <w:szCs w:val="28"/>
        </w:rPr>
        <w:t>натрия оксид</w:t>
      </w:r>
      <w:r>
        <w:rPr>
          <w:sz w:val="28"/>
          <w:szCs w:val="28"/>
        </w:rPr>
        <w:t xml:space="preserve">а </w:t>
      </w:r>
      <w:r w:rsidR="00E63DE3">
        <w:rPr>
          <w:sz w:val="28"/>
          <w:szCs w:val="28"/>
        </w:rPr>
        <w:t xml:space="preserve">стандартного раствора </w:t>
      </w:r>
      <w:r w:rsidR="005D5630">
        <w:rPr>
          <w:sz w:val="28"/>
          <w:szCs w:val="28"/>
        </w:rPr>
        <w:t>1 </w:t>
      </w:r>
      <w:r w:rsidR="00720E8D">
        <w:rPr>
          <w:sz w:val="28"/>
          <w:szCs w:val="28"/>
        </w:rPr>
        <w:t xml:space="preserve">мг/мл </w:t>
      </w:r>
      <w:r>
        <w:rPr>
          <w:sz w:val="28"/>
          <w:szCs w:val="28"/>
        </w:rPr>
        <w:t xml:space="preserve">и доводят </w:t>
      </w:r>
      <w:r w:rsidRPr="00726AC6">
        <w:rPr>
          <w:sz w:val="28"/>
          <w:szCs w:val="28"/>
        </w:rPr>
        <w:t>вод</w:t>
      </w:r>
      <w:r>
        <w:rPr>
          <w:sz w:val="28"/>
          <w:szCs w:val="28"/>
        </w:rPr>
        <w:t>ой</w:t>
      </w:r>
      <w:r w:rsidRPr="00726AC6">
        <w:rPr>
          <w:sz w:val="28"/>
          <w:szCs w:val="28"/>
        </w:rPr>
        <w:t>, свободн</w:t>
      </w:r>
      <w:r>
        <w:rPr>
          <w:sz w:val="28"/>
          <w:szCs w:val="28"/>
        </w:rPr>
        <w:t>ой</w:t>
      </w:r>
      <w:r w:rsidRPr="00726AC6">
        <w:rPr>
          <w:sz w:val="28"/>
          <w:szCs w:val="28"/>
        </w:rPr>
        <w:t xml:space="preserve"> от углерода диоксида</w:t>
      </w:r>
      <w:r w:rsidRPr="004A27EB">
        <w:rPr>
          <w:i/>
          <w:iCs/>
          <w:sz w:val="28"/>
          <w:szCs w:val="28"/>
        </w:rPr>
        <w:t xml:space="preserve"> </w:t>
      </w:r>
      <w:r w:rsidRPr="001113BA">
        <w:rPr>
          <w:sz w:val="28"/>
          <w:szCs w:val="28"/>
        </w:rPr>
        <w:t>до метки.</w:t>
      </w:r>
    </w:p>
    <w:p w:rsidR="00130601" w:rsidRDefault="00130601" w:rsidP="00BD3EBB">
      <w:pPr>
        <w:pStyle w:val="Default"/>
        <w:spacing w:line="360" w:lineRule="auto"/>
        <w:ind w:firstLine="709"/>
        <w:rPr>
          <w:sz w:val="28"/>
          <w:szCs w:val="28"/>
        </w:rPr>
      </w:pPr>
      <w:r w:rsidRPr="001113BA">
        <w:rPr>
          <w:i/>
          <w:iCs/>
          <w:sz w:val="28"/>
          <w:szCs w:val="28"/>
        </w:rPr>
        <w:t>Эталонный раствор</w:t>
      </w:r>
      <w:r w:rsidRPr="001113BA">
        <w:rPr>
          <w:i/>
          <w:sz w:val="28"/>
          <w:szCs w:val="28"/>
        </w:rPr>
        <w:t xml:space="preserve"> калия оксида</w:t>
      </w:r>
      <w:r>
        <w:rPr>
          <w:i/>
          <w:sz w:val="28"/>
          <w:szCs w:val="28"/>
        </w:rPr>
        <w:t xml:space="preserve">. </w:t>
      </w:r>
      <w:r w:rsidRPr="00130601">
        <w:rPr>
          <w:sz w:val="28"/>
          <w:szCs w:val="28"/>
        </w:rPr>
        <w:t>В мерную колбу</w:t>
      </w:r>
      <w:r>
        <w:rPr>
          <w:sz w:val="28"/>
          <w:szCs w:val="28"/>
        </w:rPr>
        <w:t xml:space="preserve"> </w:t>
      </w:r>
      <w:r w:rsidR="005F73D4" w:rsidRPr="0013398B">
        <w:rPr>
          <w:color w:val="000000" w:themeColor="text1"/>
          <w:sz w:val="28"/>
          <w:szCs w:val="28"/>
        </w:rPr>
        <w:t>вместимостью</w:t>
      </w:r>
      <w:r w:rsidR="005F73D4" w:rsidRPr="00BD3EBB">
        <w:rPr>
          <w:sz w:val="28"/>
          <w:szCs w:val="28"/>
        </w:rPr>
        <w:t xml:space="preserve"> </w:t>
      </w:r>
      <w:r w:rsidRPr="00BD3EBB">
        <w:rPr>
          <w:sz w:val="28"/>
          <w:szCs w:val="28"/>
        </w:rPr>
        <w:t>100</w:t>
      </w:r>
      <w:r w:rsidR="00BD3EBB">
        <w:rPr>
          <w:sz w:val="28"/>
          <w:szCs w:val="28"/>
        </w:rPr>
        <w:t> </w:t>
      </w:r>
      <w:r w:rsidRPr="00BD3EBB">
        <w:rPr>
          <w:sz w:val="28"/>
          <w:szCs w:val="28"/>
        </w:rPr>
        <w:t>мл</w:t>
      </w:r>
      <w:r>
        <w:rPr>
          <w:sz w:val="28"/>
          <w:szCs w:val="28"/>
        </w:rPr>
        <w:t xml:space="preserve"> помещают 2мл калия</w:t>
      </w:r>
      <w:r w:rsidRPr="00130601">
        <w:rPr>
          <w:sz w:val="28"/>
          <w:szCs w:val="28"/>
        </w:rPr>
        <w:t xml:space="preserve"> оксид</w:t>
      </w:r>
      <w:r>
        <w:rPr>
          <w:sz w:val="28"/>
          <w:szCs w:val="28"/>
        </w:rPr>
        <w:t>а</w:t>
      </w:r>
      <w:r w:rsidR="005D5630">
        <w:rPr>
          <w:sz w:val="28"/>
          <w:szCs w:val="28"/>
        </w:rPr>
        <w:t xml:space="preserve"> </w:t>
      </w:r>
      <w:r w:rsidR="00E63DE3" w:rsidRPr="00130601">
        <w:rPr>
          <w:iCs/>
          <w:sz w:val="28"/>
          <w:szCs w:val="28"/>
        </w:rPr>
        <w:t>стандартного раствора</w:t>
      </w:r>
      <w:r w:rsidR="00E63DE3" w:rsidRPr="00130601">
        <w:rPr>
          <w:sz w:val="28"/>
          <w:szCs w:val="28"/>
        </w:rPr>
        <w:t xml:space="preserve"> </w:t>
      </w:r>
      <w:r w:rsidR="005D5630">
        <w:rPr>
          <w:sz w:val="28"/>
          <w:szCs w:val="28"/>
        </w:rPr>
        <w:t>1 </w:t>
      </w:r>
      <w:r w:rsidR="00720E8D">
        <w:rPr>
          <w:sz w:val="28"/>
          <w:szCs w:val="28"/>
        </w:rPr>
        <w:t>мг/мл</w:t>
      </w:r>
      <w:r>
        <w:rPr>
          <w:sz w:val="28"/>
          <w:szCs w:val="28"/>
        </w:rPr>
        <w:t xml:space="preserve"> и доводят </w:t>
      </w:r>
      <w:r w:rsidRPr="00726AC6">
        <w:rPr>
          <w:sz w:val="28"/>
          <w:szCs w:val="28"/>
        </w:rPr>
        <w:t>вод</w:t>
      </w:r>
      <w:r>
        <w:rPr>
          <w:sz w:val="28"/>
          <w:szCs w:val="28"/>
        </w:rPr>
        <w:t>ой</w:t>
      </w:r>
      <w:r w:rsidRPr="00726AC6">
        <w:rPr>
          <w:sz w:val="28"/>
          <w:szCs w:val="28"/>
        </w:rPr>
        <w:t>, свободн</w:t>
      </w:r>
      <w:r>
        <w:rPr>
          <w:sz w:val="28"/>
          <w:szCs w:val="28"/>
        </w:rPr>
        <w:t>ой</w:t>
      </w:r>
      <w:r w:rsidRPr="00726AC6">
        <w:rPr>
          <w:sz w:val="28"/>
          <w:szCs w:val="28"/>
        </w:rPr>
        <w:t xml:space="preserve"> от углерода диоксида</w:t>
      </w:r>
      <w:r w:rsidRPr="004A27EB">
        <w:rPr>
          <w:i/>
          <w:iCs/>
          <w:sz w:val="28"/>
          <w:szCs w:val="28"/>
        </w:rPr>
        <w:t xml:space="preserve"> </w:t>
      </w:r>
      <w:r w:rsidRPr="004A27EB">
        <w:rPr>
          <w:sz w:val="28"/>
          <w:szCs w:val="28"/>
        </w:rPr>
        <w:t>до метки</w:t>
      </w:r>
      <w:r>
        <w:rPr>
          <w:sz w:val="28"/>
          <w:szCs w:val="28"/>
        </w:rPr>
        <w:t>.</w:t>
      </w:r>
    </w:p>
    <w:p w:rsidR="00726AC6" w:rsidRDefault="00130601" w:rsidP="005D563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Эталонный</w:t>
      </w:r>
      <w:r w:rsidRPr="004A27EB">
        <w:rPr>
          <w:i/>
          <w:iCs/>
          <w:sz w:val="28"/>
          <w:szCs w:val="28"/>
        </w:rPr>
        <w:t xml:space="preserve"> </w:t>
      </w:r>
      <w:r w:rsidRPr="001113BA">
        <w:rPr>
          <w:i/>
          <w:iCs/>
          <w:sz w:val="28"/>
          <w:szCs w:val="28"/>
        </w:rPr>
        <w:t>раствор</w:t>
      </w:r>
      <w:r w:rsidRPr="001113BA">
        <w:rPr>
          <w:i/>
          <w:sz w:val="28"/>
          <w:szCs w:val="28"/>
        </w:rPr>
        <w:t xml:space="preserve"> кальция оксида.</w:t>
      </w:r>
      <w:r>
        <w:rPr>
          <w:i/>
          <w:sz w:val="28"/>
          <w:szCs w:val="28"/>
        </w:rPr>
        <w:t xml:space="preserve"> </w:t>
      </w:r>
      <w:r w:rsidRPr="00130601">
        <w:rPr>
          <w:sz w:val="28"/>
          <w:szCs w:val="28"/>
        </w:rPr>
        <w:t>В мерную колбу</w:t>
      </w:r>
      <w:r>
        <w:rPr>
          <w:sz w:val="28"/>
          <w:szCs w:val="28"/>
        </w:rPr>
        <w:t xml:space="preserve"> </w:t>
      </w:r>
      <w:r w:rsidR="005F73D4" w:rsidRPr="0013398B">
        <w:rPr>
          <w:color w:val="000000" w:themeColor="text1"/>
          <w:sz w:val="28"/>
          <w:szCs w:val="28"/>
        </w:rPr>
        <w:t>вместимостью</w:t>
      </w:r>
      <w:r w:rsidR="005F73D4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5D5630">
        <w:rPr>
          <w:sz w:val="28"/>
          <w:szCs w:val="28"/>
        </w:rPr>
        <w:t> </w:t>
      </w:r>
      <w:r>
        <w:rPr>
          <w:sz w:val="28"/>
          <w:szCs w:val="28"/>
        </w:rPr>
        <w:t>мл помещают 2</w:t>
      </w:r>
      <w:r w:rsidR="005D5630">
        <w:rPr>
          <w:sz w:val="28"/>
          <w:szCs w:val="28"/>
        </w:rPr>
        <w:t> </w:t>
      </w:r>
      <w:r>
        <w:rPr>
          <w:sz w:val="28"/>
          <w:szCs w:val="28"/>
        </w:rPr>
        <w:t>мл кальция</w:t>
      </w:r>
      <w:r w:rsidRPr="00130601">
        <w:rPr>
          <w:sz w:val="28"/>
          <w:szCs w:val="28"/>
        </w:rPr>
        <w:t xml:space="preserve"> оксид</w:t>
      </w:r>
      <w:r>
        <w:rPr>
          <w:sz w:val="28"/>
          <w:szCs w:val="28"/>
        </w:rPr>
        <w:t xml:space="preserve">а </w:t>
      </w:r>
      <w:r w:rsidR="00E63DE3" w:rsidRPr="00130601">
        <w:rPr>
          <w:iCs/>
          <w:sz w:val="28"/>
          <w:szCs w:val="28"/>
        </w:rPr>
        <w:t>стандартного раствора</w:t>
      </w:r>
      <w:r w:rsidR="00E63DE3" w:rsidRPr="00130601">
        <w:rPr>
          <w:sz w:val="28"/>
          <w:szCs w:val="28"/>
        </w:rPr>
        <w:t xml:space="preserve"> </w:t>
      </w:r>
      <w:r w:rsidR="005D5630">
        <w:rPr>
          <w:sz w:val="28"/>
          <w:szCs w:val="28"/>
        </w:rPr>
        <w:t>1 </w:t>
      </w:r>
      <w:r w:rsidR="00720E8D">
        <w:rPr>
          <w:sz w:val="28"/>
          <w:szCs w:val="28"/>
        </w:rPr>
        <w:t xml:space="preserve">мг/мл </w:t>
      </w:r>
      <w:r>
        <w:rPr>
          <w:sz w:val="28"/>
          <w:szCs w:val="28"/>
        </w:rPr>
        <w:t xml:space="preserve">и доводят </w:t>
      </w:r>
      <w:r w:rsidRPr="00726AC6">
        <w:rPr>
          <w:sz w:val="28"/>
          <w:szCs w:val="28"/>
        </w:rPr>
        <w:t>вод</w:t>
      </w:r>
      <w:r>
        <w:rPr>
          <w:sz w:val="28"/>
          <w:szCs w:val="28"/>
        </w:rPr>
        <w:t>ой</w:t>
      </w:r>
      <w:r w:rsidRPr="00726AC6">
        <w:rPr>
          <w:sz w:val="28"/>
          <w:szCs w:val="28"/>
        </w:rPr>
        <w:t>, свободн</w:t>
      </w:r>
      <w:r>
        <w:rPr>
          <w:sz w:val="28"/>
          <w:szCs w:val="28"/>
        </w:rPr>
        <w:t>ой</w:t>
      </w:r>
      <w:r w:rsidRPr="00726AC6">
        <w:rPr>
          <w:sz w:val="28"/>
          <w:szCs w:val="28"/>
        </w:rPr>
        <w:t xml:space="preserve"> от углерода диоксида</w:t>
      </w:r>
      <w:r w:rsidRPr="004A27EB">
        <w:rPr>
          <w:i/>
          <w:iCs/>
          <w:sz w:val="28"/>
          <w:szCs w:val="28"/>
        </w:rPr>
        <w:t xml:space="preserve"> </w:t>
      </w:r>
      <w:r w:rsidRPr="004A27EB">
        <w:rPr>
          <w:sz w:val="28"/>
          <w:szCs w:val="28"/>
        </w:rPr>
        <w:t>до метки</w:t>
      </w:r>
      <w:r>
        <w:rPr>
          <w:sz w:val="28"/>
          <w:szCs w:val="28"/>
        </w:rPr>
        <w:t>.</w:t>
      </w:r>
    </w:p>
    <w:p w:rsidR="00FA71D2" w:rsidRDefault="00FA71D2" w:rsidP="00D90E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Калибровочный</w:t>
      </w:r>
      <w:r w:rsidRPr="004A27EB">
        <w:rPr>
          <w:i/>
          <w:iCs/>
          <w:sz w:val="28"/>
          <w:szCs w:val="28"/>
        </w:rPr>
        <w:t xml:space="preserve"> раствор</w:t>
      </w:r>
      <w:r w:rsidRPr="004A27EB">
        <w:rPr>
          <w:sz w:val="28"/>
          <w:szCs w:val="28"/>
        </w:rPr>
        <w:t>. Готовят раств</w:t>
      </w:r>
      <w:r w:rsidR="001113BA">
        <w:rPr>
          <w:sz w:val="28"/>
          <w:szCs w:val="28"/>
        </w:rPr>
        <w:t>оры для построения калибровочного</w:t>
      </w:r>
      <w:r w:rsidRPr="004A27EB">
        <w:rPr>
          <w:sz w:val="28"/>
          <w:szCs w:val="28"/>
        </w:rPr>
        <w:t xml:space="preserve"> </w:t>
      </w:r>
      <w:r w:rsidR="001113BA" w:rsidRPr="001113BA">
        <w:rPr>
          <w:color w:val="000000" w:themeColor="text1"/>
          <w:sz w:val="28"/>
          <w:szCs w:val="28"/>
        </w:rPr>
        <w:t>графика</w:t>
      </w:r>
      <w:r w:rsidRPr="004A27EB">
        <w:rPr>
          <w:sz w:val="28"/>
          <w:szCs w:val="28"/>
        </w:rPr>
        <w:t xml:space="preserve"> (набор калибровочных растворов) пут</w:t>
      </w:r>
      <w:r w:rsidR="000F4215">
        <w:rPr>
          <w:sz w:val="28"/>
          <w:szCs w:val="28"/>
        </w:rPr>
        <w:t>ё</w:t>
      </w:r>
      <w:r w:rsidRPr="004A27EB">
        <w:rPr>
          <w:sz w:val="28"/>
          <w:szCs w:val="28"/>
        </w:rPr>
        <w:t xml:space="preserve">м разбавления подходящих </w:t>
      </w:r>
      <w:r w:rsidRPr="001113BA">
        <w:rPr>
          <w:sz w:val="28"/>
          <w:szCs w:val="28"/>
        </w:rPr>
        <w:t xml:space="preserve">эталонных растворов водой, свободной от углерода диоксида, учитывая нормальные рабочие диапазоны конкретных элементов, </w:t>
      </w:r>
      <w:r w:rsidRPr="001113BA">
        <w:rPr>
          <w:sz w:val="28"/>
          <w:szCs w:val="28"/>
        </w:rPr>
        <w:lastRenderedPageBreak/>
        <w:t xml:space="preserve">используемого для измерения. </w:t>
      </w:r>
      <w:r w:rsidR="008E3D5E" w:rsidRPr="001113BA">
        <w:rPr>
          <w:sz w:val="28"/>
          <w:szCs w:val="28"/>
        </w:rPr>
        <w:t>Нормальные</w:t>
      </w:r>
      <w:r w:rsidRPr="001113BA">
        <w:rPr>
          <w:sz w:val="28"/>
          <w:szCs w:val="28"/>
        </w:rPr>
        <w:t xml:space="preserve"> диапазоны концентраций растворов:</w:t>
      </w:r>
    </w:p>
    <w:p w:rsidR="00FA71D2" w:rsidRPr="004A27EB" w:rsidRDefault="00D90E3C" w:rsidP="00642B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3D5E">
        <w:rPr>
          <w:sz w:val="28"/>
          <w:szCs w:val="28"/>
        </w:rPr>
        <w:t xml:space="preserve"> для определения методом атомно-</w:t>
      </w:r>
      <w:r w:rsidR="00FA71D2" w:rsidRPr="004A27EB">
        <w:rPr>
          <w:sz w:val="28"/>
          <w:szCs w:val="28"/>
        </w:rPr>
        <w:t>эмиссионной спектрометрии натрия оксида и калия оксида</w:t>
      </w:r>
      <w:r w:rsidR="008E3D5E">
        <w:rPr>
          <w:sz w:val="28"/>
          <w:szCs w:val="28"/>
        </w:rPr>
        <w:t xml:space="preserve"> </w:t>
      </w:r>
      <w:r>
        <w:rPr>
          <w:sz w:val="28"/>
          <w:szCs w:val="28"/>
        </w:rPr>
        <w:t>– до </w:t>
      </w:r>
      <w:r w:rsidR="00642B20">
        <w:rPr>
          <w:sz w:val="28"/>
          <w:szCs w:val="28"/>
        </w:rPr>
        <w:t>10 </w:t>
      </w:r>
      <w:r w:rsidR="00FA71D2" w:rsidRPr="004A27EB">
        <w:rPr>
          <w:sz w:val="28"/>
          <w:szCs w:val="28"/>
        </w:rPr>
        <w:t>мкг/мл;</w:t>
      </w:r>
    </w:p>
    <w:p w:rsidR="00FA71D2" w:rsidRPr="004A27EB" w:rsidRDefault="00D90E3C" w:rsidP="00642B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1D2" w:rsidRPr="004A27EB">
        <w:rPr>
          <w:sz w:val="28"/>
          <w:szCs w:val="28"/>
        </w:rPr>
        <w:t xml:space="preserve"> для определения методом атомно-абсорбционной спектромет</w:t>
      </w:r>
      <w:r w:rsidR="008E3D5E">
        <w:rPr>
          <w:sz w:val="28"/>
          <w:szCs w:val="28"/>
        </w:rPr>
        <w:t>р</w:t>
      </w:r>
      <w:r w:rsidR="00642B20">
        <w:rPr>
          <w:sz w:val="28"/>
          <w:szCs w:val="28"/>
        </w:rPr>
        <w:t>ии натрия оксида и калия оксид –</w:t>
      </w:r>
      <w:r>
        <w:rPr>
          <w:sz w:val="28"/>
          <w:szCs w:val="28"/>
        </w:rPr>
        <w:t xml:space="preserve"> до 3 </w:t>
      </w:r>
      <w:r w:rsidR="00FA71D2" w:rsidRPr="004A27EB">
        <w:rPr>
          <w:sz w:val="28"/>
          <w:szCs w:val="28"/>
        </w:rPr>
        <w:t>мкг/мл;</w:t>
      </w:r>
    </w:p>
    <w:p w:rsidR="00FA71D2" w:rsidRPr="00B83561" w:rsidRDefault="00D90E3C" w:rsidP="00642B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1D2" w:rsidRPr="004A27EB">
        <w:rPr>
          <w:sz w:val="28"/>
          <w:szCs w:val="28"/>
        </w:rPr>
        <w:t xml:space="preserve"> для определения методом атомно-абсорбционн</w:t>
      </w:r>
      <w:r w:rsidR="008E3D5E">
        <w:rPr>
          <w:sz w:val="28"/>
          <w:szCs w:val="28"/>
        </w:rPr>
        <w:t>о</w:t>
      </w:r>
      <w:r w:rsidR="00642B20">
        <w:rPr>
          <w:sz w:val="28"/>
          <w:szCs w:val="28"/>
        </w:rPr>
        <w:t>й спектрометрии кальция оксида –</w:t>
      </w:r>
      <w:r>
        <w:rPr>
          <w:sz w:val="28"/>
          <w:szCs w:val="28"/>
        </w:rPr>
        <w:t xml:space="preserve"> до 7 </w:t>
      </w:r>
      <w:r w:rsidR="00FA71D2" w:rsidRPr="004A27EB">
        <w:rPr>
          <w:sz w:val="28"/>
          <w:szCs w:val="28"/>
        </w:rPr>
        <w:t>мкг/мл.</w:t>
      </w:r>
    </w:p>
    <w:p w:rsidR="00D76A6B" w:rsidRPr="00E63DE3" w:rsidRDefault="00521C59" w:rsidP="00642B20">
      <w:pPr>
        <w:pStyle w:val="Default"/>
        <w:keepNext/>
        <w:spacing w:line="360" w:lineRule="auto"/>
        <w:ind w:firstLine="709"/>
        <w:rPr>
          <w:i/>
          <w:sz w:val="23"/>
          <w:szCs w:val="23"/>
        </w:rPr>
      </w:pPr>
      <w:r w:rsidRPr="00E63DE3">
        <w:rPr>
          <w:b/>
          <w:i/>
          <w:iCs/>
          <w:sz w:val="28"/>
          <w:szCs w:val="28"/>
        </w:rPr>
        <w:t>Методика</w:t>
      </w:r>
    </w:p>
    <w:p w:rsidR="00D76A6B" w:rsidRPr="00CC4C91" w:rsidRDefault="00D76A6B" w:rsidP="00D76A6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Предварительно определяют концентрацию калия оксида и кальция оксида </w:t>
      </w:r>
      <w:r w:rsidR="005F7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E63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 из испытуемых растворах</w:t>
      </w: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случае, если концентрация ка</w:t>
      </w:r>
      <w:r w:rsidR="00950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лия оксида составляет менее 0,2 </w:t>
      </w: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мкг/мл и каль</w:t>
      </w:r>
      <w:r w:rsidR="00950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 оксида составляет менее 0,1 </w:t>
      </w:r>
      <w:r w:rsidR="00E63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мкг/мл, остальные испытуемые</w:t>
      </w: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растворы из </w:t>
      </w:r>
      <w:r w:rsidR="005F7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этого типа упаковки не испытывают</w:t>
      </w: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сод</w:t>
      </w:r>
      <w:r w:rsidR="00E63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ержание этих ионов. Испытуем</w:t>
      </w: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раствор из каждого образца вводят непосредственно в </w:t>
      </w:r>
      <w:r w:rsidR="00BC0A5A" w:rsidRPr="00111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пламя атомно-абсорбционного или атомно-эмиссионного прибора</w:t>
      </w:r>
      <w:r w:rsidR="00BC0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4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определяют приблизительную концентрацию натрия оксида (калия оксида и кальция оксида, если они присутствуют) по калибровочному графику.</w:t>
      </w:r>
    </w:p>
    <w:p w:rsidR="00540CA3" w:rsidRPr="00E63DE3" w:rsidRDefault="00540CA3" w:rsidP="00642B20">
      <w:pPr>
        <w:pStyle w:val="Default"/>
        <w:keepNext/>
        <w:spacing w:line="360" w:lineRule="auto"/>
        <w:ind w:firstLine="709"/>
        <w:rPr>
          <w:i/>
          <w:sz w:val="23"/>
          <w:szCs w:val="23"/>
        </w:rPr>
      </w:pPr>
      <w:r w:rsidRPr="00E63DE3">
        <w:rPr>
          <w:b/>
          <w:i/>
          <w:iCs/>
          <w:sz w:val="28"/>
          <w:szCs w:val="28"/>
        </w:rPr>
        <w:t>Анализ результатов</w:t>
      </w:r>
    </w:p>
    <w:p w:rsidR="00D76A6B" w:rsidRPr="004A27EB" w:rsidRDefault="00D76A6B" w:rsidP="004A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разбавление не требуется, в каждую упаковку прибавляют объ</w:t>
      </w:r>
      <w:r w:rsidR="00922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буфе</w:t>
      </w:r>
      <w:r w:rsidR="0098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рного раствора, эквивалентный 5 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объ</w:t>
      </w:r>
      <w:r w:rsidR="00922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 наполнения, тщательно перемешивают и определяют, при наличии, натрия оксид, кальция оксид и калия оксид по калибровочному графику. Для определения ко</w:t>
      </w:r>
      <w:r w:rsidR="00BC0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нцентрации кальция оксида метода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C0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1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ААС и АЭС</w:t>
      </w:r>
      <w:r w:rsidR="00BC0A5A">
        <w:rPr>
          <w:b/>
          <w:iCs/>
          <w:sz w:val="28"/>
          <w:szCs w:val="28"/>
        </w:rPr>
        <w:t xml:space="preserve"> </w:t>
      </w:r>
      <w:r w:rsidR="001D1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пламя ацетилен</w:t>
      </w:r>
      <w:r w:rsidR="00BC0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/азота оксид.</w:t>
      </w:r>
    </w:p>
    <w:p w:rsidR="00D76A6B" w:rsidRPr="004A27EB" w:rsidRDefault="00D76A6B" w:rsidP="004A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необходимо разбавление, определение натрия оксида, кальция оксида и калия оксида, при их наличии, проводят в соответствии с процедурами, описанными выше. Испытуе</w:t>
      </w:r>
      <w:r w:rsidR="00521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мые растворы должны содержать 5 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буферного раствора. </w:t>
      </w:r>
      <w:r w:rsidR="00521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концентраций менее 1,0 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мкг/мл должны 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быть выражены с точностью до </w:t>
      </w:r>
      <w:r w:rsidR="0096756A" w:rsidRPr="00046FAA">
        <w:rPr>
          <w:rFonts w:ascii="Times New Roman" w:hAnsi="Times New Roman"/>
          <w:color w:val="000000" w:themeColor="text1"/>
          <w:sz w:val="28"/>
          <w:szCs w:val="28"/>
        </w:rPr>
        <w:t>второго знака после запятой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21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значения больше или равные 1,0 </w:t>
      </w:r>
      <w:r w:rsidR="00ED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мкг/мл –</w:t>
      </w:r>
      <w:r w:rsidR="008E3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точностью до </w:t>
      </w:r>
      <w:r w:rsidR="0096756A" w:rsidRPr="00046FAA">
        <w:rPr>
          <w:rFonts w:ascii="Times New Roman" w:hAnsi="Times New Roman"/>
          <w:color w:val="000000" w:themeColor="text1"/>
          <w:sz w:val="28"/>
          <w:szCs w:val="28"/>
        </w:rPr>
        <w:t>первого знака после запятой</w:t>
      </w:r>
      <w:r w:rsidR="008E3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6A6B" w:rsidRPr="004A27EB" w:rsidRDefault="00D76A6B" w:rsidP="004A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расч</w:t>
      </w:r>
      <w:r w:rsidR="00922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 необходимо учитывать добавление буферного раствора и дополнительные разведен</w:t>
      </w:r>
      <w:r w:rsidR="008E3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ия.</w:t>
      </w:r>
    </w:p>
    <w:p w:rsidR="00D76A6B" w:rsidRPr="004A27EB" w:rsidRDefault="00D76A6B" w:rsidP="004A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Рассчитывают среднее значение концентрации отдельных оксидов, найденных в каждом из испытанных образцов, в мкг/мл </w:t>
      </w:r>
      <w:r w:rsidR="00E63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испытуемого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 и вычисляют сумму отдельных оксидов, выраженную в мкг нат</w:t>
      </w:r>
      <w:r w:rsidR="00E63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рия оксида на мл испытуемого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раствора, используя следующие массовые коэффициенты пересч</w:t>
      </w:r>
      <w:r w:rsidR="000F4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та:</w:t>
      </w:r>
    </w:p>
    <w:p w:rsidR="008E3D5E" w:rsidRDefault="00ED5625" w:rsidP="004A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42B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9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</w:t>
      </w:r>
      <w:r w:rsidR="00D76A6B"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мкг к</w:t>
      </w:r>
      <w:r w:rsidR="0029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алия оксида соответ</w:t>
      </w:r>
      <w:r w:rsidR="00E61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ствует 0,658 мкг натрия оксида;</w:t>
      </w:r>
    </w:p>
    <w:p w:rsidR="00D76A6B" w:rsidRPr="004A27EB" w:rsidRDefault="00ED5625" w:rsidP="004A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42B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91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</w:t>
      </w:r>
      <w:r w:rsidR="00D76A6B"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мкг кальция оксида соответ</w:t>
      </w:r>
      <w:r w:rsidR="00E61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ствует 1,105 мкг натрия оксида.</w:t>
      </w:r>
    </w:p>
    <w:p w:rsidR="0095098B" w:rsidRDefault="001113BA" w:rsidP="006C011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DE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Допустимые нормы</w:t>
      </w:r>
      <w:r w:rsidR="00D76A6B" w:rsidRPr="00E63DE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D76A6B" w:rsidRPr="004A2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каждой испытуемой упаковки предельные значения поверхностной гидролитической устойч</w:t>
      </w:r>
      <w:r w:rsidR="00873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ивости представлены в табл</w:t>
      </w:r>
      <w:r w:rsidR="00642B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73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4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9D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7386" w:rsidRDefault="001D177D" w:rsidP="00642B20">
      <w:pPr>
        <w:keepNext/>
        <w:spacing w:before="24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Таблица 6 </w:t>
      </w:r>
      <w:r w:rsidRPr="001C311E">
        <w:rPr>
          <w:rFonts w:ascii="Times New Roman" w:hAnsi="Times New Roman"/>
          <w:sz w:val="28"/>
          <w:szCs w:val="28"/>
        </w:rPr>
        <w:t>‒</w:t>
      </w:r>
      <w:r w:rsidR="001C311E" w:rsidRPr="001C311E">
        <w:rPr>
          <w:rFonts w:ascii="Times New Roman" w:hAnsi="Times New Roman"/>
          <w:sz w:val="28"/>
          <w:szCs w:val="28"/>
        </w:rPr>
        <w:t xml:space="preserve"> </w:t>
      </w:r>
      <w:r w:rsidR="001C311E" w:rsidRPr="001C311E">
        <w:rPr>
          <w:rFonts w:ascii="Times New Roman" w:hAnsi="Times New Roman"/>
          <w:iCs/>
          <w:sz w:val="28"/>
          <w:szCs w:val="28"/>
        </w:rPr>
        <w:t>Допустимые нормы поверхностной гид</w:t>
      </w:r>
      <w:r w:rsidR="00E63DE3">
        <w:rPr>
          <w:rFonts w:ascii="Times New Roman" w:hAnsi="Times New Roman"/>
          <w:iCs/>
          <w:sz w:val="28"/>
          <w:szCs w:val="28"/>
        </w:rPr>
        <w:t>ролитической устойчивости</w:t>
      </w:r>
      <w:r w:rsidR="0034640D">
        <w:rPr>
          <w:rFonts w:ascii="Times New Roman" w:hAnsi="Times New Roman"/>
          <w:iCs/>
          <w:sz w:val="28"/>
          <w:szCs w:val="28"/>
        </w:rPr>
        <w:t>, полученные</w:t>
      </w:r>
      <w:r w:rsidR="00E63DE3">
        <w:rPr>
          <w:rFonts w:ascii="Times New Roman" w:hAnsi="Times New Roman"/>
          <w:iCs/>
          <w:sz w:val="28"/>
          <w:szCs w:val="28"/>
        </w:rPr>
        <w:t xml:space="preserve"> метода</w:t>
      </w:r>
      <w:r w:rsidR="001C311E" w:rsidRPr="001C311E">
        <w:rPr>
          <w:rFonts w:ascii="Times New Roman" w:hAnsi="Times New Roman"/>
          <w:iCs/>
          <w:sz w:val="28"/>
          <w:szCs w:val="28"/>
        </w:rPr>
        <w:t>ми атомно-аб</w:t>
      </w:r>
      <w:r w:rsidR="00E63DE3">
        <w:rPr>
          <w:rFonts w:ascii="Times New Roman" w:hAnsi="Times New Roman"/>
          <w:iCs/>
          <w:sz w:val="28"/>
          <w:szCs w:val="28"/>
        </w:rPr>
        <w:t>сорбционной спектрометрией</w:t>
      </w:r>
      <w:r w:rsidR="001C311E" w:rsidRPr="001C311E">
        <w:rPr>
          <w:rFonts w:ascii="Times New Roman" w:hAnsi="Times New Roman"/>
          <w:iCs/>
          <w:sz w:val="28"/>
          <w:szCs w:val="28"/>
        </w:rPr>
        <w:t xml:space="preserve"> и атомно-</w:t>
      </w:r>
      <w:r w:rsidR="00E63DE3">
        <w:rPr>
          <w:rFonts w:ascii="Times New Roman" w:hAnsi="Times New Roman"/>
          <w:iCs/>
          <w:sz w:val="28"/>
          <w:szCs w:val="28"/>
        </w:rPr>
        <w:t>эмиссионной спектрометрией</w:t>
      </w:r>
      <w:r w:rsidR="0034640D">
        <w:rPr>
          <w:rFonts w:ascii="Times New Roman" w:hAnsi="Times New Roman"/>
          <w:iCs/>
          <w:sz w:val="28"/>
          <w:szCs w:val="28"/>
        </w:rPr>
        <w:t xml:space="preserve"> для упаковок из стекла </w:t>
      </w:r>
      <w:r w:rsidR="00642B20">
        <w:rPr>
          <w:rFonts w:ascii="Times New Roman" w:hAnsi="Times New Roman"/>
          <w:iCs/>
          <w:sz w:val="28"/>
          <w:szCs w:val="28"/>
        </w:rPr>
        <w:br w:type="textWrapping" w:clear="all"/>
      </w:r>
      <w:r w:rsidR="0034640D" w:rsidRPr="001C311E">
        <w:rPr>
          <w:rFonts w:ascii="Times New Roman" w:hAnsi="Times New Roman"/>
          <w:iCs/>
          <w:sz w:val="28"/>
          <w:szCs w:val="28"/>
        </w:rPr>
        <w:t>типа I и типа 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6A6B" w:rsidRPr="00175F3C" w:rsidTr="00642B20">
        <w:trPr>
          <w:trHeight w:val="944"/>
        </w:trPr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Times New Roman"/>
                <w:lang w:eastAsia="ru-RU"/>
              </w:rPr>
            </w:pPr>
            <w:r w:rsidRPr="00175F3C">
              <w:rPr>
                <w:b/>
                <w:bCs/>
              </w:rPr>
              <w:t>Объ</w:t>
            </w:r>
            <w:r w:rsidR="009220CB" w:rsidRPr="00175F3C">
              <w:rPr>
                <w:b/>
                <w:bCs/>
              </w:rPr>
              <w:t>ё</w:t>
            </w:r>
            <w:r w:rsidRPr="00175F3C">
              <w:rPr>
                <w:b/>
                <w:bCs/>
              </w:rPr>
              <w:t>м наполнения (мл)</w:t>
            </w:r>
          </w:p>
        </w:tc>
        <w:tc>
          <w:tcPr>
            <w:tcW w:w="4785" w:type="dxa"/>
          </w:tcPr>
          <w:p w:rsidR="004D7386" w:rsidRDefault="00E61551" w:rsidP="00642B20">
            <w:pPr>
              <w:pStyle w:val="Default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175F3C">
              <w:rPr>
                <w:b/>
                <w:bCs/>
                <w:color w:val="000000" w:themeColor="text1"/>
              </w:rPr>
              <w:t>Допустимые нормы</w:t>
            </w:r>
          </w:p>
          <w:p w:rsidR="004D7386" w:rsidRPr="00642B20" w:rsidRDefault="00D76A6B" w:rsidP="00642B20">
            <w:pPr>
              <w:pStyle w:val="Default"/>
              <w:jc w:val="center"/>
              <w:rPr>
                <w:rFonts w:eastAsia="Calibri"/>
              </w:rPr>
            </w:pPr>
            <w:r w:rsidRPr="00175F3C">
              <w:rPr>
                <w:b/>
                <w:bCs/>
              </w:rPr>
              <w:t>концентрации оксидов, выраженные в виде натрия оксида (мкг/мл)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До 0,5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7,50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0,5 до 1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5,00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1 до 2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4,50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2 до 3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4,10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3 до 5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3,20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5 до 10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2,50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10 до 20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2,00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20 до 50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1,50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50 до 100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1,20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100 до 200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1,00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От 200 до 500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0,75</w:t>
            </w:r>
          </w:p>
        </w:tc>
      </w:tr>
      <w:tr w:rsidR="00D76A6B" w:rsidRPr="00175F3C" w:rsidTr="00D76A6B"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Более 500</w:t>
            </w:r>
          </w:p>
        </w:tc>
        <w:tc>
          <w:tcPr>
            <w:tcW w:w="4785" w:type="dxa"/>
          </w:tcPr>
          <w:p w:rsidR="004D7386" w:rsidRDefault="00D76A6B">
            <w:pPr>
              <w:pStyle w:val="Default"/>
              <w:spacing w:after="120"/>
              <w:jc w:val="center"/>
              <w:rPr>
                <w:rFonts w:eastAsia="Calibri"/>
              </w:rPr>
            </w:pPr>
            <w:r w:rsidRPr="00175F3C">
              <w:t>0,50</w:t>
            </w:r>
          </w:p>
        </w:tc>
      </w:tr>
    </w:tbl>
    <w:p w:rsidR="008C3872" w:rsidRPr="00175F3C" w:rsidRDefault="008C3872" w:rsidP="004F7E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C3872" w:rsidRPr="00175F3C" w:rsidSect="00256E65">
      <w:foot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65" w:rsidRDefault="00256E65" w:rsidP="00D37ADF">
      <w:pPr>
        <w:spacing w:after="0" w:line="240" w:lineRule="auto"/>
      </w:pPr>
      <w:r>
        <w:separator/>
      </w:r>
    </w:p>
  </w:endnote>
  <w:endnote w:type="continuationSeparator" w:id="0">
    <w:p w:rsidR="00256E65" w:rsidRDefault="00256E65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56E65" w:rsidRPr="00DE73D7" w:rsidRDefault="00256E65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201565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65" w:rsidRDefault="00256E65" w:rsidP="00D37ADF">
      <w:pPr>
        <w:spacing w:after="0" w:line="240" w:lineRule="auto"/>
      </w:pPr>
      <w:r>
        <w:separator/>
      </w:r>
    </w:p>
  </w:footnote>
  <w:footnote w:type="continuationSeparator" w:id="0">
    <w:p w:rsidR="00256E65" w:rsidRDefault="00256E65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DF"/>
    <w:rsid w:val="000051D6"/>
    <w:rsid w:val="0000709B"/>
    <w:rsid w:val="00011942"/>
    <w:rsid w:val="00013882"/>
    <w:rsid w:val="00016E8C"/>
    <w:rsid w:val="00030BEC"/>
    <w:rsid w:val="00030DB4"/>
    <w:rsid w:val="00031775"/>
    <w:rsid w:val="00036DF4"/>
    <w:rsid w:val="00050D81"/>
    <w:rsid w:val="00055351"/>
    <w:rsid w:val="00062331"/>
    <w:rsid w:val="00063FA5"/>
    <w:rsid w:val="0007423B"/>
    <w:rsid w:val="00081C51"/>
    <w:rsid w:val="000935AA"/>
    <w:rsid w:val="00095012"/>
    <w:rsid w:val="000A09AA"/>
    <w:rsid w:val="000B263E"/>
    <w:rsid w:val="000C3FF8"/>
    <w:rsid w:val="000C651C"/>
    <w:rsid w:val="000D1E23"/>
    <w:rsid w:val="000D21B3"/>
    <w:rsid w:val="000D67E7"/>
    <w:rsid w:val="000E0C82"/>
    <w:rsid w:val="000E20C5"/>
    <w:rsid w:val="000F1838"/>
    <w:rsid w:val="000F4215"/>
    <w:rsid w:val="000F4940"/>
    <w:rsid w:val="000F6BC7"/>
    <w:rsid w:val="000F6E83"/>
    <w:rsid w:val="001005F5"/>
    <w:rsid w:val="0010389B"/>
    <w:rsid w:val="001041DF"/>
    <w:rsid w:val="00104AF7"/>
    <w:rsid w:val="0010790F"/>
    <w:rsid w:val="00110D1A"/>
    <w:rsid w:val="001113BA"/>
    <w:rsid w:val="001115EA"/>
    <w:rsid w:val="00113D41"/>
    <w:rsid w:val="00121054"/>
    <w:rsid w:val="001275C4"/>
    <w:rsid w:val="00130601"/>
    <w:rsid w:val="00132EF4"/>
    <w:rsid w:val="00136B25"/>
    <w:rsid w:val="00146C69"/>
    <w:rsid w:val="00147D16"/>
    <w:rsid w:val="00150B6F"/>
    <w:rsid w:val="00151CE8"/>
    <w:rsid w:val="00153DDA"/>
    <w:rsid w:val="00155D86"/>
    <w:rsid w:val="00161BCE"/>
    <w:rsid w:val="00162305"/>
    <w:rsid w:val="00162C7C"/>
    <w:rsid w:val="0017069B"/>
    <w:rsid w:val="00175F3C"/>
    <w:rsid w:val="00176649"/>
    <w:rsid w:val="00177104"/>
    <w:rsid w:val="00181B9F"/>
    <w:rsid w:val="001829EA"/>
    <w:rsid w:val="00185275"/>
    <w:rsid w:val="00187A7B"/>
    <w:rsid w:val="0019384A"/>
    <w:rsid w:val="001943CA"/>
    <w:rsid w:val="001A0EC7"/>
    <w:rsid w:val="001A2EC7"/>
    <w:rsid w:val="001A611F"/>
    <w:rsid w:val="001B2E98"/>
    <w:rsid w:val="001B5F82"/>
    <w:rsid w:val="001B5FC6"/>
    <w:rsid w:val="001C1569"/>
    <w:rsid w:val="001C311E"/>
    <w:rsid w:val="001C3491"/>
    <w:rsid w:val="001D177D"/>
    <w:rsid w:val="001D19C7"/>
    <w:rsid w:val="001D3DB8"/>
    <w:rsid w:val="001D4D76"/>
    <w:rsid w:val="001D75E2"/>
    <w:rsid w:val="001E1C36"/>
    <w:rsid w:val="001E4B20"/>
    <w:rsid w:val="001E7C4A"/>
    <w:rsid w:val="001F33D2"/>
    <w:rsid w:val="00201565"/>
    <w:rsid w:val="00207CEB"/>
    <w:rsid w:val="00210CF9"/>
    <w:rsid w:val="00214F56"/>
    <w:rsid w:val="002167B8"/>
    <w:rsid w:val="002179DA"/>
    <w:rsid w:val="00221E4B"/>
    <w:rsid w:val="0022364C"/>
    <w:rsid w:val="00224687"/>
    <w:rsid w:val="002334DF"/>
    <w:rsid w:val="002370EB"/>
    <w:rsid w:val="00243429"/>
    <w:rsid w:val="00246E51"/>
    <w:rsid w:val="00256665"/>
    <w:rsid w:val="00256E65"/>
    <w:rsid w:val="00260CD4"/>
    <w:rsid w:val="00263494"/>
    <w:rsid w:val="002734FA"/>
    <w:rsid w:val="00275402"/>
    <w:rsid w:val="00275F28"/>
    <w:rsid w:val="00275F7F"/>
    <w:rsid w:val="0028184E"/>
    <w:rsid w:val="00283DDD"/>
    <w:rsid w:val="00291918"/>
    <w:rsid w:val="002A2F07"/>
    <w:rsid w:val="002A79CF"/>
    <w:rsid w:val="002B5199"/>
    <w:rsid w:val="002C31CF"/>
    <w:rsid w:val="002C4456"/>
    <w:rsid w:val="002C4955"/>
    <w:rsid w:val="002D2693"/>
    <w:rsid w:val="002D4F37"/>
    <w:rsid w:val="002D5F06"/>
    <w:rsid w:val="002E6698"/>
    <w:rsid w:val="002E7530"/>
    <w:rsid w:val="002F0E88"/>
    <w:rsid w:val="002F38BF"/>
    <w:rsid w:val="00304469"/>
    <w:rsid w:val="00315983"/>
    <w:rsid w:val="00317BDE"/>
    <w:rsid w:val="00322991"/>
    <w:rsid w:val="0032746B"/>
    <w:rsid w:val="003314FA"/>
    <w:rsid w:val="00344510"/>
    <w:rsid w:val="0034640D"/>
    <w:rsid w:val="0034704D"/>
    <w:rsid w:val="00350B43"/>
    <w:rsid w:val="0035353A"/>
    <w:rsid w:val="0035395C"/>
    <w:rsid w:val="003574C0"/>
    <w:rsid w:val="00360948"/>
    <w:rsid w:val="00365C7E"/>
    <w:rsid w:val="00366005"/>
    <w:rsid w:val="003710E7"/>
    <w:rsid w:val="003713C5"/>
    <w:rsid w:val="00376FA0"/>
    <w:rsid w:val="00377223"/>
    <w:rsid w:val="003865AE"/>
    <w:rsid w:val="00397297"/>
    <w:rsid w:val="003A4550"/>
    <w:rsid w:val="003A60B8"/>
    <w:rsid w:val="003A6B78"/>
    <w:rsid w:val="003A74CF"/>
    <w:rsid w:val="003B0BDC"/>
    <w:rsid w:val="003B0F1E"/>
    <w:rsid w:val="003C0A30"/>
    <w:rsid w:val="003C1549"/>
    <w:rsid w:val="003D21E4"/>
    <w:rsid w:val="003D4A9F"/>
    <w:rsid w:val="003E24BD"/>
    <w:rsid w:val="003E69ED"/>
    <w:rsid w:val="003E6FFF"/>
    <w:rsid w:val="003F0210"/>
    <w:rsid w:val="003F1512"/>
    <w:rsid w:val="003F332C"/>
    <w:rsid w:val="003F5846"/>
    <w:rsid w:val="003F585F"/>
    <w:rsid w:val="004002D9"/>
    <w:rsid w:val="00403B92"/>
    <w:rsid w:val="00403DFB"/>
    <w:rsid w:val="004062F7"/>
    <w:rsid w:val="00410A31"/>
    <w:rsid w:val="0041441F"/>
    <w:rsid w:val="004148C6"/>
    <w:rsid w:val="00417851"/>
    <w:rsid w:val="0042376C"/>
    <w:rsid w:val="00427F78"/>
    <w:rsid w:val="004329EE"/>
    <w:rsid w:val="00433993"/>
    <w:rsid w:val="00442935"/>
    <w:rsid w:val="00443493"/>
    <w:rsid w:val="00447A82"/>
    <w:rsid w:val="004507F2"/>
    <w:rsid w:val="0046124F"/>
    <w:rsid w:val="00463653"/>
    <w:rsid w:val="00463EBB"/>
    <w:rsid w:val="00464D6C"/>
    <w:rsid w:val="00464EDF"/>
    <w:rsid w:val="00467D6E"/>
    <w:rsid w:val="00477C13"/>
    <w:rsid w:val="00481C9A"/>
    <w:rsid w:val="00486053"/>
    <w:rsid w:val="00495F5C"/>
    <w:rsid w:val="00496067"/>
    <w:rsid w:val="00496913"/>
    <w:rsid w:val="0049693E"/>
    <w:rsid w:val="004A1EFC"/>
    <w:rsid w:val="004A27EB"/>
    <w:rsid w:val="004A2AC4"/>
    <w:rsid w:val="004A36C1"/>
    <w:rsid w:val="004A7B5C"/>
    <w:rsid w:val="004B40DE"/>
    <w:rsid w:val="004B66D3"/>
    <w:rsid w:val="004C12ED"/>
    <w:rsid w:val="004C53E3"/>
    <w:rsid w:val="004C636E"/>
    <w:rsid w:val="004C6DE3"/>
    <w:rsid w:val="004D0249"/>
    <w:rsid w:val="004D60A8"/>
    <w:rsid w:val="004D7158"/>
    <w:rsid w:val="004D7386"/>
    <w:rsid w:val="004E38A8"/>
    <w:rsid w:val="004E5106"/>
    <w:rsid w:val="004E6333"/>
    <w:rsid w:val="004F15E2"/>
    <w:rsid w:val="004F440C"/>
    <w:rsid w:val="004F66DF"/>
    <w:rsid w:val="004F7ED4"/>
    <w:rsid w:val="005059D6"/>
    <w:rsid w:val="005143D0"/>
    <w:rsid w:val="00517905"/>
    <w:rsid w:val="00521C59"/>
    <w:rsid w:val="0052279A"/>
    <w:rsid w:val="00523765"/>
    <w:rsid w:val="00527306"/>
    <w:rsid w:val="00535AA1"/>
    <w:rsid w:val="005407C9"/>
    <w:rsid w:val="00540B58"/>
    <w:rsid w:val="00540CA3"/>
    <w:rsid w:val="00546DB1"/>
    <w:rsid w:val="005515E3"/>
    <w:rsid w:val="005541A5"/>
    <w:rsid w:val="00557CC4"/>
    <w:rsid w:val="005644CB"/>
    <w:rsid w:val="00565611"/>
    <w:rsid w:val="00575427"/>
    <w:rsid w:val="00575B0F"/>
    <w:rsid w:val="00581FF2"/>
    <w:rsid w:val="00586553"/>
    <w:rsid w:val="00586792"/>
    <w:rsid w:val="00587EA4"/>
    <w:rsid w:val="0059718D"/>
    <w:rsid w:val="005A2238"/>
    <w:rsid w:val="005A3E81"/>
    <w:rsid w:val="005A44C0"/>
    <w:rsid w:val="005B1F9F"/>
    <w:rsid w:val="005B2346"/>
    <w:rsid w:val="005B3B86"/>
    <w:rsid w:val="005B62FC"/>
    <w:rsid w:val="005C6977"/>
    <w:rsid w:val="005D14FC"/>
    <w:rsid w:val="005D42C3"/>
    <w:rsid w:val="005D5630"/>
    <w:rsid w:val="005D5C72"/>
    <w:rsid w:val="005D6AAC"/>
    <w:rsid w:val="005E1956"/>
    <w:rsid w:val="005E674D"/>
    <w:rsid w:val="005E6C0F"/>
    <w:rsid w:val="005F0D9E"/>
    <w:rsid w:val="005F1615"/>
    <w:rsid w:val="005F2145"/>
    <w:rsid w:val="005F451D"/>
    <w:rsid w:val="005F67B4"/>
    <w:rsid w:val="005F73D4"/>
    <w:rsid w:val="005F7F90"/>
    <w:rsid w:val="00601764"/>
    <w:rsid w:val="00601D22"/>
    <w:rsid w:val="00602969"/>
    <w:rsid w:val="00613C03"/>
    <w:rsid w:val="006146F4"/>
    <w:rsid w:val="00614BDA"/>
    <w:rsid w:val="00621CDE"/>
    <w:rsid w:val="006304A9"/>
    <w:rsid w:val="0063232D"/>
    <w:rsid w:val="00633FF2"/>
    <w:rsid w:val="00637CD3"/>
    <w:rsid w:val="00642B20"/>
    <w:rsid w:val="0065318E"/>
    <w:rsid w:val="00653250"/>
    <w:rsid w:val="00654E8A"/>
    <w:rsid w:val="00654FE5"/>
    <w:rsid w:val="006574CB"/>
    <w:rsid w:val="00660554"/>
    <w:rsid w:val="00677FAC"/>
    <w:rsid w:val="00686BDF"/>
    <w:rsid w:val="00687D18"/>
    <w:rsid w:val="00691992"/>
    <w:rsid w:val="00692165"/>
    <w:rsid w:val="00693B86"/>
    <w:rsid w:val="00694663"/>
    <w:rsid w:val="006978D2"/>
    <w:rsid w:val="006A12C3"/>
    <w:rsid w:val="006A28E5"/>
    <w:rsid w:val="006B5AA5"/>
    <w:rsid w:val="006C0112"/>
    <w:rsid w:val="006C13DC"/>
    <w:rsid w:val="006C44D5"/>
    <w:rsid w:val="006C6BD0"/>
    <w:rsid w:val="006D528A"/>
    <w:rsid w:val="006E30FF"/>
    <w:rsid w:val="006E7F58"/>
    <w:rsid w:val="006F0B5F"/>
    <w:rsid w:val="006F3B9B"/>
    <w:rsid w:val="006F54DD"/>
    <w:rsid w:val="00702649"/>
    <w:rsid w:val="00703735"/>
    <w:rsid w:val="00705521"/>
    <w:rsid w:val="00707944"/>
    <w:rsid w:val="0071117E"/>
    <w:rsid w:val="00713589"/>
    <w:rsid w:val="0071687B"/>
    <w:rsid w:val="00720E8D"/>
    <w:rsid w:val="007214D3"/>
    <w:rsid w:val="00726A8B"/>
    <w:rsid w:val="00726AC6"/>
    <w:rsid w:val="007339A6"/>
    <w:rsid w:val="007358A4"/>
    <w:rsid w:val="00736882"/>
    <w:rsid w:val="00737D7B"/>
    <w:rsid w:val="00742645"/>
    <w:rsid w:val="0074296E"/>
    <w:rsid w:val="0074298B"/>
    <w:rsid w:val="00747500"/>
    <w:rsid w:val="007641BB"/>
    <w:rsid w:val="00767409"/>
    <w:rsid w:val="00773EF1"/>
    <w:rsid w:val="00774B12"/>
    <w:rsid w:val="007750A0"/>
    <w:rsid w:val="0078299C"/>
    <w:rsid w:val="007863CF"/>
    <w:rsid w:val="007879A4"/>
    <w:rsid w:val="00792A26"/>
    <w:rsid w:val="007B26FA"/>
    <w:rsid w:val="007B5A92"/>
    <w:rsid w:val="007C0250"/>
    <w:rsid w:val="007C409D"/>
    <w:rsid w:val="007E6440"/>
    <w:rsid w:val="007F3204"/>
    <w:rsid w:val="007F3CBF"/>
    <w:rsid w:val="007F5A23"/>
    <w:rsid w:val="007F6E7F"/>
    <w:rsid w:val="007F7A0B"/>
    <w:rsid w:val="00801149"/>
    <w:rsid w:val="00804EE8"/>
    <w:rsid w:val="008051E9"/>
    <w:rsid w:val="00805BA1"/>
    <w:rsid w:val="00810270"/>
    <w:rsid w:val="00814289"/>
    <w:rsid w:val="00817F25"/>
    <w:rsid w:val="008201D3"/>
    <w:rsid w:val="00833F51"/>
    <w:rsid w:val="00836D8A"/>
    <w:rsid w:val="00843524"/>
    <w:rsid w:val="0084556F"/>
    <w:rsid w:val="008468CD"/>
    <w:rsid w:val="00854B54"/>
    <w:rsid w:val="008557F9"/>
    <w:rsid w:val="00855A9A"/>
    <w:rsid w:val="008667C1"/>
    <w:rsid w:val="0087365B"/>
    <w:rsid w:val="00873793"/>
    <w:rsid w:val="00883FB5"/>
    <w:rsid w:val="00885D27"/>
    <w:rsid w:val="0089062C"/>
    <w:rsid w:val="008935ED"/>
    <w:rsid w:val="008954A0"/>
    <w:rsid w:val="008A45A8"/>
    <w:rsid w:val="008B1D4E"/>
    <w:rsid w:val="008B5806"/>
    <w:rsid w:val="008C3872"/>
    <w:rsid w:val="008C6658"/>
    <w:rsid w:val="008C7040"/>
    <w:rsid w:val="008D1861"/>
    <w:rsid w:val="008D2D9E"/>
    <w:rsid w:val="008D4938"/>
    <w:rsid w:val="008D49F1"/>
    <w:rsid w:val="008D7623"/>
    <w:rsid w:val="008E3D5E"/>
    <w:rsid w:val="008E58B0"/>
    <w:rsid w:val="008E6AED"/>
    <w:rsid w:val="00907E50"/>
    <w:rsid w:val="00910544"/>
    <w:rsid w:val="0091490C"/>
    <w:rsid w:val="00915A4B"/>
    <w:rsid w:val="0092053E"/>
    <w:rsid w:val="009220CB"/>
    <w:rsid w:val="009235B4"/>
    <w:rsid w:val="00930283"/>
    <w:rsid w:val="0093559B"/>
    <w:rsid w:val="0095098B"/>
    <w:rsid w:val="0095148F"/>
    <w:rsid w:val="00965A66"/>
    <w:rsid w:val="0096756A"/>
    <w:rsid w:val="00970631"/>
    <w:rsid w:val="00976C56"/>
    <w:rsid w:val="00983238"/>
    <w:rsid w:val="00984BD0"/>
    <w:rsid w:val="00986607"/>
    <w:rsid w:val="009A4A8D"/>
    <w:rsid w:val="009B0A92"/>
    <w:rsid w:val="009B4556"/>
    <w:rsid w:val="009C1992"/>
    <w:rsid w:val="009C3C0E"/>
    <w:rsid w:val="009D00EF"/>
    <w:rsid w:val="009D0D51"/>
    <w:rsid w:val="009D4372"/>
    <w:rsid w:val="009D514F"/>
    <w:rsid w:val="009D732D"/>
    <w:rsid w:val="009E68E1"/>
    <w:rsid w:val="00A04DDD"/>
    <w:rsid w:val="00A112DE"/>
    <w:rsid w:val="00A22F7F"/>
    <w:rsid w:val="00A2313A"/>
    <w:rsid w:val="00A41078"/>
    <w:rsid w:val="00A4559C"/>
    <w:rsid w:val="00A45B1D"/>
    <w:rsid w:val="00A476F0"/>
    <w:rsid w:val="00A5081C"/>
    <w:rsid w:val="00A51968"/>
    <w:rsid w:val="00A52CC8"/>
    <w:rsid w:val="00A60A9F"/>
    <w:rsid w:val="00A67CD6"/>
    <w:rsid w:val="00A70EC2"/>
    <w:rsid w:val="00A72FF9"/>
    <w:rsid w:val="00A730B8"/>
    <w:rsid w:val="00A77164"/>
    <w:rsid w:val="00A77A62"/>
    <w:rsid w:val="00A830DF"/>
    <w:rsid w:val="00A9276D"/>
    <w:rsid w:val="00A93DC9"/>
    <w:rsid w:val="00AA1002"/>
    <w:rsid w:val="00AA2F6C"/>
    <w:rsid w:val="00AA4853"/>
    <w:rsid w:val="00AA4B07"/>
    <w:rsid w:val="00AA6B65"/>
    <w:rsid w:val="00AB26F3"/>
    <w:rsid w:val="00AB7EE4"/>
    <w:rsid w:val="00AC35DF"/>
    <w:rsid w:val="00AC3C89"/>
    <w:rsid w:val="00AD3492"/>
    <w:rsid w:val="00AD561D"/>
    <w:rsid w:val="00AD5F8E"/>
    <w:rsid w:val="00AE3E65"/>
    <w:rsid w:val="00AF285D"/>
    <w:rsid w:val="00AF62ED"/>
    <w:rsid w:val="00AF66AC"/>
    <w:rsid w:val="00AF6B02"/>
    <w:rsid w:val="00B05286"/>
    <w:rsid w:val="00B05389"/>
    <w:rsid w:val="00B06B97"/>
    <w:rsid w:val="00B10209"/>
    <w:rsid w:val="00B10FAE"/>
    <w:rsid w:val="00B30907"/>
    <w:rsid w:val="00B317C5"/>
    <w:rsid w:val="00B3257B"/>
    <w:rsid w:val="00B326E4"/>
    <w:rsid w:val="00B36224"/>
    <w:rsid w:val="00B364B6"/>
    <w:rsid w:val="00B4300F"/>
    <w:rsid w:val="00B45F80"/>
    <w:rsid w:val="00B54C10"/>
    <w:rsid w:val="00B60203"/>
    <w:rsid w:val="00B60432"/>
    <w:rsid w:val="00B6180E"/>
    <w:rsid w:val="00B62ACA"/>
    <w:rsid w:val="00B647F9"/>
    <w:rsid w:val="00B65FB5"/>
    <w:rsid w:val="00B766C7"/>
    <w:rsid w:val="00B83561"/>
    <w:rsid w:val="00B90B4B"/>
    <w:rsid w:val="00B9401D"/>
    <w:rsid w:val="00B945E8"/>
    <w:rsid w:val="00B969E6"/>
    <w:rsid w:val="00BB09EC"/>
    <w:rsid w:val="00BB5669"/>
    <w:rsid w:val="00BB7680"/>
    <w:rsid w:val="00BC04CB"/>
    <w:rsid w:val="00BC04EC"/>
    <w:rsid w:val="00BC0A5A"/>
    <w:rsid w:val="00BC14EC"/>
    <w:rsid w:val="00BC514B"/>
    <w:rsid w:val="00BD3EBB"/>
    <w:rsid w:val="00BD44BC"/>
    <w:rsid w:val="00BD7DB0"/>
    <w:rsid w:val="00BE5702"/>
    <w:rsid w:val="00BE79F7"/>
    <w:rsid w:val="00BF3CC6"/>
    <w:rsid w:val="00C06DAA"/>
    <w:rsid w:val="00C14FAF"/>
    <w:rsid w:val="00C16523"/>
    <w:rsid w:val="00C17176"/>
    <w:rsid w:val="00C179ED"/>
    <w:rsid w:val="00C2074B"/>
    <w:rsid w:val="00C208DF"/>
    <w:rsid w:val="00C21F1A"/>
    <w:rsid w:val="00C312FD"/>
    <w:rsid w:val="00C33E83"/>
    <w:rsid w:val="00C343A6"/>
    <w:rsid w:val="00C47EAF"/>
    <w:rsid w:val="00C52A02"/>
    <w:rsid w:val="00C52FB7"/>
    <w:rsid w:val="00C6028D"/>
    <w:rsid w:val="00C61342"/>
    <w:rsid w:val="00C6186C"/>
    <w:rsid w:val="00C61F91"/>
    <w:rsid w:val="00C670A1"/>
    <w:rsid w:val="00C72C43"/>
    <w:rsid w:val="00C87E69"/>
    <w:rsid w:val="00C91648"/>
    <w:rsid w:val="00C91F0F"/>
    <w:rsid w:val="00C94584"/>
    <w:rsid w:val="00C95563"/>
    <w:rsid w:val="00C9622D"/>
    <w:rsid w:val="00CA08A6"/>
    <w:rsid w:val="00CA4F87"/>
    <w:rsid w:val="00CA5DF3"/>
    <w:rsid w:val="00CC0067"/>
    <w:rsid w:val="00CC0CF8"/>
    <w:rsid w:val="00CC16E0"/>
    <w:rsid w:val="00CC4C91"/>
    <w:rsid w:val="00CD2362"/>
    <w:rsid w:val="00CD2B19"/>
    <w:rsid w:val="00CD31CD"/>
    <w:rsid w:val="00CE248B"/>
    <w:rsid w:val="00CE6047"/>
    <w:rsid w:val="00CE618A"/>
    <w:rsid w:val="00CF0104"/>
    <w:rsid w:val="00CF2802"/>
    <w:rsid w:val="00CF63B8"/>
    <w:rsid w:val="00D20895"/>
    <w:rsid w:val="00D22A64"/>
    <w:rsid w:val="00D236B4"/>
    <w:rsid w:val="00D24F26"/>
    <w:rsid w:val="00D25211"/>
    <w:rsid w:val="00D34DDA"/>
    <w:rsid w:val="00D37ADF"/>
    <w:rsid w:val="00D43296"/>
    <w:rsid w:val="00D442C1"/>
    <w:rsid w:val="00D4505C"/>
    <w:rsid w:val="00D47D0F"/>
    <w:rsid w:val="00D569C9"/>
    <w:rsid w:val="00D62943"/>
    <w:rsid w:val="00D71829"/>
    <w:rsid w:val="00D76A6B"/>
    <w:rsid w:val="00D77A2A"/>
    <w:rsid w:val="00D90E3C"/>
    <w:rsid w:val="00D949D0"/>
    <w:rsid w:val="00D95B15"/>
    <w:rsid w:val="00DB2093"/>
    <w:rsid w:val="00DB73DA"/>
    <w:rsid w:val="00DC374C"/>
    <w:rsid w:val="00DC6396"/>
    <w:rsid w:val="00DD052E"/>
    <w:rsid w:val="00DD2E4E"/>
    <w:rsid w:val="00DD594A"/>
    <w:rsid w:val="00DD6310"/>
    <w:rsid w:val="00DD70AD"/>
    <w:rsid w:val="00DE1E1A"/>
    <w:rsid w:val="00DE73D7"/>
    <w:rsid w:val="00DE76DD"/>
    <w:rsid w:val="00E01846"/>
    <w:rsid w:val="00E02428"/>
    <w:rsid w:val="00E0385D"/>
    <w:rsid w:val="00E06363"/>
    <w:rsid w:val="00E12E8A"/>
    <w:rsid w:val="00E15265"/>
    <w:rsid w:val="00E15766"/>
    <w:rsid w:val="00E15E1A"/>
    <w:rsid w:val="00E26AD7"/>
    <w:rsid w:val="00E328C0"/>
    <w:rsid w:val="00E3683C"/>
    <w:rsid w:val="00E36B33"/>
    <w:rsid w:val="00E40418"/>
    <w:rsid w:val="00E4250B"/>
    <w:rsid w:val="00E42675"/>
    <w:rsid w:val="00E43F8A"/>
    <w:rsid w:val="00E44EEB"/>
    <w:rsid w:val="00E456B4"/>
    <w:rsid w:val="00E45F63"/>
    <w:rsid w:val="00E556A4"/>
    <w:rsid w:val="00E61551"/>
    <w:rsid w:val="00E63DE3"/>
    <w:rsid w:val="00E75573"/>
    <w:rsid w:val="00E768A7"/>
    <w:rsid w:val="00E80E9C"/>
    <w:rsid w:val="00E81422"/>
    <w:rsid w:val="00E8322B"/>
    <w:rsid w:val="00E915E1"/>
    <w:rsid w:val="00E93994"/>
    <w:rsid w:val="00E94300"/>
    <w:rsid w:val="00E94973"/>
    <w:rsid w:val="00E95BBC"/>
    <w:rsid w:val="00E9720D"/>
    <w:rsid w:val="00EA6A8E"/>
    <w:rsid w:val="00EB02DD"/>
    <w:rsid w:val="00EB2B8C"/>
    <w:rsid w:val="00EB2E9A"/>
    <w:rsid w:val="00EB465F"/>
    <w:rsid w:val="00EB7E99"/>
    <w:rsid w:val="00EC7C8B"/>
    <w:rsid w:val="00ED2CC6"/>
    <w:rsid w:val="00ED5547"/>
    <w:rsid w:val="00ED5625"/>
    <w:rsid w:val="00EF02C3"/>
    <w:rsid w:val="00F05AF8"/>
    <w:rsid w:val="00F22A75"/>
    <w:rsid w:val="00F25E10"/>
    <w:rsid w:val="00F315C6"/>
    <w:rsid w:val="00F46C2D"/>
    <w:rsid w:val="00F53318"/>
    <w:rsid w:val="00F551E2"/>
    <w:rsid w:val="00F5563A"/>
    <w:rsid w:val="00F57DFE"/>
    <w:rsid w:val="00F61B62"/>
    <w:rsid w:val="00F64420"/>
    <w:rsid w:val="00F70733"/>
    <w:rsid w:val="00F73AA6"/>
    <w:rsid w:val="00F751D7"/>
    <w:rsid w:val="00F86021"/>
    <w:rsid w:val="00F92456"/>
    <w:rsid w:val="00F93849"/>
    <w:rsid w:val="00F9490E"/>
    <w:rsid w:val="00FA47C9"/>
    <w:rsid w:val="00FA71D2"/>
    <w:rsid w:val="00FA721C"/>
    <w:rsid w:val="00FB0E26"/>
    <w:rsid w:val="00FB44F4"/>
    <w:rsid w:val="00FB6F95"/>
    <w:rsid w:val="00FC42C9"/>
    <w:rsid w:val="00FC7B40"/>
    <w:rsid w:val="00FD0E8B"/>
    <w:rsid w:val="00FD2357"/>
    <w:rsid w:val="00FD7347"/>
    <w:rsid w:val="00FE0482"/>
    <w:rsid w:val="00FE32CD"/>
    <w:rsid w:val="00FF29CF"/>
    <w:rsid w:val="00FF46CA"/>
    <w:rsid w:val="00FF676F"/>
    <w:rsid w:val="00FF677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A10095-5714-4A7B-891F-A30F8C8C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paragraph" w:styleId="af1">
    <w:name w:val="Body Text Indent"/>
    <w:basedOn w:val="a"/>
    <w:link w:val="af2"/>
    <w:uiPriority w:val="99"/>
    <w:semiHidden/>
    <w:unhideWhenUsed/>
    <w:rsid w:val="00EC7C8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C7C8B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EC7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pt">
    <w:name w:val="Основной текст (3) + Не курсив;Интервал 0 pt"/>
    <w:basedOn w:val="a0"/>
    <w:rsid w:val="00F57DF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6"/>
    <w:rsid w:val="00B326E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styleId="af4">
    <w:name w:val="annotation reference"/>
    <w:basedOn w:val="a0"/>
    <w:uiPriority w:val="99"/>
    <w:semiHidden/>
    <w:unhideWhenUsed/>
    <w:rsid w:val="004B66D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B66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B66D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66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B66D3"/>
    <w:rPr>
      <w:rFonts w:ascii="Calibri" w:eastAsia="Calibri" w:hAnsi="Calibri" w:cs="Times New Roman"/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6B5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0167-1B9D-4DA4-9A12-0F9C881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18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18</cp:revision>
  <cp:lastPrinted>2022-08-30T12:01:00Z</cp:lastPrinted>
  <dcterms:created xsi:type="dcterms:W3CDTF">2022-12-27T13:46:00Z</dcterms:created>
  <dcterms:modified xsi:type="dcterms:W3CDTF">2023-07-12T10:19:00Z</dcterms:modified>
</cp:coreProperties>
</file>