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36" w:rsidRPr="00D912BE" w:rsidRDefault="006C0D36" w:rsidP="006C0D36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C0D36" w:rsidRPr="00D912BE" w:rsidRDefault="006C0D36" w:rsidP="006C0D3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0D36" w:rsidRPr="00D912BE" w:rsidRDefault="006C0D36" w:rsidP="006C0D3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0D36" w:rsidRPr="00D912BE" w:rsidRDefault="006C0D36" w:rsidP="006C0D3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0D36" w:rsidRPr="00EE0AD5" w:rsidRDefault="006C0D36" w:rsidP="006C0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AD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6C0D36" w:rsidRPr="00D912BE" w:rsidTr="00E4699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12D" w:rsidRDefault="001F212D" w:rsidP="001F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0D36" w:rsidRPr="00D912BE" w:rsidRDefault="006C0D36" w:rsidP="006C0D36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6C0D36" w:rsidRPr="00D912BE" w:rsidTr="00E46997">
        <w:trPr>
          <w:trHeight w:val="397"/>
        </w:trPr>
        <w:tc>
          <w:tcPr>
            <w:tcW w:w="5920" w:type="dxa"/>
          </w:tcPr>
          <w:p w:rsidR="001F212D" w:rsidRDefault="00976A5A" w:rsidP="003A56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6C0D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зота оксид и азота диоксид в газах медицинских</w:t>
            </w:r>
          </w:p>
        </w:tc>
        <w:tc>
          <w:tcPr>
            <w:tcW w:w="460" w:type="dxa"/>
          </w:tcPr>
          <w:p w:rsidR="006C0D36" w:rsidRPr="00D912BE" w:rsidRDefault="006C0D36" w:rsidP="003A56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212D" w:rsidRDefault="006C0D36" w:rsidP="003A56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C92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.1.2.2.2.0032</w:t>
            </w:r>
          </w:p>
        </w:tc>
      </w:tr>
      <w:tr w:rsidR="006C0D36" w:rsidRPr="00D912BE" w:rsidTr="00E46997">
        <w:trPr>
          <w:trHeight w:val="397"/>
        </w:trPr>
        <w:tc>
          <w:tcPr>
            <w:tcW w:w="5920" w:type="dxa"/>
          </w:tcPr>
          <w:p w:rsidR="001F212D" w:rsidRDefault="001F212D" w:rsidP="003A56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6C0D36" w:rsidRPr="00D912BE" w:rsidRDefault="006C0D36" w:rsidP="003A56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F212D" w:rsidRDefault="006C0D36" w:rsidP="003A56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C0D36" w:rsidRPr="00D912BE" w:rsidRDefault="006C0D36" w:rsidP="006C0D36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6C0D36" w:rsidRPr="00D912BE" w:rsidTr="00E4699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12D" w:rsidRDefault="001F212D" w:rsidP="001F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212D" w:rsidRDefault="001F212D" w:rsidP="003A5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7C" w:rsidRDefault="00976A5A" w:rsidP="00F07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определения 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азота оксида и азота диоксида в газах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 на использовании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хемилюминесцен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(метод 1)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</w:t>
      </w:r>
      <w:bookmarkStart w:id="0" w:name="_GoBack"/>
      <w:bookmarkEnd w:id="0"/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каторных трубок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2)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недисперсионн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(метод 3)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спектрофотомерии</w:t>
      </w:r>
      <w:r w:rsidR="006A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4)</w:t>
      </w:r>
      <w:r w:rsidR="005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газовой хроматографии</w:t>
      </w:r>
      <w:r w:rsidR="005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(метод 5) </w:t>
      </w:r>
      <w:r w:rsidR="005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элекрохимическ</w:t>
      </w:r>
      <w:r w:rsidR="006A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детекции</w:t>
      </w:r>
      <w:r w:rsidR="006A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6)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12D" w:rsidRDefault="00976A5A" w:rsidP="003A563C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0D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07B7C" w:rsidRPr="00F07B7C" w:rsidRDefault="00F07B7C" w:rsidP="000D22C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основан на реакции </w:t>
      </w:r>
      <w:r w:rsidRPr="00F07B7C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азота оксида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7B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озоном (</w:t>
      </w:r>
      <w:r w:rsidRPr="00F07B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07B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которой образуется азота диоксид (</w:t>
      </w:r>
      <w:r w:rsidRPr="00F07B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F07B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F07B7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Часть образовавшегося NО</w:t>
      </w:r>
      <w:r w:rsidRPr="00F07B7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vertAlign w:val="subscript"/>
          <w:lang w:eastAsia="ru-RU"/>
        </w:rPr>
        <w:t>2</w:t>
      </w:r>
      <w:r w:rsidR="00C9233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 style="width:9pt;height:18pt"/>
        </w:pict>
      </w:r>
      <w:r w:rsidRPr="00F07B7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нах</w:t>
      </w:r>
      <w:r w:rsidR="000D22C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одится в фотохимическом возбуждё</w:t>
      </w:r>
      <w:r w:rsidRPr="00F07B7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нном состоянии. При перехо</w:t>
      </w:r>
      <w:r w:rsidR="00DA652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де в основное состояние возбуждё</w:t>
      </w:r>
      <w:r w:rsidRPr="00F07B7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нные молекулы NО</w:t>
      </w:r>
      <w:r w:rsidRPr="00F07B7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vertAlign w:val="subscript"/>
          <w:lang w:eastAsia="ru-RU"/>
        </w:rPr>
        <w:t>2</w:t>
      </w:r>
      <w:r w:rsidRPr="00F07B7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излучают свет в диапазоне длин волн от 590 до 3000</w:t>
      </w:r>
      <w:r w:rsidR="00AB3EA1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нм. Интенсивность излучения зависит от содержания NО, давления и присутствия других газов.</w:t>
      </w:r>
    </w:p>
    <w:p w:rsidR="00F07B7C" w:rsidRPr="00F07B7C" w:rsidRDefault="00F07B7C" w:rsidP="000D22CC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F07B7C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Схема хемилюминесцентного анализатора</w:t>
      </w:r>
      <w:r w:rsidR="00DA6522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показана на рис.</w:t>
      </w:r>
      <w:r w:rsidRPr="00F07B7C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1.</w:t>
      </w:r>
    </w:p>
    <w:p w:rsidR="00F07B7C" w:rsidRPr="00F07B7C" w:rsidRDefault="00F07B7C" w:rsidP="000D22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212D" w:rsidRDefault="00F07B7C" w:rsidP="00976A5A">
      <w:pPr>
        <w:keepNext/>
        <w:spacing w:after="0" w:line="360" w:lineRule="auto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F07B7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5655" cy="1521460"/>
            <wp:effectExtent l="19050" t="0" r="0" b="0"/>
            <wp:docPr id="3" name="Рисунок 1" descr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2D" w:rsidRDefault="00F07B7C" w:rsidP="003A563C">
      <w:pPr>
        <w:spacing w:after="0" w:line="240" w:lineRule="auto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6849A9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Рисунок 1 – Схема хемилюминесцентного анализатора</w:t>
      </w:r>
    </w:p>
    <w:p w:rsidR="00AC30A3" w:rsidRDefault="001F212D" w:rsidP="003A563C">
      <w:pPr>
        <w:spacing w:after="0" w:line="240" w:lineRule="auto"/>
        <w:jc w:val="center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8025AF"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  <w:t>1 – ввод пробы; 2 – насос для прокачивания пробы; 3 – электромагнитный клапан; 4 – конвертер NO</w:t>
      </w:r>
      <w:r w:rsidRPr="008025AF">
        <w:rPr>
          <w:rFonts w:ascii="Times New Roman" w:eastAsia="Cambria" w:hAnsi="Times New Roman" w:cs="Times New Roman"/>
          <w:bCs/>
          <w:sz w:val="24"/>
          <w:szCs w:val="24"/>
          <w:vertAlign w:val="subscript"/>
          <w:lang w:eastAsia="ru-RU" w:bidi="ru-RU"/>
        </w:rPr>
        <w:t>2</w:t>
      </w:r>
      <w:r w:rsidRPr="008025AF"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  <w:t xml:space="preserve">/NO; 5 – регулятор потока; 6 – регулятор давления; 7 – реакционная камера; 8 – фотоэлектронный множитель; 9 – блок </w:t>
      </w:r>
      <w:r w:rsidRPr="008025AF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электронной обработки данных; 10 – ввод кислорода; 11 – регулятор давления; 12 – регулятор озона; 13 – фильтр для озона; 14 – блок регистрации данных; 15 – сброс газа </w:t>
      </w:r>
    </w:p>
    <w:p w:rsidR="003A563C" w:rsidRPr="008025AF" w:rsidRDefault="003A563C" w:rsidP="003A563C">
      <w:pPr>
        <w:spacing w:after="0" w:line="240" w:lineRule="auto"/>
        <w:jc w:val="center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eastAsia="ru-RU" w:bidi="ru-RU"/>
        </w:rPr>
      </w:pPr>
    </w:p>
    <w:p w:rsidR="001F212D" w:rsidRDefault="001F212D" w:rsidP="00976A5A">
      <w:pPr>
        <w:spacing w:after="0" w:line="360" w:lineRule="auto"/>
        <w:ind w:firstLine="709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1F212D"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ru-RU"/>
        </w:rPr>
        <w:t>В зависимости от давления в реакционной камере различают</w:t>
      </w:r>
      <w:r w:rsidR="00F07B7C" w:rsidRPr="00F07B7C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газоанализаторы атмосферного и низкого давления. Газоанализаторы, имеющие встроенные конвертеры NO</w:t>
      </w:r>
      <w:r w:rsidR="00F07B7C" w:rsidRPr="00F07B7C">
        <w:rPr>
          <w:rFonts w:ascii="Times New Roman" w:eastAsia="Cambria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="00F07B7C" w:rsidRPr="00F07B7C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/NO, выдают аналитические сигналы по NO, NO</w:t>
      </w:r>
      <w:r w:rsidR="00F07B7C" w:rsidRPr="00F07B7C">
        <w:rPr>
          <w:rFonts w:ascii="Times New Roman" w:eastAsia="Cambria" w:hAnsi="Times New Roman" w:cs="Times New Roman"/>
          <w:bCs/>
          <w:sz w:val="28"/>
          <w:szCs w:val="28"/>
          <w:vertAlign w:val="subscript"/>
          <w:lang w:eastAsia="ru-RU"/>
        </w:rPr>
        <w:t>х</w:t>
      </w:r>
      <w:r w:rsidR="00F07B7C" w:rsidRPr="00F07B7C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и NО</w:t>
      </w:r>
      <w:r w:rsidR="00F07B7C" w:rsidRPr="00F07B7C">
        <w:rPr>
          <w:rFonts w:ascii="Times New Roman" w:eastAsia="Cambria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="00F07B7C" w:rsidRPr="00F07B7C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одновременно или последовательно.</w:t>
      </w:r>
    </w:p>
    <w:p w:rsidR="00F07B7C" w:rsidRPr="00F07B7C" w:rsidRDefault="00F07B7C" w:rsidP="00C5109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Cambria" w:hAnsi="Times New Roman" w:cs="Times New Roman"/>
          <w:sz w:val="28"/>
          <w:szCs w:val="28"/>
          <w:lang w:eastAsia="ru-RU"/>
        </w:rPr>
        <w:t>Диапазон измерений хемилюминесцентных газоанализаторов составляе</w:t>
      </w:r>
      <w:r w:rsidR="00BC61C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т от </w:t>
      </w:r>
      <w:r w:rsidR="009B5550">
        <w:rPr>
          <w:rFonts w:ascii="Times New Roman" w:eastAsia="Cambria" w:hAnsi="Times New Roman" w:cs="Times New Roman"/>
          <w:sz w:val="28"/>
          <w:szCs w:val="28"/>
          <w:lang w:eastAsia="ru-RU"/>
        </w:rPr>
        <w:t>0 до 20000</w:t>
      </w:r>
      <w:r w:rsidR="00AB3EA1">
        <w:rPr>
          <w:rFonts w:ascii="Times New Roman" w:eastAsia="Cambria" w:hAnsi="Times New Roman" w:cs="Times New Roman"/>
          <w:sz w:val="28"/>
          <w:szCs w:val="28"/>
          <w:lang w:eastAsia="ru-RU"/>
        </w:rPr>
        <w:t> </w:t>
      </w:r>
      <w:r w:rsidR="009B5550">
        <w:rPr>
          <w:rFonts w:ascii="Times New Roman" w:eastAsia="Cambria" w:hAnsi="Times New Roman" w:cs="Times New Roman"/>
          <w:sz w:val="28"/>
          <w:szCs w:val="28"/>
          <w:lang w:eastAsia="ru-RU"/>
        </w:rPr>
        <w:t>мг/</w:t>
      </w:r>
      <w:r w:rsidRPr="00F07B7C">
        <w:rPr>
          <w:rFonts w:ascii="Times New Roman" w:eastAsia="Cambria" w:hAnsi="Times New Roman" w:cs="Times New Roman"/>
          <w:sz w:val="28"/>
          <w:szCs w:val="28"/>
          <w:lang w:eastAsia="ru-RU"/>
        </w:rPr>
        <w:t>м</w:t>
      </w:r>
      <w:r w:rsidRPr="00F07B7C">
        <w:rPr>
          <w:rFonts w:ascii="Times New Roman" w:eastAsia="Cambria" w:hAnsi="Times New Roman" w:cs="Times New Roman"/>
          <w:sz w:val="28"/>
          <w:szCs w:val="28"/>
          <w:vertAlign w:val="superscript"/>
          <w:lang w:eastAsia="ru-RU"/>
        </w:rPr>
        <w:t>3</w:t>
      </w:r>
      <w:r w:rsidR="002A1A35">
        <w:rPr>
          <w:rFonts w:ascii="Times New Roman" w:eastAsia="Cambria" w:hAnsi="Times New Roman" w:cs="Times New Roman"/>
          <w:sz w:val="28"/>
          <w:szCs w:val="28"/>
          <w:lang w:eastAsia="ru-RU"/>
        </w:rPr>
        <w:t>.</w:t>
      </w:r>
      <w:r w:rsidRPr="00F07B7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Минимальный рабочий диапазон измерений составляет от 0 до 200</w:t>
      </w:r>
      <w:r w:rsidR="00AB3EA1">
        <w:rPr>
          <w:rFonts w:ascii="Times New Roman" w:eastAsia="Cambria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Cambria" w:hAnsi="Times New Roman" w:cs="Times New Roman"/>
          <w:sz w:val="28"/>
          <w:szCs w:val="28"/>
          <w:lang w:eastAsia="ru-RU"/>
        </w:rPr>
        <w:t>мг/м</w:t>
      </w:r>
      <w:r w:rsidRPr="00F07B7C">
        <w:rPr>
          <w:rFonts w:ascii="Times New Roman" w:eastAsia="Cambria" w:hAnsi="Times New Roman" w:cs="Times New Roman"/>
          <w:sz w:val="28"/>
          <w:szCs w:val="28"/>
          <w:vertAlign w:val="superscript"/>
          <w:lang w:eastAsia="ru-RU"/>
        </w:rPr>
        <w:t>3</w:t>
      </w:r>
      <w:r w:rsidRPr="00F07B7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.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Интенсивность хемилюминесцентного свечения (химической люминесценции) пропорциональна концентрации </w:t>
      </w:r>
      <w:r w:rsidRPr="00F07B7C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азота оксида и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30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егистрируется фото</w:t>
      </w:r>
      <w:r w:rsidR="005F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электронным </w:t>
      </w:r>
      <w:r w:rsidR="00D3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умножителем,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используемым в качестве детектора.</w:t>
      </w:r>
    </w:p>
    <w:p w:rsidR="00F07B7C" w:rsidRPr="00F07B7C" w:rsidRDefault="00F07B7C" w:rsidP="000D22CC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Cambria" w:hAnsi="Times New Roman" w:cs="Times New Roman"/>
          <w:sz w:val="28"/>
          <w:szCs w:val="28"/>
          <w:lang w:eastAsia="ru-RU"/>
        </w:rPr>
        <w:t>Точность результатов измерений достигается введением поправок выходного сигнала газоанализатора с помощью корректировочных кривых (указывается производитель газоанализатора) или калибровкой с использованием газов.</w:t>
      </w:r>
    </w:p>
    <w:p w:rsidR="001F212D" w:rsidRDefault="00976A5A" w:rsidP="003A563C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Метод </w:t>
      </w:r>
      <w:r w:rsidR="00F07B7C" w:rsidRPr="00F07B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2</w:t>
      </w:r>
    </w:p>
    <w:p w:rsidR="0077576A" w:rsidRDefault="0077576A" w:rsidP="007757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 на изменении окраски массы-наполнителя индикаторных трубок при взаимодействии с определяемым компонентом в анализируемой пробе и измерении длины прореагировавшего слоя.</w:t>
      </w:r>
    </w:p>
    <w:p w:rsidR="00B61AC5" w:rsidRPr="007244A6" w:rsidRDefault="00B61AC5" w:rsidP="00B61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97843">
        <w:rPr>
          <w:rFonts w:ascii="Times New Roman" w:eastAsia="Calibri" w:hAnsi="Times New Roman" w:cs="Times New Roman"/>
          <w:sz w:val="28"/>
          <w:szCs w:val="24"/>
        </w:rPr>
        <w:t>Метод применим для оценки качества газа в нестационарных, полевых условиях.</w:t>
      </w:r>
    </w:p>
    <w:p w:rsidR="005D3B8D" w:rsidRDefault="005D3B8D" w:rsidP="005D3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Индикаторные трубки – герметичные цилиндрические трубки, состоящие из инертного прозрачного материала и сконструированные с учётом возможности пропускания через них газа. </w:t>
      </w:r>
      <w:r w:rsidR="007757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 реагент, подходящий для визуализации обнаруживаемого вещества, адсорбированный на инертном носителе, и, при необходимости, дополнительные верхние слои и/или адсорбирующие фильтры для удаления веществ, которые могут взаимодействовать с обнаруживаемым веществом. Слой индикатора содержит либо один реагент, позволяющий обнаружить определённое вещество, либо несколько реагентов для обнаружения нескольких веществ (однослойные и многослойные трубки).</w:t>
      </w:r>
    </w:p>
    <w:p w:rsidR="00F07B7C" w:rsidRPr="00F07B7C" w:rsidRDefault="00F07B7C" w:rsidP="000D2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слоя, изменившего окраску, является функцией и мерой содержания</w:t>
      </w:r>
      <w:r w:rsidR="0003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определяемого компонента и объё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отобранной на анализ пробы. Значение содержания определяемого компонента в анализируемой про</w:t>
      </w:r>
      <w:r w:rsidR="00F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определяется по шкале, нанесё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на индикаторную трубку.</w:t>
      </w:r>
    </w:p>
    <w:p w:rsidR="00F07B7C" w:rsidRPr="00F07B7C" w:rsidRDefault="00F07B7C" w:rsidP="000D22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7B7C">
        <w:rPr>
          <w:rFonts w:ascii="Times New Roman" w:eastAsia="Calibri" w:hAnsi="Times New Roman" w:cs="Times New Roman"/>
          <w:sz w:val="28"/>
          <w:szCs w:val="24"/>
        </w:rPr>
        <w:t>Испыта</w:t>
      </w:r>
      <w:r w:rsidR="007C2A27">
        <w:rPr>
          <w:rFonts w:ascii="Times New Roman" w:eastAsia="Calibri" w:hAnsi="Times New Roman" w:cs="Times New Roman"/>
          <w:sz w:val="28"/>
          <w:szCs w:val="24"/>
        </w:rPr>
        <w:t>ния проводят путём пропускания требуемого объё</w:t>
      </w:r>
      <w:r w:rsidRPr="00F07B7C">
        <w:rPr>
          <w:rFonts w:ascii="Times New Roman" w:eastAsia="Calibri" w:hAnsi="Times New Roman" w:cs="Times New Roman"/>
          <w:sz w:val="28"/>
          <w:szCs w:val="24"/>
        </w:rPr>
        <w:t>ма газа через индикаторную трубку. Длина окрашенного слоя или интенсивность изменени</w:t>
      </w:r>
      <w:r w:rsidR="00212F7F">
        <w:rPr>
          <w:rFonts w:ascii="Times New Roman" w:eastAsia="Calibri" w:hAnsi="Times New Roman" w:cs="Times New Roman"/>
          <w:sz w:val="28"/>
          <w:szCs w:val="24"/>
        </w:rPr>
        <w:t>я цвета на градуировочной шкале</w:t>
      </w:r>
      <w:r w:rsidRPr="00F07B7C">
        <w:rPr>
          <w:rFonts w:ascii="Times New Roman" w:eastAsia="Calibri" w:hAnsi="Times New Roman" w:cs="Times New Roman"/>
          <w:sz w:val="28"/>
          <w:szCs w:val="24"/>
        </w:rPr>
        <w:t xml:space="preserve"> является функцией и мерой массовой концентрации определяемого компонента. Проверка индикаторных трубок проводится в соответствии с инструкциями изготовителя.</w:t>
      </w:r>
    </w:p>
    <w:p w:rsidR="00F07B7C" w:rsidRDefault="00F07B7C" w:rsidP="000D22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699D">
        <w:rPr>
          <w:rFonts w:ascii="Times New Roman" w:eastAsia="Calibri" w:hAnsi="Times New Roman" w:cs="Times New Roman"/>
          <w:i/>
          <w:sz w:val="28"/>
          <w:szCs w:val="24"/>
        </w:rPr>
        <w:t>Подготовка к измерению</w:t>
      </w:r>
      <w:r w:rsidRPr="00F07B7C">
        <w:rPr>
          <w:rFonts w:ascii="Times New Roman" w:eastAsia="Calibri" w:hAnsi="Times New Roman" w:cs="Times New Roman"/>
          <w:sz w:val="28"/>
          <w:szCs w:val="24"/>
        </w:rPr>
        <w:t>. Проводится согласно инструкциям изготовителя или следующим образом. Устройство для подачи газа подсоединяют к регулятору давления с игольчатым клапаном. Соединяют гиб</w:t>
      </w:r>
      <w:r w:rsidR="00A03A3D">
        <w:rPr>
          <w:rFonts w:ascii="Times New Roman" w:eastAsia="Calibri" w:hAnsi="Times New Roman" w:cs="Times New Roman"/>
          <w:sz w:val="28"/>
          <w:szCs w:val="24"/>
        </w:rPr>
        <w:t>кий шланг трубки с Т-</w:t>
      </w:r>
      <w:r w:rsidRPr="00F07B7C">
        <w:rPr>
          <w:rFonts w:ascii="Times New Roman" w:eastAsia="Calibri" w:hAnsi="Times New Roman" w:cs="Times New Roman"/>
          <w:sz w:val="28"/>
          <w:szCs w:val="24"/>
        </w:rPr>
        <w:t>образным участком клап</w:t>
      </w:r>
      <w:r w:rsidR="00A03A3D">
        <w:rPr>
          <w:rFonts w:ascii="Times New Roman" w:eastAsia="Calibri" w:hAnsi="Times New Roman" w:cs="Times New Roman"/>
          <w:sz w:val="28"/>
          <w:szCs w:val="24"/>
        </w:rPr>
        <w:t>ана и продувают систему (рис.</w:t>
      </w:r>
      <w:r w:rsidRPr="00F07B7C">
        <w:rPr>
          <w:rFonts w:ascii="Times New Roman" w:eastAsia="Calibri" w:hAnsi="Times New Roman" w:cs="Times New Roman"/>
          <w:sz w:val="28"/>
          <w:szCs w:val="24"/>
        </w:rPr>
        <w:t xml:space="preserve"> 2).</w:t>
      </w:r>
    </w:p>
    <w:p w:rsidR="00FB05EC" w:rsidRPr="00F07B7C" w:rsidRDefault="00FB05EC" w:rsidP="000D22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F212D" w:rsidRDefault="00F07B7C" w:rsidP="008025AF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07B7C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243070" cy="2150745"/>
            <wp:effectExtent l="19050" t="0" r="5080" b="0"/>
            <wp:docPr id="4" name="Рисунок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7C" w:rsidRPr="009B57F9" w:rsidRDefault="00F07B7C" w:rsidP="009B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2 – </w:t>
      </w:r>
      <w:r w:rsidR="00A03A3D" w:rsidRPr="009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для</w:t>
      </w:r>
      <w:r w:rsidRPr="009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индикаторных трубок</w:t>
      </w:r>
    </w:p>
    <w:p w:rsidR="001F212D" w:rsidRDefault="001F212D" w:rsidP="003A5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56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подача газа; </w:t>
      </w:r>
      <w:r w:rsidR="00F07B7C"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7B7C" w:rsidRPr="003A56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D4E9E"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07B7C"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 давления; 3</w:t>
      </w:r>
      <w:r w:rsidRPr="003A56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игольчатый клапан; 4</w:t>
      </w:r>
      <w:r w:rsidRPr="003A56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T-образный участок; 5</w:t>
      </w:r>
      <w:r w:rsidRPr="003A56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индикаторная трубка; 6</w:t>
      </w:r>
      <w:r w:rsidRPr="003A56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насос для индикаторной трубки; 7</w:t>
      </w:r>
      <w:r w:rsidRPr="003A56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открытый конец для выхода газа в атмосферу</w:t>
      </w:r>
      <w:r w:rsidR="00AB3EA1" w:rsidRPr="003A5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63C" w:rsidRPr="003A563C" w:rsidRDefault="003A563C" w:rsidP="003A5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A6" w:rsidRDefault="00F07B7C" w:rsidP="007244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7B7C">
        <w:rPr>
          <w:rFonts w:ascii="Times New Roman" w:eastAsia="Calibri" w:hAnsi="Times New Roman" w:cs="Times New Roman"/>
          <w:sz w:val="28"/>
          <w:szCs w:val="24"/>
        </w:rPr>
        <w:t xml:space="preserve">Открытый конец индикаторный трубки присоединяют к короткому концу </w:t>
      </w:r>
      <w:r w:rsidR="00D15E21">
        <w:rPr>
          <w:rFonts w:ascii="Times New Roman" w:eastAsia="Calibri" w:hAnsi="Times New Roman" w:cs="Times New Roman"/>
          <w:sz w:val="28"/>
          <w:szCs w:val="24"/>
        </w:rPr>
        <w:t>шланга и регулируют насосом объё</w:t>
      </w:r>
      <w:r w:rsidRPr="00F07B7C">
        <w:rPr>
          <w:rFonts w:ascii="Times New Roman" w:eastAsia="Calibri" w:hAnsi="Times New Roman" w:cs="Times New Roman"/>
          <w:sz w:val="28"/>
          <w:szCs w:val="24"/>
        </w:rPr>
        <w:t>м анализируемого газа, проходящего через трубку. Записывают значения, соответствующие длине окрашенного слоя или интенсивности цвета на градуировочной шкале. При отрицательном результате анализа индикаторная трубка</w:t>
      </w:r>
      <w:r w:rsidR="00235C3B">
        <w:rPr>
          <w:rFonts w:ascii="Times New Roman" w:eastAsia="Calibri" w:hAnsi="Times New Roman" w:cs="Times New Roman"/>
          <w:sz w:val="28"/>
          <w:szCs w:val="24"/>
        </w:rPr>
        <w:t>, на которой был получен отрицательный результат,</w:t>
      </w:r>
      <w:r w:rsidRPr="00F07B7C">
        <w:rPr>
          <w:rFonts w:ascii="Times New Roman" w:eastAsia="Calibri" w:hAnsi="Times New Roman" w:cs="Times New Roman"/>
          <w:sz w:val="28"/>
          <w:szCs w:val="24"/>
        </w:rPr>
        <w:t xml:space="preserve"> должна быть проверена с помощью калибровочного газа, содержащего соответствующую примесь.</w:t>
      </w:r>
      <w:r w:rsidR="00432916">
        <w:rPr>
          <w:rFonts w:ascii="Times New Roman" w:eastAsia="Calibri" w:hAnsi="Times New Roman" w:cs="Times New Roman"/>
          <w:sz w:val="28"/>
          <w:szCs w:val="24"/>
        </w:rPr>
        <w:t xml:space="preserve"> При этом в </w:t>
      </w:r>
      <w:r w:rsidR="00432916" w:rsidRPr="00432916">
        <w:rPr>
          <w:rFonts w:ascii="Times New Roman" w:eastAsia="Calibri" w:hAnsi="Times New Roman" w:cs="Times New Roman"/>
          <w:sz w:val="28"/>
          <w:szCs w:val="24"/>
        </w:rPr>
        <w:t>составе калибровочного газа оксиды азота должны превышать по содержанию полученный отрицательный результат</w:t>
      </w:r>
      <w:r w:rsidR="0043291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244A6" w:rsidRPr="003B1809" w:rsidRDefault="003B1809" w:rsidP="003B18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97843">
        <w:rPr>
          <w:rFonts w:ascii="Times New Roman" w:eastAsia="Calibri" w:hAnsi="Times New Roman" w:cs="Times New Roman"/>
          <w:i/>
          <w:sz w:val="28"/>
          <w:szCs w:val="24"/>
        </w:rPr>
        <w:t xml:space="preserve">Индикаторная трубка для </w:t>
      </w:r>
      <w:r>
        <w:rPr>
          <w:rFonts w:ascii="Times New Roman" w:eastAsia="Calibri" w:hAnsi="Times New Roman" w:cs="Times New Roman"/>
          <w:i/>
          <w:sz w:val="28"/>
          <w:szCs w:val="24"/>
        </w:rPr>
        <w:t>азота оксида и азота диоксида</w:t>
      </w:r>
      <w:r w:rsidRPr="00197843">
        <w:rPr>
          <w:rFonts w:ascii="Times New Roman" w:eastAsia="Calibri" w:hAnsi="Times New Roman" w:cs="Times New Roman"/>
          <w:i/>
          <w:sz w:val="28"/>
          <w:szCs w:val="24"/>
        </w:rPr>
        <w:t>.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Герметичная стеклянная трубка, содержащая адсорбирующие фильтры и подходящие носители для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окисляющего слоя (соль 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>Cr</w:t>
      </w:r>
      <w:r>
        <w:rPr>
          <w:rFonts w:ascii="Times New Roman" w:eastAsia="Calibri" w:hAnsi="Times New Roman" w:cs="Times New Roman"/>
          <w:sz w:val="28"/>
          <w:szCs w:val="24"/>
        </w:rPr>
        <w:t>(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4"/>
        </w:rPr>
        <w:t>))</w:t>
      </w:r>
      <w:r w:rsidRPr="00197843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4"/>
        </w:rPr>
        <w:t>индикатора – дифенилбензидина</w:t>
      </w:r>
      <w:r w:rsidRPr="00197843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определяемая концентрация – 0,5</w:t>
      </w:r>
      <w:r w:rsidR="00AB3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0FA3">
        <w:rPr>
          <w:rFonts w:ascii="Times New Roman" w:eastAsia="Times New Roman" w:hAnsi="Times New Roman" w:cs="Times New Roman"/>
          <w:sz w:val="28"/>
          <w:szCs w:val="28"/>
          <w:lang w:eastAsia="ru-RU"/>
        </w:rPr>
        <w:t>ppm с относительным стандартным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отклонением ±15</w:t>
      </w:r>
      <w:r w:rsidR="00AB3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F212D" w:rsidRDefault="00976A5A" w:rsidP="003A563C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F07B7C" w:rsidRPr="00F0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07B7C" w:rsidRPr="00F07B7C" w:rsidRDefault="00F07B7C" w:rsidP="000D22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Газы, которые состоят из молекул, содержащих различные атомы, поглощают свет с хар</w:t>
      </w:r>
      <w:r w:rsidR="00FA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актеристичной длиной волны в ИК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спектра.</w:t>
      </w:r>
    </w:p>
    <w:p w:rsidR="00F07B7C" w:rsidRPr="00F07B7C" w:rsidRDefault="00F07B7C" w:rsidP="000D22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измерений используют суммарное поглощение молекулой NO при максимальной частоте </w:t>
      </w:r>
      <w:r w:rsidR="00AE1FD5">
        <w:rPr>
          <w:rFonts w:ascii="Times New Roman" w:eastAsia="Times New Roman" w:hAnsi="Times New Roman" w:cs="Times New Roman"/>
          <w:sz w:val="28"/>
          <w:szCs w:val="28"/>
          <w:lang w:eastAsia="ru-RU"/>
        </w:rPr>
        <w:t>ν</w:t>
      </w:r>
      <w:r w:rsidRPr="00F07B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1876</w:t>
      </w:r>
      <w:r w:rsidR="00AB3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567A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F07B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длине волны 5,3</w:t>
      </w:r>
      <w:r w:rsidR="00AB3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мкм.</w:t>
      </w:r>
    </w:p>
    <w:p w:rsidR="00F07B7C" w:rsidRPr="00F07B7C" w:rsidRDefault="00F07B7C" w:rsidP="000D22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пучок проходит чере</w:t>
      </w:r>
      <w:r w:rsidR="00653B6E">
        <w:rPr>
          <w:rFonts w:ascii="Times New Roman" w:eastAsia="Times New Roman" w:hAnsi="Times New Roman" w:cs="Times New Roman"/>
          <w:sz w:val="28"/>
          <w:szCs w:val="28"/>
          <w:lang w:eastAsia="ru-RU"/>
        </w:rPr>
        <w:t>з измерительную ячейку, другой –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ячейку сравнения, содержащую газ, не поглощающий ИК-излучение, обы</w:t>
      </w:r>
      <w:r w:rsidR="00B2153C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азот. Если проба содержит N</w:t>
      </w:r>
      <w:r w:rsidR="00B21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 энергии ИК-излучения поглощается, и доля энергии ИК-излучения, достигшего детектора, буд</w:t>
      </w:r>
      <w:r w:rsidR="00B21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пропорциональна количеству N</w:t>
      </w:r>
      <w:r w:rsidR="00B21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присутствующему в пробе. Детектор сконструирован так, что он обладает чувствительностью к излучению с длиной волны, являющейся характеристичной для NO.</w:t>
      </w:r>
    </w:p>
    <w:p w:rsidR="00F07B7C" w:rsidRPr="00F07B7C" w:rsidRDefault="00F07B7C" w:rsidP="000D22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диапазон измерений массовой концентрации может составлять от 0 до 200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мг/м</w:t>
      </w:r>
      <w:r w:rsidRPr="00F07B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газоанализатор может быть использован только для заданного диапазона массовых концентраций.</w:t>
      </w:r>
    </w:p>
    <w:p w:rsidR="00F07B7C" w:rsidRPr="00F07B7C" w:rsidRDefault="00F07B7C" w:rsidP="000D22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инфракрасного метода реализовано в газоанализаторах, раб</w:t>
      </w:r>
      <w:r w:rsidR="00BD3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отающих по НДИК методу (рис.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</w:t>
      </w:r>
    </w:p>
    <w:p w:rsidR="00F07B7C" w:rsidRPr="00F07B7C" w:rsidRDefault="00F07B7C" w:rsidP="000D22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12D" w:rsidRDefault="00F07B7C" w:rsidP="001F21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6282" cy="1280160"/>
            <wp:effectExtent l="19050" t="0" r="0" b="0"/>
            <wp:docPr id="7" name="Рисунок 1" descr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СТ Р ИСО 10849-2006 Выбросы стационарных источников. Определение массовой концентрации оксидов азота. Характеристики автоматических измерительных систем в условиях примен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73" cy="128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2D" w:rsidRDefault="00F07B7C" w:rsidP="001F212D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  <w:r w:rsidRPr="009B57F9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Рисунок 3 – Схема недисперсионног</w:t>
      </w:r>
      <w:r w:rsidR="003A563C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о инфракрасного газоанализатора</w:t>
      </w:r>
    </w:p>
    <w:p w:rsidR="001F212D" w:rsidRDefault="001F212D" w:rsidP="003A563C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</w:pPr>
      <w:r w:rsidRPr="008025AF"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  <w:t>1 – источник излучения; 2 – мотор модулятора; 3 – модулятор; 4 – измерительная кювета; 5 – кювета сравнения; 6 – детектор; 7 – блок электронной обработки данных; 8 – блок регистрации данных</w:t>
      </w:r>
      <w:r w:rsidR="005D1DED" w:rsidRPr="008025AF"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  <w:t>.</w:t>
      </w:r>
    </w:p>
    <w:p w:rsidR="003A563C" w:rsidRPr="008025AF" w:rsidRDefault="003A563C" w:rsidP="003A563C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4"/>
          <w:szCs w:val="24"/>
          <w:lang w:eastAsia="ru-RU" w:bidi="ru-RU"/>
        </w:rPr>
      </w:pPr>
    </w:p>
    <w:p w:rsidR="006E2E16" w:rsidRPr="00F07B7C" w:rsidRDefault="00F07B7C" w:rsidP="00A213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результаты измерений НДИК-методом могут оказывать влияние мешающие вещества, особенно водяной пар.</w:t>
      </w:r>
    </w:p>
    <w:p w:rsidR="001F212D" w:rsidRDefault="00976A5A" w:rsidP="001F212D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Метод </w:t>
      </w:r>
      <w:r w:rsidR="00F07B7C" w:rsidRPr="00F07B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4</w:t>
      </w:r>
    </w:p>
    <w:p w:rsidR="0099184A" w:rsidRDefault="0099184A" w:rsidP="00991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C9">
        <w:rPr>
          <w:rFonts w:ascii="Times New Roman" w:hAnsi="Times New Roman" w:cs="Times New Roman"/>
          <w:sz w:val="28"/>
          <w:szCs w:val="28"/>
        </w:rPr>
        <w:t xml:space="preserve">Метод оптической абсорбционной спектроскопии, </w:t>
      </w:r>
      <w:r>
        <w:rPr>
          <w:rFonts w:ascii="Times New Roman" w:hAnsi="Times New Roman" w:cs="Times New Roman"/>
          <w:sz w:val="28"/>
          <w:szCs w:val="28"/>
        </w:rPr>
        <w:t xml:space="preserve">используемый </w:t>
      </w:r>
      <w:r w:rsidRPr="003026C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Pr="003026C9">
        <w:rPr>
          <w:rFonts w:ascii="Times New Roman" w:hAnsi="Times New Roman" w:cs="Times New Roman"/>
          <w:sz w:val="28"/>
          <w:szCs w:val="28"/>
        </w:rPr>
        <w:t xml:space="preserve"> диоксида азота и оксида азота, </w:t>
      </w:r>
      <w:r>
        <w:rPr>
          <w:rFonts w:ascii="Times New Roman" w:hAnsi="Times New Roman" w:cs="Times New Roman"/>
          <w:sz w:val="28"/>
          <w:szCs w:val="28"/>
        </w:rPr>
        <w:t>основан на измерении</w:t>
      </w:r>
      <w:r w:rsidRPr="003026C9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сидов</w:t>
      </w:r>
      <w:r w:rsidRPr="003026C9">
        <w:rPr>
          <w:rFonts w:ascii="Times New Roman" w:hAnsi="Times New Roman" w:cs="Times New Roman"/>
          <w:sz w:val="28"/>
          <w:szCs w:val="28"/>
        </w:rPr>
        <w:t xml:space="preserve"> азота по поглощению</w:t>
      </w:r>
      <w:r>
        <w:rPr>
          <w:rFonts w:ascii="Times New Roman" w:hAnsi="Times New Roman" w:cs="Times New Roman"/>
          <w:sz w:val="28"/>
          <w:szCs w:val="28"/>
        </w:rPr>
        <w:t xml:space="preserve"> в УФ области. При</w:t>
      </w:r>
      <w:r w:rsidRPr="003026C9">
        <w:rPr>
          <w:rFonts w:ascii="Times New Roman" w:hAnsi="Times New Roman" w:cs="Times New Roman"/>
          <w:sz w:val="28"/>
          <w:szCs w:val="28"/>
        </w:rPr>
        <w:t xml:space="preserve"> длине волн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26C9">
        <w:rPr>
          <w:rFonts w:ascii="Times New Roman" w:hAnsi="Times New Roman" w:cs="Times New Roman"/>
          <w:sz w:val="28"/>
          <w:szCs w:val="28"/>
        </w:rPr>
        <w:t xml:space="preserve"> 395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26C9">
        <w:rPr>
          <w:rFonts w:ascii="Times New Roman" w:hAnsi="Times New Roman" w:cs="Times New Roman"/>
          <w:sz w:val="28"/>
          <w:szCs w:val="28"/>
        </w:rPr>
        <w:t>нм наблюдается поглощение излучения только диоксидом азота (ближний ультрафиолет (УФ) – видимый диапазон спектра), а характеристичная для NO</w:t>
      </w:r>
      <w:r>
        <w:rPr>
          <w:rFonts w:ascii="Times New Roman" w:hAnsi="Times New Roman" w:cs="Times New Roman"/>
          <w:sz w:val="28"/>
          <w:szCs w:val="28"/>
        </w:rPr>
        <w:t xml:space="preserve"> длина волны находится</w:t>
      </w:r>
      <w:r w:rsidRPr="003026C9">
        <w:rPr>
          <w:rFonts w:ascii="Times New Roman" w:hAnsi="Times New Roman" w:cs="Times New Roman"/>
          <w:sz w:val="28"/>
          <w:szCs w:val="28"/>
        </w:rPr>
        <w:t xml:space="preserve"> в области 226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26C9">
        <w:rPr>
          <w:rFonts w:ascii="Times New Roman" w:hAnsi="Times New Roman" w:cs="Times New Roman"/>
          <w:sz w:val="28"/>
          <w:szCs w:val="28"/>
        </w:rPr>
        <w:t>нм.</w:t>
      </w:r>
    </w:p>
    <w:p w:rsidR="001F212D" w:rsidRDefault="00F07B7C" w:rsidP="001F2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 пробы на анализ производят на установке, изображённо</w:t>
      </w:r>
      <w:r w:rsidR="005D387C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рис.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</w:p>
    <w:p w:rsidR="001F212D" w:rsidRDefault="00281455" w:rsidP="001F21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0466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2D" w:rsidRDefault="00F07B7C" w:rsidP="001F2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 –</w:t>
      </w:r>
      <w:r w:rsidR="00FB05EC" w:rsidRPr="0000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для отбора проб газа</w:t>
      </w:r>
    </w:p>
    <w:p w:rsidR="0099184A" w:rsidRDefault="001F212D" w:rsidP="003A5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регулирующий игольчатый вентиль; 2 – зажим Мора; 3 – увлажнитель газа (сосуд с дистиллированной водой); 4 – устройство для превращения </w:t>
      </w:r>
      <w:r w:rsidRPr="008025A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N</w:t>
      </w:r>
      <w:r w:rsidRPr="0080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</w:t>
      </w:r>
      <w:r w:rsidRPr="008025A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NO</w:t>
      </w:r>
      <w:r w:rsidRPr="008025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025A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заполненное раствором хромового ангидрида; 5, 9 – трёхходовые стеклянные краны;</w:t>
      </w:r>
    </w:p>
    <w:p w:rsidR="0099184A" w:rsidRDefault="001F212D" w:rsidP="003A5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8 – абсорберы для поглощения </w:t>
      </w:r>
      <w:r w:rsidRPr="008025A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NO</w:t>
      </w:r>
      <w:r w:rsidRPr="008025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0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 мл Грисса-Илосвая реактива в каждом;</w:t>
      </w:r>
    </w:p>
    <w:p w:rsidR="001F212D" w:rsidRDefault="001F212D" w:rsidP="003A5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– капилляр; 10 – термометр; 11 – реометр.</w:t>
      </w:r>
    </w:p>
    <w:p w:rsidR="003A563C" w:rsidRPr="008025AF" w:rsidRDefault="003A563C" w:rsidP="003A5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12D" w:rsidRDefault="00F07B7C" w:rsidP="001F2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увлажнитель (3) заполняют на 2/3 водой. В устройство (4) для окисления азота оксида в азо</w:t>
      </w:r>
      <w:r w:rsidR="00C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44A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диоксид заливают 3</w:t>
      </w:r>
      <w:r w:rsidR="00D77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E74BB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</w:t>
      </w:r>
      <w:r w:rsidR="00C03750">
        <w:rPr>
          <w:rFonts w:ascii="Times New Roman" w:eastAsia="Times New Roman" w:hAnsi="Times New Roman" w:cs="Times New Roman"/>
          <w:sz w:val="28"/>
          <w:szCs w:val="28"/>
          <w:lang w:eastAsia="ru-RU"/>
        </w:rPr>
        <w:t>(VI) оксида насыщенного раствора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обновляется в процессе работы 1 раз в сутки.</w:t>
      </w:r>
    </w:p>
    <w:p w:rsidR="001F212D" w:rsidRDefault="00F07B7C" w:rsidP="001F21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подключают к аналитической точке отбора</w:t>
      </w:r>
      <w:r w:rsidR="0099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анализируемого газа, ставят трё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хходовые краны (5 и 9) в положение каналов, показанное</w:t>
      </w:r>
      <w:r w:rsidR="00C2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сплошной линией, открывают вентиль (1) и устанавливают расход</w:t>
      </w:r>
      <w:r w:rsidR="0099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 через установку по газосчё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тчику (реометру) 2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F07B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136BCC">
        <w:rPr>
          <w:rFonts w:ascii="Times New Roman" w:eastAsia="Times New Roman" w:hAnsi="Times New Roman" w:cs="Times New Roman"/>
          <w:sz w:val="28"/>
          <w:szCs w:val="28"/>
          <w:lang w:eastAsia="ru-RU"/>
        </w:rPr>
        <w:t>/с. Используют газосчё</w:t>
      </w:r>
      <w:r w:rsidR="00F11B89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тчик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точности 1 со шкалой </w:t>
      </w:r>
      <w:r w:rsidR="00597A44">
        <w:rPr>
          <w:rFonts w:ascii="Times New Roman" w:eastAsia="Times New Roman" w:hAnsi="Times New Roman" w:cs="Times New Roman"/>
          <w:sz w:val="28"/>
          <w:szCs w:val="28"/>
          <w:lang w:eastAsia="ru-RU"/>
        </w:rPr>
        <w:t>0–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F07B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7B7C">
        <w:rPr>
          <w:rFonts w:ascii="NTHarmonica" w:eastAsia="Times New Roman" w:hAnsi="NTHarmonica" w:cs="Times New Roman"/>
          <w:sz w:val="24"/>
          <w:szCs w:val="20"/>
          <w:lang w:eastAsia="ru-RU"/>
        </w:rPr>
        <w:t xml:space="preserve">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ценой деления 20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F07B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Размеры капилляра (7) должны быть подобраны таким образом, чтобы сопротивление его газовому потоку равнялось сопротивлению абсорберов (6 и 8), в ко</w:t>
      </w:r>
      <w:r w:rsidR="0013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</w:t>
      </w:r>
      <w:r w:rsidR="00136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заливают по 15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Грисса-Илосвая</w:t>
      </w:r>
      <w:r w:rsidR="0013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Продувают установку анализируемым газом в течение 10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затем ставят краны (5 и 9) в положение их каналов, показанное </w:t>
      </w:r>
      <w:r w:rsidR="00C2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пунктирной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линией, одн</w:t>
      </w:r>
      <w:r w:rsidR="00F6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овременно фиксируя показания </w:t>
      </w:r>
      <w:r w:rsidR="00C20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реометра (11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212D" w:rsidRDefault="00BD6DDB" w:rsidP="001F21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0B4">
        <w:rPr>
          <w:rFonts w:ascii="Times New Roman" w:eastAsia="TimesNewRomanPS-BoldMT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191000" cy="2971800"/>
            <wp:effectExtent l="0" t="0" r="0" b="0"/>
            <wp:docPr id="1" name="Рисунок 1" descr="1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1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9415" r="3999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DB" w:rsidRDefault="00BD6DDB" w:rsidP="00B95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i/>
          <w:sz w:val="28"/>
          <w:szCs w:val="28"/>
          <w:lang w:eastAsia="ja-JP" w:bidi="ru-RU"/>
        </w:rPr>
      </w:pPr>
      <w:r w:rsidRPr="00BD6DDB">
        <w:rPr>
          <w:rFonts w:ascii="Times New Roman" w:eastAsia="TimesNewRomanPS-BoldMT" w:hAnsi="Times New Roman" w:cs="Times New Roman"/>
          <w:bCs/>
          <w:sz w:val="28"/>
          <w:szCs w:val="28"/>
          <w:lang w:eastAsia="ja-JP" w:bidi="ru-RU"/>
        </w:rPr>
        <w:t>Рисунок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eastAsia="ja-JP" w:bidi="ru-RU"/>
        </w:rPr>
        <w:t xml:space="preserve"> 5 –</w:t>
      </w:r>
      <w:r w:rsidRPr="00BD6DDB">
        <w:rPr>
          <w:rFonts w:ascii="Times New Roman" w:eastAsia="TimesNewRomanPS-BoldMT" w:hAnsi="Times New Roman" w:cs="Times New Roman"/>
          <w:bCs/>
          <w:sz w:val="28"/>
          <w:szCs w:val="28"/>
          <w:lang w:eastAsia="ja-JP" w:bidi="ru-RU"/>
        </w:rPr>
        <w:t xml:space="preserve"> Оптическая схема газоанализатора</w:t>
      </w:r>
    </w:p>
    <w:p w:rsidR="001F212D" w:rsidRDefault="001F212D" w:rsidP="003A563C">
      <w:pPr>
        <w:shd w:val="clear" w:color="auto" w:fill="FFFFFF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ja-JP" w:bidi="ru-RU"/>
        </w:rPr>
      </w:pPr>
      <w:r w:rsidRPr="008025AF">
        <w:rPr>
          <w:rFonts w:ascii="Times New Roman" w:eastAsia="TimesNewRomanPS-BoldMT" w:hAnsi="Times New Roman" w:cs="Times New Roman"/>
          <w:bCs/>
          <w:sz w:val="24"/>
          <w:szCs w:val="24"/>
          <w:lang w:eastAsia="ja-JP" w:bidi="ru-RU"/>
        </w:rPr>
        <w:t>1 – источник излучения (лампа), 2, 5 – оптическая система формирования параллельного пучка, 3 – кювета, 4 – призма, 6 – дифракционная решетка, 7 – приёмник оптического излучения (ПЗС – линейка)</w:t>
      </w:r>
      <w:r w:rsidR="00B958C5" w:rsidRPr="008025AF">
        <w:rPr>
          <w:rFonts w:ascii="Times New Roman" w:eastAsia="TimesNewRomanPS-BoldMT" w:hAnsi="Times New Roman" w:cs="Times New Roman"/>
          <w:bCs/>
          <w:sz w:val="24"/>
          <w:szCs w:val="24"/>
          <w:lang w:eastAsia="ja-JP" w:bidi="ru-RU"/>
        </w:rPr>
        <w:t>.</w:t>
      </w:r>
    </w:p>
    <w:p w:rsidR="003A563C" w:rsidRPr="008025AF" w:rsidRDefault="003A563C" w:rsidP="003A563C">
      <w:pPr>
        <w:shd w:val="clear" w:color="auto" w:fill="FFFFFF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ja-JP" w:bidi="ru-RU"/>
        </w:rPr>
      </w:pPr>
    </w:p>
    <w:p w:rsidR="001F212D" w:rsidRDefault="00BD6DDB" w:rsidP="009918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источника излучения используют лампу, излучающую в УФ- и видимой областях спектра. С помощью дифракционной реш</w:t>
      </w:r>
      <w:r w:rsidR="00F374E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D7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«вырезается» излучение в диапазоне длин волн от 218 до 233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9141C">
        <w:rPr>
          <w:rFonts w:ascii="Times New Roman" w:eastAsia="Times New Roman" w:hAnsi="Times New Roman" w:cs="Times New Roman"/>
          <w:sz w:val="28"/>
          <w:szCs w:val="28"/>
          <w:lang w:eastAsia="ru-RU"/>
        </w:rPr>
        <w:t>350–</w:t>
      </w:r>
      <w:r w:rsidRPr="007D7D28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нм. Детектор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собой линейку фотодиодов.</w:t>
      </w:r>
    </w:p>
    <w:p w:rsidR="0099184A" w:rsidRDefault="0099184A" w:rsidP="009918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Раствор н</w:t>
      </w:r>
      <w:r w:rsidRPr="00991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атрия нитрита</w:t>
      </w:r>
      <w:r w:rsidRPr="00F07B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вместимостью 1000 мл помещают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0,233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г натрия нитрита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растворяют в воде и доводят объём раствора тем же растворителем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вместимостью 1000 мл помещают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мл полученного раствора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объём раствора водой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метки. Полученный раствор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/мл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азота оксида.</w:t>
      </w:r>
    </w:p>
    <w:p w:rsidR="00F07B7C" w:rsidRDefault="00F07B7C" w:rsidP="00BD6D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градуировочного графика в 10 градуированных пробирок с пришлифованной пробкой вместимостью 15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помещают от 0,2 до 2</w:t>
      </w:r>
      <w:r w:rsidR="0022256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с интервалом 0,2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раствора натрия нитрита, в каждую пробирку прибавляю</w:t>
      </w:r>
      <w:r w:rsidR="0053693F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Грисса-Илосвая реактив до объё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15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мл, перемешивают и через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проводят измерение оптической плотности при длине волны 54</w:t>
      </w:r>
      <w:r w:rsidR="00A42E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2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нм в кювете с толщиной слоя 2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 качестве раство</w:t>
      </w:r>
      <w:r w:rsidR="00A4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сравнения используют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Грисса-Илосвая</w:t>
      </w:r>
      <w:r w:rsidR="00A4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Периодичность построения градуировочного графика – 1 раз в 3</w:t>
      </w:r>
      <w:r w:rsidR="00B9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мес.</w:t>
      </w:r>
    </w:p>
    <w:p w:rsidR="001F212D" w:rsidRDefault="00803FE7" w:rsidP="001F212D">
      <w:pPr>
        <w:pStyle w:val="2"/>
        <w:spacing w:before="0" w:after="0" w:line="360" w:lineRule="auto"/>
        <w:ind w:firstLine="692"/>
        <w:rPr>
          <w:rFonts w:ascii="Times New Roman" w:hAnsi="Times New Roman" w:cs="Times New Roman"/>
          <w:b w:val="0"/>
          <w:sz w:val="28"/>
          <w:szCs w:val="28"/>
        </w:rPr>
      </w:pPr>
      <w:r w:rsidRPr="00C16008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844A52">
        <w:rPr>
          <w:rFonts w:ascii="Times New Roman" w:hAnsi="Times New Roman" w:cs="Times New Roman"/>
          <w:b w:val="0"/>
          <w:sz w:val="28"/>
          <w:szCs w:val="28"/>
        </w:rPr>
        <w:t>окончания поглощения оксидов азота в абсорберах (по окончании продувания установки анализируемым газом)</w:t>
      </w:r>
      <w:r w:rsidRPr="00C16008">
        <w:rPr>
          <w:rFonts w:ascii="Times New Roman" w:hAnsi="Times New Roman" w:cs="Times New Roman"/>
          <w:b w:val="0"/>
          <w:sz w:val="28"/>
          <w:szCs w:val="28"/>
        </w:rPr>
        <w:t xml:space="preserve"> отсоединяют абсорберы 6 и 8. Содержимое первого абсорбера заливают в кювету и измеряют оптическую плотность раствора.</w:t>
      </w:r>
    </w:p>
    <w:p w:rsidR="00803FE7" w:rsidRDefault="00803FE7" w:rsidP="00803F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08">
        <w:rPr>
          <w:rFonts w:ascii="Times New Roman" w:hAnsi="Times New Roman" w:cs="Times New Roman"/>
          <w:sz w:val="28"/>
          <w:szCs w:val="28"/>
        </w:rPr>
        <w:t>Аналогичным образом измеряют оптическую плотность раствора из второго абсорбера и по градуировочному графику определяют содержание азота моноксида в миллиграммах</w:t>
      </w:r>
      <w:r w:rsidR="00844A52">
        <w:rPr>
          <w:rFonts w:ascii="Times New Roman" w:hAnsi="Times New Roman" w:cs="Times New Roman"/>
          <w:sz w:val="28"/>
          <w:szCs w:val="28"/>
        </w:rPr>
        <w:t>,</w:t>
      </w:r>
      <w:r w:rsidRPr="00C16008">
        <w:rPr>
          <w:rFonts w:ascii="Times New Roman" w:hAnsi="Times New Roman" w:cs="Times New Roman"/>
          <w:sz w:val="28"/>
          <w:szCs w:val="28"/>
        </w:rPr>
        <w:t xml:space="preserve"> соответствующее оптическим плотностям.</w:t>
      </w:r>
    </w:p>
    <w:p w:rsidR="00020391" w:rsidRDefault="00020391" w:rsidP="00803F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Определяют объём пропущенного газа в л (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lang w:val="en-US"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 w:bidi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 w:bidi="ru-RU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  <w:t>), приведённый к нормальным уловиям:</w:t>
      </w:r>
    </w:p>
    <w:p w:rsidR="00020391" w:rsidRDefault="00C92334" w:rsidP="000203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 w:bidi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en-US" w:eastAsia="ru-RU"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en-US"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273∙P∙V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101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,3∙(273+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t)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 w:bidi="ru-RU"/>
            </w:rPr>
            <m:t>,</m:t>
          </m:r>
        </m:oMath>
      </m:oMathPara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37"/>
        <w:gridCol w:w="956"/>
        <w:gridCol w:w="425"/>
        <w:gridCol w:w="7729"/>
      </w:tblGrid>
      <w:tr w:rsidR="00020391" w:rsidRPr="00B443CD" w:rsidTr="003A563C">
        <w:tc>
          <w:tcPr>
            <w:tcW w:w="637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956" w:type="dxa"/>
          </w:tcPr>
          <w:p w:rsidR="00020391" w:rsidRPr="008025AF" w:rsidRDefault="00020391" w:rsidP="003A563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5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29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барометрическое давление, кПа;</w:t>
            </w:r>
          </w:p>
        </w:tc>
      </w:tr>
      <w:tr w:rsidR="00020391" w:rsidRPr="00B443CD" w:rsidTr="003A563C">
        <w:tc>
          <w:tcPr>
            <w:tcW w:w="637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6" w:type="dxa"/>
          </w:tcPr>
          <w:p w:rsidR="00020391" w:rsidRPr="008025AF" w:rsidRDefault="00020391" w:rsidP="003A563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  <w:t>101</w:t>
            </w: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eastAsia="ru-RU" w:bidi="ru-RU"/>
              </w:rPr>
              <w:t>,3</w:t>
            </w:r>
          </w:p>
        </w:tc>
        <w:tc>
          <w:tcPr>
            <w:tcW w:w="425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29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нормальное давление, кПа;</w:t>
            </w:r>
          </w:p>
        </w:tc>
      </w:tr>
      <w:tr w:rsidR="00020391" w:rsidRPr="00B443CD" w:rsidTr="003A563C">
        <w:tc>
          <w:tcPr>
            <w:tcW w:w="637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6" w:type="dxa"/>
          </w:tcPr>
          <w:p w:rsidR="00020391" w:rsidRPr="008025AF" w:rsidRDefault="00020391" w:rsidP="003A563C">
            <w:pPr>
              <w:widowControl w:val="0"/>
              <w:spacing w:after="120" w:line="240" w:lineRule="auto"/>
              <w:ind w:right="-1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  <w:t>t</w:t>
            </w:r>
          </w:p>
        </w:tc>
        <w:tc>
          <w:tcPr>
            <w:tcW w:w="425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29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B443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температура газа, °С;</w:t>
            </w:r>
          </w:p>
        </w:tc>
      </w:tr>
      <w:tr w:rsidR="00020391" w:rsidTr="003A563C">
        <w:tc>
          <w:tcPr>
            <w:tcW w:w="637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6" w:type="dxa"/>
          </w:tcPr>
          <w:p w:rsidR="00020391" w:rsidRPr="008025AF" w:rsidRDefault="00020391" w:rsidP="003A563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  <w:t>273</w:t>
            </w:r>
          </w:p>
        </w:tc>
        <w:tc>
          <w:tcPr>
            <w:tcW w:w="425" w:type="dxa"/>
          </w:tcPr>
          <w:p w:rsidR="00020391" w:rsidRDefault="00020391" w:rsidP="003A563C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29" w:type="dxa"/>
          </w:tcPr>
          <w:p w:rsidR="00020391" w:rsidRDefault="00020391" w:rsidP="003A563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нормальная температура, К;</w:t>
            </w:r>
          </w:p>
        </w:tc>
      </w:tr>
      <w:tr w:rsidR="00020391" w:rsidRPr="00B443CD" w:rsidTr="003A563C">
        <w:tc>
          <w:tcPr>
            <w:tcW w:w="637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6" w:type="dxa"/>
          </w:tcPr>
          <w:p w:rsidR="00020391" w:rsidRPr="008025AF" w:rsidRDefault="00020391" w:rsidP="003A563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  <w:t>V</w:t>
            </w:r>
          </w:p>
        </w:tc>
        <w:tc>
          <w:tcPr>
            <w:tcW w:w="425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29" w:type="dxa"/>
          </w:tcPr>
          <w:p w:rsidR="00020391" w:rsidRPr="00B443CD" w:rsidRDefault="00020391" w:rsidP="003A563C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объём пропущенного газа, л.</w:t>
            </w:r>
          </w:p>
        </w:tc>
      </w:tr>
    </w:tbl>
    <w:p w:rsidR="001F212D" w:rsidRDefault="00B443CD" w:rsidP="001F212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B443C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Содержание азота моноксида в </w:t>
      </w:r>
      <w:r w:rsidR="0026669F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мг/м</w:t>
      </w:r>
      <w:r w:rsidR="0026669F" w:rsidRPr="0026669F">
        <w:rPr>
          <w:rFonts w:ascii="Times New Roman" w:eastAsia="Arial" w:hAnsi="Times New Roman" w:cs="Times New Roman"/>
          <w:bCs/>
          <w:color w:val="000000"/>
          <w:sz w:val="28"/>
          <w:szCs w:val="28"/>
          <w:vertAlign w:val="superscript"/>
          <w:lang w:eastAsia="ru-RU" w:bidi="ru-RU"/>
        </w:rPr>
        <w:t>3</w:t>
      </w:r>
      <w:r w:rsidR="0026669F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(С) </w:t>
      </w:r>
      <w:r w:rsidR="00D21D5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в пересчё</w:t>
      </w:r>
      <w:r w:rsidRPr="00B443C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те на азота диоксид </w:t>
      </w:r>
      <w:r w:rsidRPr="00B443CD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bidi="en-US"/>
        </w:rPr>
        <w:t>N</w:t>
      </w:r>
      <w:r w:rsidRPr="00B443CD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>О</w:t>
      </w:r>
      <w:r w:rsidRPr="00B443CD">
        <w:rPr>
          <w:rFonts w:ascii="Times New Roman" w:eastAsia="Arial" w:hAnsi="Times New Roman" w:cs="Times New Roman"/>
          <w:bCs/>
          <w:color w:val="000000"/>
          <w:sz w:val="28"/>
          <w:szCs w:val="28"/>
          <w:vertAlign w:val="subscript"/>
          <w:lang w:bidi="en-US"/>
        </w:rPr>
        <w:t>2</w:t>
      </w:r>
      <w:r w:rsidRPr="00B443CD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B443C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в газе вычисляют по формуле:</w:t>
      </w:r>
    </w:p>
    <w:p w:rsidR="001F212D" w:rsidRDefault="00B443CD" w:rsidP="001F212D">
      <w:pPr>
        <w:shd w:val="clear" w:color="auto" w:fill="FFFFFF" w:themeFill="background1"/>
        <w:spacing w:after="0" w:line="360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m:oMathPara>
        <m:oMathParaPr>
          <m:jc m:val="center"/>
        </m:oMathParaPr>
        <m:oMath>
          <m:r>
            <w:rPr>
              <w:rFonts w:ascii="Cambria Math" w:eastAsia="Arial" w:hAnsi="Cambria Math" w:cs="Times New Roman"/>
              <w:color w:val="000000"/>
              <w:sz w:val="28"/>
              <w:szCs w:val="28"/>
              <w:lang w:eastAsia="ru-RU" w:bidi="ru-RU"/>
            </w:rPr>
            <m:t>С=</m:t>
          </m:r>
          <m:f>
            <m:fPr>
              <m:ctrlPr>
                <w:rPr>
                  <w:rFonts w:ascii="Cambria Math" w:eastAsia="Arial" w:hAnsi="Cambria Math" w:cs="Times New Roman"/>
                  <w:bCs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Arial" w:hAnsi="Cambria Math" w:cs="Times New Roman"/>
                  <w:color w:val="000000"/>
                  <w:sz w:val="28"/>
                  <w:szCs w:val="28"/>
                  <w:lang w:eastAsia="ru-RU" w:bidi="ru-RU"/>
                </w:rPr>
                <m:t>(</m:t>
              </m:r>
              <m:sSub>
                <m:sSubPr>
                  <m:ctrlPr>
                    <w:rPr>
                      <w:rFonts w:ascii="Cambria Math" w:eastAsia="Arial" w:hAnsi="Cambria Math" w:cs="Times New Roman"/>
                      <w:bCs/>
                      <w:i/>
                      <w:color w:val="000000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eastAsia="Arial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Arial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Arial" w:hAnsi="Cambria Math" w:cs="Times New Roman"/>
                  <w:color w:val="000000"/>
                  <w:sz w:val="28"/>
                  <w:szCs w:val="28"/>
                  <w:lang w:eastAsia="ru-RU" w:bidi="ru-RU"/>
                </w:rPr>
                <m:t>-</m:t>
              </m:r>
              <m:sSub>
                <m:sSubPr>
                  <m:ctrlPr>
                    <w:rPr>
                      <w:rFonts w:ascii="Cambria Math" w:eastAsia="Arial" w:hAnsi="Cambria Math" w:cs="Times New Roman"/>
                      <w:bCs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Arial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Arial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2</m:t>
                  </m:r>
                </m:sub>
              </m:sSub>
              <m:r>
                <w:rPr>
                  <w:rFonts w:ascii="Cambria Math" w:eastAsia="Arial" w:hAnsi="Cambria Math" w:cs="Times New Roman"/>
                  <w:color w:val="000000"/>
                  <w:sz w:val="28"/>
                  <w:szCs w:val="28"/>
                  <w:lang w:eastAsia="ru-RU" w:bidi="ru-RU"/>
                </w:rPr>
                <m:t>)∙1000∙2∙46,01</m:t>
              </m:r>
            </m:num>
            <m:den>
              <m:sSub>
                <m:sSubPr>
                  <m:ctrlPr>
                    <w:rPr>
                      <w:rFonts w:ascii="Cambria Math" w:eastAsia="Arial" w:hAnsi="Cambria Math" w:cs="Times New Roman"/>
                      <w:bCs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Arial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Arial" w:hAnsi="Cambria Math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Arial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∙30,01</m:t>
              </m:r>
            </m:den>
          </m:f>
          <m:r>
            <w:rPr>
              <w:rFonts w:ascii="Cambria Math" w:eastAsia="Arial" w:hAnsi="Cambria Math" w:cs="Times New Roman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37"/>
        <w:gridCol w:w="1031"/>
        <w:gridCol w:w="283"/>
        <w:gridCol w:w="7796"/>
      </w:tblGrid>
      <w:tr w:rsidR="00B443CD" w:rsidRPr="00B443CD" w:rsidTr="0026669F">
        <w:tc>
          <w:tcPr>
            <w:tcW w:w="637" w:type="dxa"/>
          </w:tcPr>
          <w:p w:rsidR="001F212D" w:rsidRDefault="00B443CD" w:rsidP="001F212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1031" w:type="dxa"/>
          </w:tcPr>
          <w:p w:rsidR="00B443CD" w:rsidRPr="008025AF" w:rsidRDefault="001F212D" w:rsidP="008025AF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8025AF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8025AF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  <w:r w:rsidRPr="008025AF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 и </w:t>
            </w:r>
            <w:r w:rsidRPr="008025AF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8025AF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2</w:t>
            </w:r>
          </w:p>
        </w:tc>
        <w:tc>
          <w:tcPr>
            <w:tcW w:w="283" w:type="dxa"/>
          </w:tcPr>
          <w:p w:rsidR="001F212D" w:rsidRDefault="00B443CD" w:rsidP="001F212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6" w:type="dxa"/>
          </w:tcPr>
          <w:p w:rsidR="00B443CD" w:rsidRPr="00B443CD" w:rsidRDefault="00B443CD" w:rsidP="00B443C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масса азота монооксида </w:t>
            </w:r>
            <w:r w:rsidRPr="00B443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bidi="en-US"/>
              </w:rPr>
              <w:t>NO</w:t>
            </w:r>
            <w:r w:rsidRPr="00B443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en-US"/>
              </w:rPr>
              <w:t xml:space="preserve">, </w:t>
            </w:r>
            <w:r w:rsidRPr="00B443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соответствующая измеренной оптической плотности в первом и во втором абсорберах, мг;</w:t>
            </w:r>
          </w:p>
        </w:tc>
      </w:tr>
      <w:tr w:rsidR="00B443CD" w:rsidRPr="00B443CD" w:rsidTr="0026669F">
        <w:tc>
          <w:tcPr>
            <w:tcW w:w="637" w:type="dxa"/>
          </w:tcPr>
          <w:p w:rsidR="001F212D" w:rsidRDefault="001F212D" w:rsidP="001F212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31" w:type="dxa"/>
          </w:tcPr>
          <w:p w:rsidR="00B443CD" w:rsidRPr="008025AF" w:rsidRDefault="001F212D" w:rsidP="008025AF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  <w:t>1000</w:t>
            </w:r>
          </w:p>
        </w:tc>
        <w:tc>
          <w:tcPr>
            <w:tcW w:w="283" w:type="dxa"/>
          </w:tcPr>
          <w:p w:rsidR="001F212D" w:rsidRDefault="00B443CD" w:rsidP="001F212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6" w:type="dxa"/>
          </w:tcPr>
          <w:p w:rsidR="00B443CD" w:rsidRPr="00B443CD" w:rsidRDefault="00B443CD" w:rsidP="00B443CD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коэффициент для пересч</w:t>
            </w:r>
            <w:r w:rsidR="00F374E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ё</w:t>
            </w:r>
            <w:r w:rsidRPr="00B443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та объёма газа;</w:t>
            </w:r>
          </w:p>
        </w:tc>
      </w:tr>
      <w:tr w:rsidR="00B443CD" w:rsidRPr="00B443CD" w:rsidTr="0026669F">
        <w:tc>
          <w:tcPr>
            <w:tcW w:w="637" w:type="dxa"/>
          </w:tcPr>
          <w:p w:rsidR="001F212D" w:rsidRDefault="001F212D" w:rsidP="001F212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31" w:type="dxa"/>
          </w:tcPr>
          <w:p w:rsidR="00B443CD" w:rsidRPr="008025AF" w:rsidRDefault="001F212D" w:rsidP="008025AF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283" w:type="dxa"/>
          </w:tcPr>
          <w:p w:rsidR="001F212D" w:rsidRDefault="00B443CD" w:rsidP="001F212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7796" w:type="dxa"/>
          </w:tcPr>
          <w:p w:rsidR="00B443CD" w:rsidRPr="00B443CD" w:rsidRDefault="00B443CD" w:rsidP="00B443CD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стехиометрический коэффициент при образовании нитрит-иона из диоксида азота;</w:t>
            </w:r>
          </w:p>
        </w:tc>
      </w:tr>
      <w:tr w:rsidR="00B443CD" w:rsidRPr="00B443CD" w:rsidTr="0026669F">
        <w:tc>
          <w:tcPr>
            <w:tcW w:w="637" w:type="dxa"/>
          </w:tcPr>
          <w:p w:rsidR="001F212D" w:rsidRDefault="001F212D" w:rsidP="001F212D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31" w:type="dxa"/>
          </w:tcPr>
          <w:p w:rsidR="00B443CD" w:rsidRPr="008025AF" w:rsidRDefault="001F212D" w:rsidP="008025AF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eastAsia="ru-RU" w:bidi="ru-RU"/>
              </w:rPr>
              <w:t>46,01</w:t>
            </w:r>
          </w:p>
        </w:tc>
        <w:tc>
          <w:tcPr>
            <w:tcW w:w="283" w:type="dxa"/>
          </w:tcPr>
          <w:p w:rsidR="001F212D" w:rsidRDefault="00B443CD" w:rsidP="001F212D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6" w:type="dxa"/>
          </w:tcPr>
          <w:p w:rsidR="00B443CD" w:rsidRPr="00B443CD" w:rsidRDefault="00B443CD" w:rsidP="00B443C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азота диоксида, </w:t>
            </w:r>
            <w:r w:rsidRPr="00B443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г/моль;</w:t>
            </w:r>
          </w:p>
        </w:tc>
      </w:tr>
      <w:tr w:rsidR="00B443CD" w:rsidRPr="00B443CD" w:rsidTr="0026669F">
        <w:tc>
          <w:tcPr>
            <w:tcW w:w="637" w:type="dxa"/>
          </w:tcPr>
          <w:p w:rsidR="001F212D" w:rsidRDefault="001F212D" w:rsidP="001F212D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31" w:type="dxa"/>
          </w:tcPr>
          <w:p w:rsidR="00B443CD" w:rsidRPr="008025AF" w:rsidRDefault="001F212D" w:rsidP="008025AF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eastAsia="ru-RU" w:bidi="ru-RU"/>
              </w:rPr>
            </w:pPr>
            <w:r w:rsidRPr="008025AF"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eastAsia="ru-RU" w:bidi="ru-RU"/>
              </w:rPr>
              <w:t>30,01</w:t>
            </w:r>
          </w:p>
        </w:tc>
        <w:tc>
          <w:tcPr>
            <w:tcW w:w="283" w:type="dxa"/>
          </w:tcPr>
          <w:p w:rsidR="001F212D" w:rsidRDefault="00B443CD" w:rsidP="001F212D">
            <w:pPr>
              <w:widowControl w:val="0"/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6" w:type="dxa"/>
          </w:tcPr>
          <w:p w:rsidR="00B443CD" w:rsidRPr="00B443CD" w:rsidRDefault="00B443CD" w:rsidP="00B443CD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азота монооксида, </w:t>
            </w:r>
            <w:r w:rsidR="000203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г/моль.</w:t>
            </w:r>
          </w:p>
        </w:tc>
      </w:tr>
    </w:tbl>
    <w:p w:rsidR="001F212D" w:rsidRDefault="00976A5A" w:rsidP="001F212D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t xml:space="preserve">Метод </w:t>
      </w:r>
      <w:r w:rsidR="00F07B7C" w:rsidRPr="00F07B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5</w:t>
      </w:r>
    </w:p>
    <w:p w:rsidR="00F07B7C" w:rsidRPr="00F07B7C" w:rsidRDefault="00E7199E" w:rsidP="000D22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проводят в соответствии с ОФС «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овая хроматография»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B7C" w:rsidRPr="00F07B7C" w:rsidRDefault="00F07B7C" w:rsidP="000D2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газовой фазы осуществляется с помощью оборудования для статического или динамического парофазного анализа, что</w:t>
      </w:r>
      <w:r w:rsidRPr="00F0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повысить чувствительность определения летучих соединений.</w:t>
      </w:r>
    </w:p>
    <w:p w:rsidR="00F07B7C" w:rsidRPr="00F07B7C" w:rsidRDefault="00B410E7" w:rsidP="000D2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статическом парофазном анализе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термостатируемую камеру помещается герметичн</w:t>
      </w:r>
      <w:r w:rsidR="008B5A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закрытый сосуд, содержащий твё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рдый или жидкий образец пробы, </w:t>
      </w:r>
      <w:r w:rsidR="003F68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нагревается в течение определё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периода времени для достижения равнове</w:t>
      </w:r>
      <w:r w:rsidR="00044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между двумя фазами.</w:t>
      </w:r>
      <w:r w:rsidR="005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равновесия </w:t>
      </w:r>
      <w:r w:rsidR="008B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3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сосуда отбирается определённый</w:t>
      </w:r>
      <w:r w:rsidR="008B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газовой фазы и </w:t>
      </w:r>
      <w:r w:rsidR="005D0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в</w:t>
      </w:r>
      <w:r w:rsidR="00F07B7C"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испаритель хроматографа.</w:t>
      </w:r>
    </w:p>
    <w:p w:rsidR="00F07B7C" w:rsidRPr="00F07B7C" w:rsidRDefault="00F07B7C" w:rsidP="000D22CC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динамическом парофазном анализе через </w:t>
      </w:r>
      <w:r w:rsidR="002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пробы в течение определё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времени пропускается инертный газ. Летучие компоне</w:t>
      </w:r>
      <w:r w:rsidR="002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выдуваются из образца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 и концентрируются на сорбенте, находящемся в ловушке. После этого ловушка быстро нагревается, и летучие к</w:t>
      </w:r>
      <w:r w:rsidR="00BF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омпоненты переносятся потоком инертного газа в </w:t>
      </w:r>
      <w:r w:rsidRPr="00F07B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хроматографическую колонку.</w:t>
      </w:r>
    </w:p>
    <w:p w:rsidR="001F212D" w:rsidRDefault="00090DBF" w:rsidP="001F21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Анализ в газовой хроматографии проводится в соответствии с установленными параметрами хроматографической системы. В описании метода необходимо указать: тип детектора, тип колонки (насадочная или капиллярная), материал и геометрические пар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аметры колонки, сорбент (тип твё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рдого носителя и его характеристи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ки, неподвижная жидкая фаза и её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количество), метод введения пробы и его параметры, температура испарителя, колонки и детектора, газ-носитель и его расход.</w:t>
      </w:r>
    </w:p>
    <w:p w:rsidR="001F212D" w:rsidRDefault="00090DBF" w:rsidP="001F21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Оценка хроматографического разделения проводится на основании теста пригодности хроматографической системы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, приведё</w:t>
      </w:r>
      <w:r w:rsidRPr="0019784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нного в фармакопейной статье.</w:t>
      </w:r>
    </w:p>
    <w:p w:rsidR="001F212D" w:rsidRDefault="00976A5A" w:rsidP="00E7199E">
      <w:pPr>
        <w:keepNext/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87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1F212D" w:rsidRDefault="00870534" w:rsidP="001F212D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Метод основан на протекании электрохимической реакции в э</w:t>
      </w:r>
      <w:r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 xml:space="preserve">лектрохимической ячейке (рис. </w:t>
      </w:r>
      <w:r w:rsidR="009035D6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6</w:t>
      </w: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 xml:space="preserve">). Анализируемый газ вступает в </w:t>
      </w: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lastRenderedPageBreak/>
        <w:t>химическую реакцию с электролитом, заполняющим ячейку. В результате в растворе возникают заряженные ионы, между электродами начинает протекать электрический ток, пропорциональный концентрации анализируемого компонента в пробе.</w:t>
      </w:r>
    </w:p>
    <w:p w:rsidR="001F212D" w:rsidRDefault="00870534" w:rsidP="001F212D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Электрический датчик обрабатывает возникающий электрический сигнал.</w:t>
      </w:r>
    </w:p>
    <w:p w:rsidR="001F212D" w:rsidRDefault="00870534" w:rsidP="001F212D">
      <w:pPr>
        <w:spacing w:after="0" w:line="36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  <w:r w:rsidRPr="00197843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9646" cy="1723594"/>
            <wp:effectExtent l="19050" t="0" r="4354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06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2D" w:rsidRDefault="00870534" w:rsidP="003A563C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 xml:space="preserve">Рисунок </w:t>
      </w:r>
      <w:r w:rsidR="009035D6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>6</w:t>
      </w:r>
      <w:r w:rsidRPr="00197843"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  <w:t xml:space="preserve"> – Схема электрохимической ячейки</w:t>
      </w:r>
    </w:p>
    <w:p w:rsidR="003A563C" w:rsidRDefault="003A563C" w:rsidP="003A563C">
      <w:pPr>
        <w:spacing w:after="0" w:line="240" w:lineRule="auto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 w:bidi="ru-RU"/>
        </w:rPr>
      </w:pPr>
    </w:p>
    <w:p w:rsidR="00870534" w:rsidRPr="00197843" w:rsidRDefault="00870534" w:rsidP="00551C9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Определение проводят с помощью газоанализатора, принцип действия которого основан на методе потенциостатической амперометрии, заключающемся в измерении тока при электрохимическом окислении </w:t>
      </w:r>
      <w:r w:rsidR="00551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51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оксида на рабочем электроде трё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хэлектродной электрохимической ячейки при постоянном потенциале. Электрод сравнения (опорный) в реакции не участвует и используется для установления необходимого потенциала рабочего электрода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70534" w:rsidRPr="00197843" w:rsidRDefault="00870534" w:rsidP="0087053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Потенциал рабочего электрода относительно электрода сравнения поддерживается с помощью потенциостата, расположенного в измерительном блоке газоанализатора. Потенциостат вместе с электрохимической ячейкой образуют систему автоматического регулирования, которая при окислении </w:t>
      </w:r>
      <w:r w:rsidR="006865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азота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865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оксида на рабочем электроде генерирует ток, поддерживающий потенциал рабочего электрода на постоянном уровне (ток поляризации). Ток поляризации протекает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цепи вспомогательный электрод–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рабочий электрод. Сила тока пропорциональна концентрации </w:t>
      </w:r>
      <w:r w:rsidR="00963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азота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3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оксида в анализируемом газе.</w:t>
      </w:r>
    </w:p>
    <w:p w:rsidR="00870534" w:rsidRPr="00197843" w:rsidRDefault="00870534" w:rsidP="0087053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Поток испытуемого газа пропускают через газоанализатор с 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электрохимической ячейкой на </w:t>
      </w:r>
      <w:r w:rsidR="00963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азота диоксид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постоянной скоростью до установления показаний. Регистрируют концентрацию </w:t>
      </w:r>
      <w:r w:rsidR="00963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азота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3B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</w:t>
      </w:r>
      <w:r w:rsidRPr="00197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оксида в анализируемом газе.</w:t>
      </w:r>
    </w:p>
    <w:p w:rsidR="00CC38EF" w:rsidRDefault="0087053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Диапазон измерения газоанализатора с электрохимической ячейкой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составляет 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от 0 до 50</w:t>
      </w:r>
      <w:r w:rsidR="00B958C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 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ppm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с по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грешностью измерений не более ±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5 %. Для калибровки нуля прибора используют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азот повышенной чистоты (с объё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мной до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лей азота не менее 99,999 и объё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мной долей кислорода не более 0,0005). Для линеаризации и калибровки шкалы используют поверочные газовые смеси (эталонные газы) с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определённым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содержанием </w:t>
      </w:r>
      <w:r w:rsidR="00366BC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азота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366BC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ди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оксида. Прибор в автоматическом режиме определяет долю содержания </w:t>
      </w:r>
      <w:r w:rsidR="00366BC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азота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366BC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ди</w:t>
      </w:r>
      <w:r w:rsidRPr="0019784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оксида. Межкалибровочный интервал соблюдают согласно документации производителя прибора.</w:t>
      </w:r>
    </w:p>
    <w:sectPr w:rsidR="00CC38EF" w:rsidSect="00303860">
      <w:footerReference w:type="defaul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3C" w:rsidRDefault="003A563C" w:rsidP="006C0D36">
      <w:pPr>
        <w:spacing w:after="0" w:line="240" w:lineRule="auto"/>
      </w:pPr>
      <w:r>
        <w:separator/>
      </w:r>
    </w:p>
  </w:endnote>
  <w:endnote w:type="continuationSeparator" w:id="0">
    <w:p w:rsidR="003A563C" w:rsidRDefault="003A563C" w:rsidP="006C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4957"/>
      <w:docPartObj>
        <w:docPartGallery w:val="Page Numbers (Bottom of Page)"/>
        <w:docPartUnique/>
      </w:docPartObj>
    </w:sdtPr>
    <w:sdtEndPr/>
    <w:sdtContent>
      <w:p w:rsidR="003A563C" w:rsidRDefault="003A563C">
        <w:pPr>
          <w:pStyle w:val="a5"/>
          <w:jc w:val="center"/>
        </w:pPr>
        <w:r w:rsidRPr="00F07B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7B7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7B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23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7B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3C" w:rsidRDefault="003A563C" w:rsidP="006C0D36">
      <w:pPr>
        <w:spacing w:after="0" w:line="240" w:lineRule="auto"/>
      </w:pPr>
      <w:r>
        <w:separator/>
      </w:r>
    </w:p>
  </w:footnote>
  <w:footnote w:type="continuationSeparator" w:id="0">
    <w:p w:rsidR="003A563C" w:rsidRDefault="003A563C" w:rsidP="006C0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17076"/>
    <w:multiLevelType w:val="hybridMultilevel"/>
    <w:tmpl w:val="0DF28190"/>
    <w:lvl w:ilvl="0" w:tplc="A9B2AB4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0A97141"/>
    <w:multiLevelType w:val="hybridMultilevel"/>
    <w:tmpl w:val="2C3C87B6"/>
    <w:lvl w:ilvl="0" w:tplc="9A0066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D36"/>
    <w:rsid w:val="00005A3C"/>
    <w:rsid w:val="00013D0A"/>
    <w:rsid w:val="00020391"/>
    <w:rsid w:val="00024B00"/>
    <w:rsid w:val="00031260"/>
    <w:rsid w:val="00035213"/>
    <w:rsid w:val="000437F1"/>
    <w:rsid w:val="00044A7D"/>
    <w:rsid w:val="00051951"/>
    <w:rsid w:val="00056CFA"/>
    <w:rsid w:val="00065DBA"/>
    <w:rsid w:val="00090DBF"/>
    <w:rsid w:val="000D22CC"/>
    <w:rsid w:val="000D4E9E"/>
    <w:rsid w:val="0011293B"/>
    <w:rsid w:val="0013289E"/>
    <w:rsid w:val="00136BCC"/>
    <w:rsid w:val="00161884"/>
    <w:rsid w:val="0019141C"/>
    <w:rsid w:val="00194175"/>
    <w:rsid w:val="001F212D"/>
    <w:rsid w:val="0021298D"/>
    <w:rsid w:val="00212F7F"/>
    <w:rsid w:val="0022125C"/>
    <w:rsid w:val="0022256B"/>
    <w:rsid w:val="00234571"/>
    <w:rsid w:val="00235C3B"/>
    <w:rsid w:val="00236F14"/>
    <w:rsid w:val="0026669F"/>
    <w:rsid w:val="00266B68"/>
    <w:rsid w:val="00281455"/>
    <w:rsid w:val="0029398C"/>
    <w:rsid w:val="002A1A35"/>
    <w:rsid w:val="002F0E98"/>
    <w:rsid w:val="00303860"/>
    <w:rsid w:val="00307E33"/>
    <w:rsid w:val="00322A11"/>
    <w:rsid w:val="00331942"/>
    <w:rsid w:val="00357324"/>
    <w:rsid w:val="00366BC4"/>
    <w:rsid w:val="00382170"/>
    <w:rsid w:val="003A563C"/>
    <w:rsid w:val="003B1809"/>
    <w:rsid w:val="003E0C9F"/>
    <w:rsid w:val="003F6853"/>
    <w:rsid w:val="004045F9"/>
    <w:rsid w:val="0041057A"/>
    <w:rsid w:val="00415A1B"/>
    <w:rsid w:val="00432916"/>
    <w:rsid w:val="0046293B"/>
    <w:rsid w:val="00471351"/>
    <w:rsid w:val="004853B6"/>
    <w:rsid w:val="004D0005"/>
    <w:rsid w:val="004D0672"/>
    <w:rsid w:val="004E3B02"/>
    <w:rsid w:val="00500866"/>
    <w:rsid w:val="00533169"/>
    <w:rsid w:val="0053693F"/>
    <w:rsid w:val="00551C99"/>
    <w:rsid w:val="00567AEB"/>
    <w:rsid w:val="00577CF5"/>
    <w:rsid w:val="00597A44"/>
    <w:rsid w:val="005D0F1E"/>
    <w:rsid w:val="005D1DED"/>
    <w:rsid w:val="005D387C"/>
    <w:rsid w:val="005D3B8D"/>
    <w:rsid w:val="005F16B9"/>
    <w:rsid w:val="005F41BF"/>
    <w:rsid w:val="005F70A2"/>
    <w:rsid w:val="006502AE"/>
    <w:rsid w:val="00653B6E"/>
    <w:rsid w:val="006849A9"/>
    <w:rsid w:val="0068651A"/>
    <w:rsid w:val="006A3B17"/>
    <w:rsid w:val="006A3F63"/>
    <w:rsid w:val="006B4877"/>
    <w:rsid w:val="006C0D36"/>
    <w:rsid w:val="006D699D"/>
    <w:rsid w:val="006E2E16"/>
    <w:rsid w:val="007244A6"/>
    <w:rsid w:val="00736608"/>
    <w:rsid w:val="0077576A"/>
    <w:rsid w:val="00790CA4"/>
    <w:rsid w:val="007A7CC5"/>
    <w:rsid w:val="007C2A27"/>
    <w:rsid w:val="007D6F68"/>
    <w:rsid w:val="008025AF"/>
    <w:rsid w:val="00803FE7"/>
    <w:rsid w:val="00844A52"/>
    <w:rsid w:val="00855667"/>
    <w:rsid w:val="00870534"/>
    <w:rsid w:val="008875B4"/>
    <w:rsid w:val="008A63CF"/>
    <w:rsid w:val="008B0FA3"/>
    <w:rsid w:val="008B5A34"/>
    <w:rsid w:val="009035D6"/>
    <w:rsid w:val="00916023"/>
    <w:rsid w:val="0093355A"/>
    <w:rsid w:val="0093492E"/>
    <w:rsid w:val="00945F4D"/>
    <w:rsid w:val="00963B6C"/>
    <w:rsid w:val="00976A5A"/>
    <w:rsid w:val="0099184A"/>
    <w:rsid w:val="00992C8C"/>
    <w:rsid w:val="009A3FCA"/>
    <w:rsid w:val="009A446A"/>
    <w:rsid w:val="009B5550"/>
    <w:rsid w:val="009B57F9"/>
    <w:rsid w:val="009B7365"/>
    <w:rsid w:val="00A00479"/>
    <w:rsid w:val="00A03A3D"/>
    <w:rsid w:val="00A2138B"/>
    <w:rsid w:val="00A23BF7"/>
    <w:rsid w:val="00A3210C"/>
    <w:rsid w:val="00A42E44"/>
    <w:rsid w:val="00A772F2"/>
    <w:rsid w:val="00AB3EA1"/>
    <w:rsid w:val="00AC30A3"/>
    <w:rsid w:val="00AC3B6B"/>
    <w:rsid w:val="00AD4D3A"/>
    <w:rsid w:val="00AD7921"/>
    <w:rsid w:val="00AE1FD5"/>
    <w:rsid w:val="00AE3E61"/>
    <w:rsid w:val="00AE43DD"/>
    <w:rsid w:val="00B06ADF"/>
    <w:rsid w:val="00B2153C"/>
    <w:rsid w:val="00B25559"/>
    <w:rsid w:val="00B410E7"/>
    <w:rsid w:val="00B443CD"/>
    <w:rsid w:val="00B61AC5"/>
    <w:rsid w:val="00B625D5"/>
    <w:rsid w:val="00B71ED2"/>
    <w:rsid w:val="00B762CD"/>
    <w:rsid w:val="00B958C5"/>
    <w:rsid w:val="00BB3DB1"/>
    <w:rsid w:val="00BC4B85"/>
    <w:rsid w:val="00BC61CC"/>
    <w:rsid w:val="00BD3E40"/>
    <w:rsid w:val="00BD6DDB"/>
    <w:rsid w:val="00BF2EE4"/>
    <w:rsid w:val="00C03750"/>
    <w:rsid w:val="00C07FE8"/>
    <w:rsid w:val="00C20357"/>
    <w:rsid w:val="00C505E2"/>
    <w:rsid w:val="00C5109F"/>
    <w:rsid w:val="00C73D3D"/>
    <w:rsid w:val="00C92334"/>
    <w:rsid w:val="00CA396D"/>
    <w:rsid w:val="00CC38EF"/>
    <w:rsid w:val="00D15E21"/>
    <w:rsid w:val="00D21D5D"/>
    <w:rsid w:val="00D23B65"/>
    <w:rsid w:val="00D308F2"/>
    <w:rsid w:val="00D56A80"/>
    <w:rsid w:val="00D64F16"/>
    <w:rsid w:val="00D776D8"/>
    <w:rsid w:val="00DA6522"/>
    <w:rsid w:val="00E46997"/>
    <w:rsid w:val="00E640B8"/>
    <w:rsid w:val="00E7199E"/>
    <w:rsid w:val="00E74BB8"/>
    <w:rsid w:val="00E932BF"/>
    <w:rsid w:val="00ED72EB"/>
    <w:rsid w:val="00EE0AD5"/>
    <w:rsid w:val="00F07B7C"/>
    <w:rsid w:val="00F11B89"/>
    <w:rsid w:val="00F374EC"/>
    <w:rsid w:val="00F44A68"/>
    <w:rsid w:val="00F543B4"/>
    <w:rsid w:val="00F633E5"/>
    <w:rsid w:val="00FA4706"/>
    <w:rsid w:val="00FA4ACE"/>
    <w:rsid w:val="00FB05EC"/>
    <w:rsid w:val="00FB0E47"/>
    <w:rsid w:val="00FC4B18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69AF1F-7B43-4B38-ADAF-1329EE1C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D36"/>
  </w:style>
  <w:style w:type="paragraph" w:styleId="a5">
    <w:name w:val="footer"/>
    <w:basedOn w:val="a"/>
    <w:link w:val="a6"/>
    <w:uiPriority w:val="99"/>
    <w:unhideWhenUsed/>
    <w:rsid w:val="006C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D36"/>
  </w:style>
  <w:style w:type="paragraph" w:styleId="a7">
    <w:name w:val="Balloon Text"/>
    <w:basedOn w:val="a"/>
    <w:link w:val="a8"/>
    <w:uiPriority w:val="99"/>
    <w:semiHidden/>
    <w:unhideWhenUsed/>
    <w:rsid w:val="00F0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B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22CC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803FE7"/>
    <w:rPr>
      <w:rFonts w:ascii="Arial" w:eastAsia="Arial" w:hAnsi="Arial" w:cs="Arial"/>
      <w:b/>
      <w:bCs/>
    </w:rPr>
  </w:style>
  <w:style w:type="paragraph" w:customStyle="1" w:styleId="2">
    <w:name w:val="Основной текст2"/>
    <w:basedOn w:val="a"/>
    <w:link w:val="aa"/>
    <w:rsid w:val="00803FE7"/>
    <w:pPr>
      <w:widowControl w:val="0"/>
      <w:spacing w:before="240" w:after="240" w:line="0" w:lineRule="atLeast"/>
      <w:ind w:hanging="1420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AFEB-4287-49B2-A830-F1CA6483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10</cp:revision>
  <cp:lastPrinted>2023-05-16T12:57:00Z</cp:lastPrinted>
  <dcterms:created xsi:type="dcterms:W3CDTF">2023-05-17T14:59:00Z</dcterms:created>
  <dcterms:modified xsi:type="dcterms:W3CDTF">2023-07-13T10:59:00Z</dcterms:modified>
</cp:coreProperties>
</file>