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21" w:rsidRPr="00C64DC5" w:rsidRDefault="00932221" w:rsidP="0093222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932221" w:rsidRPr="00CA4D78" w:rsidRDefault="00932221" w:rsidP="009322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32221" w:rsidRPr="00CA4D78" w:rsidRDefault="00932221" w:rsidP="009322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32221" w:rsidRPr="00CA4D78" w:rsidRDefault="00932221" w:rsidP="009322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32221" w:rsidRPr="00C64DC5" w:rsidRDefault="00932221" w:rsidP="009322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64DC5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32221" w:rsidRPr="00C64DC5" w:rsidTr="00994BA1">
        <w:tc>
          <w:tcPr>
            <w:tcW w:w="9356" w:type="dxa"/>
          </w:tcPr>
          <w:p w:rsidR="00932221" w:rsidRPr="00311719" w:rsidRDefault="00932221" w:rsidP="00994B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2221" w:rsidRPr="00C64DC5" w:rsidRDefault="00932221" w:rsidP="00932221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932221" w:rsidRPr="00C64DC5" w:rsidTr="00212928">
        <w:tc>
          <w:tcPr>
            <w:tcW w:w="5494" w:type="dxa"/>
          </w:tcPr>
          <w:p w:rsidR="00932221" w:rsidRPr="00311719" w:rsidRDefault="00B81C40" w:rsidP="0021292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Автоматический элементный анализ</w:t>
            </w:r>
          </w:p>
        </w:tc>
        <w:tc>
          <w:tcPr>
            <w:tcW w:w="283" w:type="dxa"/>
          </w:tcPr>
          <w:p w:rsidR="00932221" w:rsidRPr="00311719" w:rsidRDefault="00932221" w:rsidP="0021292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932221" w:rsidRPr="00311719" w:rsidRDefault="00932221" w:rsidP="0021292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17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70651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.1.2.1.0024</w:t>
            </w:r>
          </w:p>
        </w:tc>
      </w:tr>
      <w:tr w:rsidR="00932221" w:rsidRPr="00C64DC5" w:rsidTr="00212928">
        <w:tc>
          <w:tcPr>
            <w:tcW w:w="5494" w:type="dxa"/>
          </w:tcPr>
          <w:p w:rsidR="00932221" w:rsidRPr="00311719" w:rsidRDefault="00932221" w:rsidP="00212928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932221" w:rsidRPr="00311719" w:rsidRDefault="00932221" w:rsidP="0021292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932221" w:rsidRPr="00311719" w:rsidRDefault="00932221" w:rsidP="0021292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E34"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ОФС.1.2.1.00</w:t>
            </w:r>
            <w:r w:rsidR="00B81C40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Pr="004C0E34">
              <w:rPr>
                <w:rFonts w:ascii="Times New Roman" w:hAnsi="Times New Roman"/>
                <w:b/>
                <w:bCs/>
                <w:sz w:val="28"/>
                <w:szCs w:val="28"/>
              </w:rPr>
              <w:t>.15</w:t>
            </w:r>
          </w:p>
        </w:tc>
      </w:tr>
    </w:tbl>
    <w:p w:rsidR="00932221" w:rsidRPr="002E0BC1" w:rsidRDefault="00932221" w:rsidP="00932221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32221" w:rsidRPr="00C64DC5" w:rsidTr="00994BA1">
        <w:tc>
          <w:tcPr>
            <w:tcW w:w="9356" w:type="dxa"/>
          </w:tcPr>
          <w:p w:rsidR="00932221" w:rsidRPr="00311719" w:rsidRDefault="00932221" w:rsidP="00994BA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CA4D78" w:rsidRDefault="00CA4D78" w:rsidP="00EF4D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F4DD1" w:rsidRDefault="00026A3B" w:rsidP="00EF4D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94BA1">
        <w:rPr>
          <w:sz w:val="28"/>
          <w:szCs w:val="28"/>
        </w:rPr>
        <w:t>втоматическ</w:t>
      </w:r>
      <w:r>
        <w:rPr>
          <w:sz w:val="28"/>
          <w:szCs w:val="28"/>
        </w:rPr>
        <w:t>ий</w:t>
      </w:r>
      <w:r w:rsidR="00994BA1">
        <w:rPr>
          <w:sz w:val="28"/>
          <w:szCs w:val="28"/>
        </w:rPr>
        <w:t xml:space="preserve"> элементн</w:t>
      </w:r>
      <w:r>
        <w:rPr>
          <w:sz w:val="28"/>
          <w:szCs w:val="28"/>
        </w:rPr>
        <w:t>ый анализ</w:t>
      </w:r>
      <w:r w:rsidR="00994BA1">
        <w:rPr>
          <w:sz w:val="28"/>
          <w:szCs w:val="28"/>
        </w:rPr>
        <w:t xml:space="preserve"> </w:t>
      </w:r>
      <w:r w:rsidR="00994BA1" w:rsidRPr="00F10993">
        <w:rPr>
          <w:sz w:val="28"/>
          <w:szCs w:val="28"/>
        </w:rPr>
        <w:t>основан</w:t>
      </w:r>
      <w:bookmarkStart w:id="0" w:name="_GoBack"/>
      <w:bookmarkEnd w:id="0"/>
      <w:r w:rsidR="00994BA1" w:rsidRPr="00F10993">
        <w:rPr>
          <w:sz w:val="28"/>
          <w:szCs w:val="28"/>
        </w:rPr>
        <w:t xml:space="preserve"> на высокотемпературном</w:t>
      </w:r>
      <w:r w:rsidR="00994BA1">
        <w:rPr>
          <w:sz w:val="28"/>
          <w:szCs w:val="28"/>
        </w:rPr>
        <w:t xml:space="preserve"> (от 1100</w:t>
      </w:r>
      <w:r w:rsidR="00B81C40">
        <w:rPr>
          <w:sz w:val="28"/>
          <w:szCs w:val="28"/>
        </w:rPr>
        <w:t> ºС до 1800 </w:t>
      </w:r>
      <w:r w:rsidR="00994BA1">
        <w:rPr>
          <w:sz w:val="28"/>
          <w:szCs w:val="28"/>
        </w:rPr>
        <w:t xml:space="preserve">ºС) окислительном разложении </w:t>
      </w:r>
      <w:r w:rsidR="00994BA1" w:rsidRPr="002A3164">
        <w:rPr>
          <w:sz w:val="28"/>
          <w:szCs w:val="28"/>
        </w:rPr>
        <w:t>с</w:t>
      </w:r>
      <w:r w:rsidR="00994BA1">
        <w:rPr>
          <w:sz w:val="28"/>
          <w:szCs w:val="28"/>
        </w:rPr>
        <w:t xml:space="preserve"> последующим хроматографическим определением компонентов образовавшейся газовой смеси. </w:t>
      </w:r>
    </w:p>
    <w:p w:rsidR="00EF4DD1" w:rsidRDefault="00B81C40" w:rsidP="00EF4D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Для определения содержания элементов </w:t>
      </w:r>
      <w:r>
        <w:rPr>
          <w:sz w:val="28"/>
          <w:lang w:val="en-US"/>
        </w:rPr>
        <w:t>C</w:t>
      </w:r>
      <w:r>
        <w:rPr>
          <w:sz w:val="28"/>
        </w:rPr>
        <w:t xml:space="preserve">, </w:t>
      </w:r>
      <w:r>
        <w:rPr>
          <w:sz w:val="28"/>
          <w:lang w:val="en-US"/>
        </w:rPr>
        <w:t>H</w:t>
      </w:r>
      <w:r>
        <w:rPr>
          <w:sz w:val="28"/>
        </w:rPr>
        <w:t xml:space="preserve">, </w:t>
      </w:r>
      <w:r>
        <w:rPr>
          <w:sz w:val="28"/>
          <w:lang w:val="en-US"/>
        </w:rPr>
        <w:t>N</w:t>
      </w:r>
      <w:r>
        <w:rPr>
          <w:sz w:val="28"/>
        </w:rPr>
        <w:t xml:space="preserve"> и </w:t>
      </w:r>
      <w:r>
        <w:rPr>
          <w:sz w:val="28"/>
          <w:lang w:val="en-US"/>
        </w:rPr>
        <w:t>S</w:t>
      </w:r>
      <w:r>
        <w:rPr>
          <w:sz w:val="28"/>
        </w:rPr>
        <w:t xml:space="preserve"> в </w:t>
      </w:r>
      <w:r w:rsidR="00265F13" w:rsidRPr="00855D2E">
        <w:rPr>
          <w:sz w:val="28"/>
        </w:rPr>
        <w:t xml:space="preserve">фармацевтических </w:t>
      </w:r>
      <w:r w:rsidRPr="00855D2E">
        <w:rPr>
          <w:sz w:val="28"/>
        </w:rPr>
        <w:t>субстанциях</w:t>
      </w:r>
      <w:r>
        <w:rPr>
          <w:sz w:val="28"/>
        </w:rPr>
        <w:t xml:space="preserve"> проводят высокотемпературное окислительное разложение в потоке гелия, либо его смеси с кислородом в присутствии катализатора окисления. Последующее восстановление, </w:t>
      </w:r>
      <w:r w:rsidRPr="002474A0">
        <w:rPr>
          <w:sz w:val="28"/>
        </w:rPr>
        <w:t>как правило, протекает</w:t>
      </w:r>
      <w:r>
        <w:rPr>
          <w:sz w:val="28"/>
        </w:rPr>
        <w:t xml:space="preserve"> в присутствии катализатора и определение образующихся продуктов: углерода в виде </w:t>
      </w:r>
      <w:r>
        <w:rPr>
          <w:sz w:val="28"/>
          <w:lang w:val="en-US"/>
        </w:rPr>
        <w:t>CO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водорода в виде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 xml:space="preserve">, азота в виде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серы в виде 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2</w:t>
      </w:r>
      <w:r w:rsidR="00EF4DD1" w:rsidRPr="00EF4DD1">
        <w:rPr>
          <w:sz w:val="28"/>
        </w:rPr>
        <w:t xml:space="preserve">, </w:t>
      </w:r>
      <w:r w:rsidRPr="006C35C3">
        <w:rPr>
          <w:sz w:val="28"/>
        </w:rPr>
        <w:t>кислорода в виде</w:t>
      </w:r>
      <w:r>
        <w:rPr>
          <w:sz w:val="28"/>
          <w:vertAlign w:val="subscript"/>
        </w:rPr>
        <w:t xml:space="preserve"> </w:t>
      </w:r>
      <w:r>
        <w:rPr>
          <w:sz w:val="28"/>
        </w:rPr>
        <w:t>СО, соответствующих определяемым элементам, проводят методом газовой хроматографии</w:t>
      </w:r>
      <w:r w:rsidR="0071305E">
        <w:rPr>
          <w:sz w:val="28"/>
        </w:rPr>
        <w:t>.</w:t>
      </w:r>
    </w:p>
    <w:p w:rsidR="00EF4DD1" w:rsidRDefault="00B81C40" w:rsidP="00EF4DD1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1FB"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CA4D78" w:rsidRDefault="006747AB" w:rsidP="00CA4D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637BD">
        <w:rPr>
          <w:rFonts w:ascii="Times New Roman" w:hAnsi="Times New Roman"/>
          <w:sz w:val="28"/>
        </w:rPr>
        <w:t>Метод автоматического элементного анализа может быть использован</w:t>
      </w:r>
      <w:r w:rsidR="00A46989">
        <w:rPr>
          <w:rFonts w:ascii="Times New Roman" w:hAnsi="Times New Roman"/>
          <w:sz w:val="28"/>
        </w:rPr>
        <w:t>:</w:t>
      </w:r>
    </w:p>
    <w:p w:rsidR="00A46989" w:rsidRDefault="00A46989" w:rsidP="00CA4D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6747AB" w:rsidRPr="008637BD">
        <w:rPr>
          <w:rFonts w:ascii="Times New Roman" w:hAnsi="Times New Roman"/>
          <w:sz w:val="28"/>
        </w:rPr>
        <w:t>для установления эмпирических формул вещества, в состав молекул которого входят: углерод (С), водород (Н), азот (</w:t>
      </w:r>
      <w:r w:rsidR="006747AB" w:rsidRPr="008637BD">
        <w:rPr>
          <w:rFonts w:ascii="Times New Roman" w:hAnsi="Times New Roman"/>
          <w:sz w:val="28"/>
          <w:lang w:val="en-US"/>
        </w:rPr>
        <w:t>N</w:t>
      </w:r>
      <w:r w:rsidR="006747AB" w:rsidRPr="008637BD">
        <w:rPr>
          <w:rFonts w:ascii="Times New Roman" w:hAnsi="Times New Roman"/>
          <w:sz w:val="28"/>
        </w:rPr>
        <w:t>), сера (</w:t>
      </w:r>
      <w:r w:rsidR="006747AB" w:rsidRPr="008637BD">
        <w:rPr>
          <w:rFonts w:ascii="Times New Roman" w:hAnsi="Times New Roman"/>
          <w:sz w:val="28"/>
          <w:lang w:val="en-US"/>
        </w:rPr>
        <w:t>S</w:t>
      </w:r>
      <w:r w:rsidR="006747AB" w:rsidRPr="008637BD">
        <w:rPr>
          <w:rFonts w:ascii="Times New Roman" w:hAnsi="Times New Roman"/>
          <w:sz w:val="28"/>
        </w:rPr>
        <w:t>), а в ряде случаев и кислород (О) на основании данных элементного ана</w:t>
      </w:r>
      <w:r w:rsidR="008637BD">
        <w:rPr>
          <w:rFonts w:ascii="Times New Roman" w:hAnsi="Times New Roman"/>
          <w:sz w:val="28"/>
        </w:rPr>
        <w:t>лиза на любой из этих элементов;</w:t>
      </w:r>
    </w:p>
    <w:p w:rsidR="00B812F5" w:rsidRDefault="00A46989" w:rsidP="00CA4D7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D71F35" w:rsidRPr="008637BD">
        <w:rPr>
          <w:rFonts w:ascii="Times New Roman" w:hAnsi="Times New Roman"/>
          <w:sz w:val="28"/>
        </w:rPr>
        <w:t xml:space="preserve">с целью идентификации активной фармацевтической субстанции по молекулярной формуле вещества </w:t>
      </w:r>
      <w:r w:rsidR="006747AB" w:rsidRPr="008637BD">
        <w:rPr>
          <w:rFonts w:ascii="Times New Roman" w:hAnsi="Times New Roman"/>
          <w:sz w:val="28"/>
        </w:rPr>
        <w:t>на этапе фармацевтической разработки</w:t>
      </w:r>
      <w:r w:rsidR="00265F13">
        <w:rPr>
          <w:rFonts w:ascii="Times New Roman" w:hAnsi="Times New Roman"/>
          <w:sz w:val="28"/>
        </w:rPr>
        <w:t>.</w:t>
      </w:r>
      <w:r w:rsidR="00D93A32">
        <w:rPr>
          <w:rFonts w:ascii="Times New Roman" w:hAnsi="Times New Roman"/>
          <w:sz w:val="28"/>
        </w:rPr>
        <w:t xml:space="preserve"> </w:t>
      </w:r>
    </w:p>
    <w:p w:rsidR="00EF4DD1" w:rsidRDefault="00CA310F" w:rsidP="00EF4DD1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994BA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 xml:space="preserve">Оборудование </w:t>
      </w:r>
    </w:p>
    <w:p w:rsidR="00CA310F" w:rsidRPr="00A15161" w:rsidRDefault="00CA310F" w:rsidP="00CA31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15161">
        <w:rPr>
          <w:rFonts w:ascii="Times New Roman" w:hAnsi="Times New Roman"/>
          <w:bCs/>
          <w:sz w:val="28"/>
        </w:rPr>
        <w:t xml:space="preserve">Определение проводят на приборе </w:t>
      </w:r>
      <w:r w:rsidR="00B812F5">
        <w:rPr>
          <w:rFonts w:ascii="Times New Roman" w:hAnsi="Times New Roman"/>
          <w:bCs/>
          <w:sz w:val="28"/>
        </w:rPr>
        <w:t>–</w:t>
      </w:r>
      <w:r w:rsidRPr="00A15161">
        <w:rPr>
          <w:rFonts w:ascii="Times New Roman" w:hAnsi="Times New Roman"/>
          <w:bCs/>
          <w:sz w:val="28"/>
        </w:rPr>
        <w:t xml:space="preserve"> элементном анализаторе, основными составными частями которого являются</w:t>
      </w:r>
      <w:r w:rsidRPr="00A15161">
        <w:rPr>
          <w:rFonts w:ascii="Times New Roman" w:hAnsi="Times New Roman"/>
          <w:sz w:val="28"/>
        </w:rPr>
        <w:t xml:space="preserve">: </w:t>
      </w:r>
    </w:p>
    <w:p w:rsidR="00CA310F" w:rsidRPr="00A15161" w:rsidRDefault="00CA4D78" w:rsidP="00CA31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CA310F" w:rsidRPr="00A15161">
        <w:rPr>
          <w:rFonts w:ascii="Times New Roman" w:hAnsi="Times New Roman"/>
          <w:sz w:val="28"/>
        </w:rPr>
        <w:t>электронные микровесы или ультрамикровесы;</w:t>
      </w:r>
    </w:p>
    <w:p w:rsidR="00CA310F" w:rsidRPr="00A15161" w:rsidRDefault="00CA4D78" w:rsidP="00CA31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CA310F" w:rsidRPr="00A15161">
        <w:rPr>
          <w:rFonts w:ascii="Times New Roman" w:hAnsi="Times New Roman"/>
          <w:sz w:val="28"/>
        </w:rPr>
        <w:t xml:space="preserve">узел (или блок) ввода пробы – автодозатор капсулированных (запечатанных в контейнеры из оловянной фольги) проб </w:t>
      </w:r>
      <w:r w:rsidR="00827A1E">
        <w:rPr>
          <w:rFonts w:ascii="Times New Roman" w:hAnsi="Times New Roman"/>
          <w:sz w:val="28"/>
        </w:rPr>
        <w:t>испытуемых</w:t>
      </w:r>
      <w:r w:rsidR="00CA310F" w:rsidRPr="00A15161">
        <w:rPr>
          <w:rFonts w:ascii="Times New Roman" w:hAnsi="Times New Roman"/>
          <w:sz w:val="28"/>
        </w:rPr>
        <w:t xml:space="preserve"> образцов;</w:t>
      </w:r>
    </w:p>
    <w:p w:rsidR="00CA310F" w:rsidRPr="00A15161" w:rsidRDefault="00CA4D78" w:rsidP="00CA31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CA310F" w:rsidRPr="00A15161">
        <w:rPr>
          <w:rFonts w:ascii="Times New Roman" w:hAnsi="Times New Roman"/>
          <w:sz w:val="28"/>
        </w:rPr>
        <w:t>окислительный и восстановительный реакторы, помещ</w:t>
      </w:r>
      <w:r w:rsidR="00265F13">
        <w:rPr>
          <w:rFonts w:ascii="Times New Roman" w:hAnsi="Times New Roman"/>
          <w:sz w:val="28"/>
        </w:rPr>
        <w:t>ё</w:t>
      </w:r>
      <w:r w:rsidR="00CA310F" w:rsidRPr="00A15161">
        <w:rPr>
          <w:rFonts w:ascii="Times New Roman" w:hAnsi="Times New Roman"/>
          <w:sz w:val="28"/>
        </w:rPr>
        <w:t>нные в электропечь;</w:t>
      </w:r>
    </w:p>
    <w:p w:rsidR="00CA310F" w:rsidRPr="00A15161" w:rsidRDefault="00CA4D78" w:rsidP="00CA31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CA310F" w:rsidRPr="00A15161">
        <w:rPr>
          <w:rFonts w:ascii="Times New Roman" w:hAnsi="Times New Roman"/>
          <w:sz w:val="28"/>
        </w:rPr>
        <w:t>ловушки (поглотители);</w:t>
      </w:r>
    </w:p>
    <w:p w:rsidR="00CA310F" w:rsidRPr="00A15161" w:rsidRDefault="00CA4D78" w:rsidP="00CA31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CA310F" w:rsidRPr="00A15161">
        <w:rPr>
          <w:rFonts w:ascii="Times New Roman" w:hAnsi="Times New Roman"/>
          <w:sz w:val="28"/>
        </w:rPr>
        <w:t xml:space="preserve">хроматографическая колонка; </w:t>
      </w:r>
    </w:p>
    <w:p w:rsidR="00CA310F" w:rsidRPr="00A15161" w:rsidRDefault="00CA310F" w:rsidP="00CA31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15161">
        <w:rPr>
          <w:rFonts w:ascii="Times New Roman" w:hAnsi="Times New Roman"/>
          <w:sz w:val="28"/>
        </w:rPr>
        <w:t>-</w:t>
      </w:r>
      <w:r w:rsidR="00CA4D78">
        <w:rPr>
          <w:rFonts w:ascii="Times New Roman" w:hAnsi="Times New Roman"/>
          <w:sz w:val="28"/>
        </w:rPr>
        <w:t> </w:t>
      </w:r>
      <w:r w:rsidRPr="00A15161">
        <w:rPr>
          <w:rFonts w:ascii="Times New Roman" w:hAnsi="Times New Roman"/>
          <w:sz w:val="28"/>
        </w:rPr>
        <w:t>детектор по теплопроводности (входящий в стандартную комплектацию) или пламенно-фотометрический, или изотопный масс-спектрометр, или катарометрический</w:t>
      </w:r>
      <w:r>
        <w:rPr>
          <w:rFonts w:ascii="Times New Roman" w:hAnsi="Times New Roman"/>
          <w:sz w:val="28"/>
        </w:rPr>
        <w:t>;</w:t>
      </w:r>
      <w:r w:rsidRPr="00A15161">
        <w:rPr>
          <w:rFonts w:ascii="Times New Roman" w:hAnsi="Times New Roman"/>
          <w:sz w:val="28"/>
        </w:rPr>
        <w:t xml:space="preserve"> </w:t>
      </w:r>
    </w:p>
    <w:p w:rsidR="003A4362" w:rsidRDefault="00CA4D78" w:rsidP="003A43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CA310F" w:rsidRPr="00A15161">
        <w:rPr>
          <w:rFonts w:ascii="Times New Roman" w:hAnsi="Times New Roman"/>
          <w:sz w:val="28"/>
        </w:rPr>
        <w:t>система для обработки данных и управления прибором.</w:t>
      </w:r>
    </w:p>
    <w:p w:rsidR="00EF4DD1" w:rsidRDefault="00393F11" w:rsidP="00EF4DD1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11FB">
        <w:rPr>
          <w:rFonts w:ascii="Times New Roman" w:eastAsiaTheme="minorHAnsi" w:hAnsi="Times New Roman"/>
          <w:b/>
          <w:sz w:val="28"/>
          <w:szCs w:val="28"/>
        </w:rPr>
        <w:t>Условия измерения</w:t>
      </w:r>
    </w:p>
    <w:p w:rsidR="00EF4DD1" w:rsidRDefault="00994BA1" w:rsidP="00EF4D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Вследствие присутствия наполнителей при окислительном разложении </w:t>
      </w:r>
      <w:r w:rsidR="00855D2E">
        <w:rPr>
          <w:rFonts w:ascii="Times New Roman" w:eastAsiaTheme="minorHAnsi" w:hAnsi="Times New Roman"/>
          <w:color w:val="000000"/>
          <w:sz w:val="28"/>
          <w:szCs w:val="28"/>
        </w:rPr>
        <w:t>фармацевтических субстанций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 образуется большое количество углерода диоксида (СО</w:t>
      </w:r>
      <w:r w:rsidRPr="00994BA1">
        <w:rPr>
          <w:rFonts w:ascii="Times New Roman" w:eastAsiaTheme="minorHAnsi" w:hAnsi="Times New Roman"/>
          <w:color w:val="000000"/>
          <w:position w:val="-8"/>
          <w:sz w:val="28"/>
          <w:szCs w:val="28"/>
          <w:vertAlign w:val="subscript"/>
        </w:rPr>
        <w:t>2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>), мешающего определению азота. В связи с этим газохроматографическое определение азота проводится после предварительного поглощения углерода диоксида (в</w:t>
      </w:r>
      <w:r w:rsidR="00F10993">
        <w:rPr>
          <w:rFonts w:ascii="Times New Roman" w:eastAsiaTheme="minorHAnsi" w:hAnsi="Times New Roman"/>
          <w:color w:val="000000"/>
          <w:sz w:val="28"/>
          <w:szCs w:val="28"/>
        </w:rPr>
        <w:t>месте с серы диоксидом) и воды.</w:t>
      </w:r>
    </w:p>
    <w:p w:rsidR="00243F0F" w:rsidRPr="00243F0F" w:rsidRDefault="00243F0F" w:rsidP="00B812F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0BB2">
        <w:rPr>
          <w:rFonts w:ascii="Times New Roman" w:hAnsi="Times New Roman"/>
          <w:sz w:val="28"/>
        </w:rPr>
        <w:t>В качестве катализатора окисления обычно используют меди(</w:t>
      </w:r>
      <w:r w:rsidRPr="00920BB2">
        <w:rPr>
          <w:rFonts w:ascii="Times New Roman" w:hAnsi="Times New Roman"/>
          <w:sz w:val="28"/>
          <w:lang w:val="en-US"/>
        </w:rPr>
        <w:t>II</w:t>
      </w:r>
      <w:r w:rsidRPr="00920BB2">
        <w:rPr>
          <w:rFonts w:ascii="Times New Roman" w:hAnsi="Times New Roman"/>
          <w:sz w:val="28"/>
        </w:rPr>
        <w:t>) оксид (</w:t>
      </w:r>
      <w:r w:rsidRPr="00920BB2">
        <w:rPr>
          <w:rFonts w:ascii="Times New Roman" w:hAnsi="Times New Roman"/>
          <w:sz w:val="28"/>
          <w:lang w:val="en-US"/>
        </w:rPr>
        <w:t>CuO</w:t>
      </w:r>
      <w:r w:rsidRPr="00920BB2">
        <w:rPr>
          <w:rFonts w:ascii="Times New Roman" w:hAnsi="Times New Roman"/>
          <w:sz w:val="28"/>
        </w:rPr>
        <w:t>) с добавкой ванадия(</w:t>
      </w:r>
      <w:r w:rsidRPr="00920BB2">
        <w:rPr>
          <w:rFonts w:ascii="Times New Roman" w:hAnsi="Times New Roman"/>
          <w:sz w:val="28"/>
          <w:lang w:val="en-US"/>
        </w:rPr>
        <w:t>V</w:t>
      </w:r>
      <w:r w:rsidRPr="00920BB2">
        <w:rPr>
          <w:rFonts w:ascii="Times New Roman" w:hAnsi="Times New Roman"/>
          <w:sz w:val="28"/>
        </w:rPr>
        <w:t>) оксида (</w:t>
      </w:r>
      <w:r w:rsidRPr="00920BB2">
        <w:rPr>
          <w:rFonts w:ascii="Times New Roman" w:hAnsi="Times New Roman"/>
          <w:sz w:val="28"/>
          <w:lang w:val="en-US"/>
        </w:rPr>
        <w:t>V</w:t>
      </w:r>
      <w:r w:rsidRPr="00920BB2">
        <w:rPr>
          <w:rFonts w:ascii="Times New Roman" w:hAnsi="Times New Roman"/>
          <w:sz w:val="28"/>
          <w:vertAlign w:val="subscript"/>
        </w:rPr>
        <w:t>2</w:t>
      </w:r>
      <w:r w:rsidRPr="00920BB2">
        <w:rPr>
          <w:rFonts w:ascii="Times New Roman" w:hAnsi="Times New Roman"/>
          <w:sz w:val="28"/>
          <w:lang w:val="en-US"/>
        </w:rPr>
        <w:t>O</w:t>
      </w:r>
      <w:r w:rsidRPr="00920BB2">
        <w:rPr>
          <w:rFonts w:ascii="Times New Roman" w:hAnsi="Times New Roman"/>
          <w:sz w:val="28"/>
          <w:vertAlign w:val="subscript"/>
        </w:rPr>
        <w:t>5</w:t>
      </w:r>
      <w:r w:rsidRPr="00920BB2">
        <w:rPr>
          <w:rFonts w:ascii="Times New Roman" w:hAnsi="Times New Roman"/>
          <w:sz w:val="28"/>
        </w:rPr>
        <w:t xml:space="preserve">) или </w:t>
      </w:r>
      <w:r w:rsidR="00920BB2" w:rsidRPr="00920BB2">
        <w:rPr>
          <w:rFonts w:ascii="Times New Roman" w:eastAsiaTheme="minorHAnsi" w:hAnsi="Times New Roman"/>
          <w:bCs/>
          <w:iCs/>
          <w:color w:val="000000"/>
          <w:sz w:val="28"/>
          <w:szCs w:val="28"/>
        </w:rPr>
        <w:t>кобальта(II,III) оксид (Со</w:t>
      </w:r>
      <w:r w:rsidR="00920BB2" w:rsidRPr="00920BB2">
        <w:rPr>
          <w:rFonts w:ascii="Times New Roman" w:eastAsiaTheme="minorHAnsi" w:hAnsi="Times New Roman"/>
          <w:bCs/>
          <w:iCs/>
          <w:color w:val="000000"/>
          <w:sz w:val="28"/>
          <w:szCs w:val="28"/>
          <w:vertAlign w:val="subscript"/>
        </w:rPr>
        <w:t>3</w:t>
      </w:r>
      <w:r w:rsidR="00920BB2" w:rsidRPr="00920BB2">
        <w:rPr>
          <w:rFonts w:ascii="Times New Roman" w:eastAsiaTheme="minorHAnsi" w:hAnsi="Times New Roman"/>
          <w:bCs/>
          <w:iCs/>
          <w:color w:val="000000"/>
          <w:sz w:val="28"/>
          <w:szCs w:val="28"/>
        </w:rPr>
        <w:t>О</w:t>
      </w:r>
      <w:r w:rsidR="00920BB2" w:rsidRPr="00920BB2">
        <w:rPr>
          <w:rFonts w:ascii="Times New Roman" w:eastAsiaTheme="minorHAnsi" w:hAnsi="Times New Roman"/>
          <w:bCs/>
          <w:iCs/>
          <w:color w:val="000000"/>
          <w:sz w:val="28"/>
          <w:szCs w:val="28"/>
          <w:vertAlign w:val="subscript"/>
        </w:rPr>
        <w:t>4</w:t>
      </w:r>
      <w:r w:rsidR="00920BB2" w:rsidRPr="00920BB2">
        <w:rPr>
          <w:rFonts w:ascii="Times New Roman" w:eastAsiaTheme="minorHAnsi" w:hAnsi="Times New Roman"/>
          <w:bCs/>
          <w:iCs/>
          <w:color w:val="000000"/>
          <w:sz w:val="28"/>
          <w:szCs w:val="28"/>
        </w:rPr>
        <w:t>) посеребрённый</w:t>
      </w:r>
      <w:r w:rsidRPr="00920BB2">
        <w:rPr>
          <w:rFonts w:ascii="Times New Roman" w:hAnsi="Times New Roman"/>
          <w:sz w:val="28"/>
        </w:rPr>
        <w:t>. В качестве</w:t>
      </w:r>
      <w:r w:rsidRPr="00243F0F">
        <w:rPr>
          <w:rFonts w:ascii="Times New Roman" w:hAnsi="Times New Roman"/>
          <w:sz w:val="28"/>
        </w:rPr>
        <w:t xml:space="preserve"> катализатора восстановления используют электролитическую медь. </w:t>
      </w:r>
    </w:p>
    <w:p w:rsidR="00EF4DD1" w:rsidRDefault="008C21C5" w:rsidP="007B1A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position w:val="-8"/>
          <w:sz w:val="28"/>
          <w:szCs w:val="28"/>
        </w:rPr>
      </w:pPr>
      <w:r>
        <w:rPr>
          <w:rFonts w:ascii="Times New Roman" w:eastAsiaTheme="minorHAnsi" w:hAnsi="Times New Roman"/>
          <w:color w:val="000000"/>
          <w:position w:val="-8"/>
          <w:sz w:val="28"/>
          <w:szCs w:val="28"/>
        </w:rPr>
        <w:t>Для поглощения углерода диоксида и серы диоксида (</w:t>
      </w:r>
      <w:r>
        <w:rPr>
          <w:rFonts w:ascii="Times New Roman" w:eastAsiaTheme="minorHAnsi" w:hAnsi="Times New Roman"/>
          <w:color w:val="000000"/>
          <w:position w:val="-8"/>
          <w:sz w:val="28"/>
          <w:szCs w:val="28"/>
          <w:lang w:val="en-US"/>
        </w:rPr>
        <w:t>CO</w:t>
      </w:r>
      <w:r>
        <w:rPr>
          <w:rFonts w:ascii="Times New Roman" w:eastAsiaTheme="minorHAnsi" w:hAnsi="Times New Roman"/>
          <w:color w:val="000000"/>
          <w:position w:val="-8"/>
          <w:sz w:val="28"/>
          <w:szCs w:val="28"/>
          <w:vertAlign w:val="subscript"/>
        </w:rPr>
        <w:t>2</w:t>
      </w:r>
      <w:r>
        <w:rPr>
          <w:rFonts w:ascii="Times New Roman" w:eastAsiaTheme="minorHAnsi" w:hAnsi="Times New Roman"/>
          <w:color w:val="000000"/>
          <w:position w:val="-8"/>
          <w:sz w:val="28"/>
          <w:szCs w:val="28"/>
        </w:rPr>
        <w:t xml:space="preserve"> и SO</w:t>
      </w:r>
      <w:r w:rsidRPr="008C21C5">
        <w:rPr>
          <w:rFonts w:ascii="Times New Roman" w:eastAsiaTheme="minorHAnsi" w:hAnsi="Times New Roman"/>
          <w:color w:val="000000"/>
          <w:position w:val="-8"/>
          <w:sz w:val="28"/>
          <w:szCs w:val="28"/>
          <w:vertAlign w:val="subscript"/>
        </w:rPr>
        <w:t>2</w:t>
      </w:r>
      <w:r w:rsidRPr="008C21C5">
        <w:rPr>
          <w:rFonts w:ascii="Times New Roman" w:eastAsiaTheme="minorHAnsi" w:hAnsi="Times New Roman"/>
          <w:color w:val="000000"/>
          <w:position w:val="-8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color w:val="000000"/>
          <w:position w:val="-8"/>
          <w:sz w:val="28"/>
          <w:szCs w:val="28"/>
        </w:rPr>
        <w:t xml:space="preserve">используют </w:t>
      </w:r>
      <w:r w:rsidRPr="00C6057B">
        <w:rPr>
          <w:rFonts w:ascii="Times New Roman" w:eastAsiaTheme="minorHAnsi" w:hAnsi="Times New Roman"/>
          <w:color w:val="000000"/>
          <w:position w:val="-8"/>
          <w:sz w:val="28"/>
          <w:szCs w:val="28"/>
        </w:rPr>
        <w:t xml:space="preserve">ловушки </w:t>
      </w:r>
      <w:r w:rsidRPr="000D11FB">
        <w:rPr>
          <w:rFonts w:ascii="Times New Roman" w:eastAsiaTheme="minorHAnsi" w:hAnsi="Times New Roman"/>
          <w:color w:val="000000"/>
          <w:position w:val="-8"/>
          <w:sz w:val="28"/>
          <w:szCs w:val="28"/>
        </w:rPr>
        <w:t>с натронной известью, воды – с магния перхлоратом</w:t>
      </w:r>
      <w:r>
        <w:rPr>
          <w:rFonts w:ascii="Times New Roman" w:eastAsiaTheme="minorHAnsi" w:hAnsi="Times New Roman"/>
          <w:color w:val="000000"/>
          <w:position w:val="-8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position w:val="-8"/>
          <w:sz w:val="28"/>
          <w:szCs w:val="28"/>
        </w:rPr>
        <w:lastRenderedPageBreak/>
        <w:t>или освобождаются от воды в соединительных трубках, стенки которых селективно проницаемы для воды.</w:t>
      </w:r>
    </w:p>
    <w:p w:rsidR="00EF4DD1" w:rsidRDefault="00994BA1" w:rsidP="00EF4DD1">
      <w:pPr>
        <w:spacing w:after="0" w:line="360" w:lineRule="auto"/>
        <w:ind w:firstLine="709"/>
        <w:jc w:val="both"/>
        <w:rPr>
          <w:rFonts w:ascii="Times New Roman" w:hAnsi="Times New Roman"/>
          <w:position w:val="-8"/>
          <w:sz w:val="28"/>
          <w:szCs w:val="28"/>
        </w:rPr>
      </w:pP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Метод применим как </w:t>
      </w:r>
      <w:r w:rsidR="00A17099">
        <w:rPr>
          <w:rFonts w:ascii="Times New Roman" w:eastAsiaTheme="minorHAnsi" w:hAnsi="Times New Roman"/>
          <w:color w:val="000000"/>
          <w:sz w:val="28"/>
          <w:szCs w:val="28"/>
        </w:rPr>
        <w:t xml:space="preserve">для 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>тв</w:t>
      </w:r>
      <w:r w:rsidR="00265F13">
        <w:rPr>
          <w:rFonts w:ascii="Times New Roman" w:eastAsiaTheme="minorHAnsi" w:hAnsi="Times New Roman"/>
          <w:color w:val="000000"/>
          <w:sz w:val="28"/>
          <w:szCs w:val="28"/>
        </w:rPr>
        <w:t>ё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рдых, так и </w:t>
      </w:r>
      <w:r w:rsidR="00A17099">
        <w:rPr>
          <w:rFonts w:ascii="Times New Roman" w:eastAsiaTheme="minorHAnsi" w:hAnsi="Times New Roman"/>
          <w:color w:val="000000"/>
          <w:sz w:val="28"/>
          <w:szCs w:val="28"/>
        </w:rPr>
        <w:t xml:space="preserve">для 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жидких </w:t>
      </w:r>
      <w:r w:rsidR="00855D2E">
        <w:rPr>
          <w:rFonts w:ascii="Times New Roman" w:eastAsiaTheme="minorHAnsi" w:hAnsi="Times New Roman"/>
          <w:color w:val="000000"/>
          <w:sz w:val="28"/>
          <w:szCs w:val="28"/>
        </w:rPr>
        <w:t>фармацевтических субстанций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EF4DD1" w:rsidRDefault="00994BA1" w:rsidP="00EF4DD1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994BA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Методика </w:t>
      </w:r>
    </w:p>
    <w:p w:rsidR="00EF4DD1" w:rsidRDefault="00C76C15" w:rsidP="00EF4D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6057B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>Используемые реактивы</w:t>
      </w:r>
      <w:r w:rsidRPr="00043636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EF4DD1" w:rsidRDefault="00C76C15" w:rsidP="00EF4D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D25EA">
        <w:rPr>
          <w:rFonts w:ascii="Times New Roman" w:eastAsiaTheme="minorHAnsi" w:hAnsi="Times New Roman"/>
          <w:bCs/>
          <w:i/>
          <w:iCs/>
          <w:color w:val="000000"/>
          <w:sz w:val="28"/>
          <w:szCs w:val="28"/>
        </w:rPr>
        <w:t xml:space="preserve">Меди(II) оксид </w:t>
      </w:r>
      <w:r w:rsidR="00EA3D19" w:rsidRPr="007D25EA">
        <w:rPr>
          <w:rFonts w:ascii="Times New Roman" w:eastAsiaTheme="minorHAnsi" w:hAnsi="Times New Roman"/>
          <w:i/>
          <w:color w:val="000000"/>
          <w:sz w:val="28"/>
          <w:szCs w:val="28"/>
        </w:rPr>
        <w:t>(CuO)</w:t>
      </w:r>
      <w:r w:rsidR="007D25EA">
        <w:rPr>
          <w:rFonts w:ascii="Times New Roman" w:eastAsiaTheme="minorHAnsi" w:hAnsi="Times New Roman"/>
          <w:i/>
          <w:color w:val="000000"/>
          <w:sz w:val="28"/>
          <w:szCs w:val="28"/>
        </w:rPr>
        <w:t>.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EA3D19">
        <w:rPr>
          <w:rFonts w:ascii="Times New Roman" w:eastAsiaTheme="minorHAnsi" w:hAnsi="Times New Roman"/>
          <w:color w:val="000000"/>
          <w:sz w:val="28"/>
          <w:szCs w:val="28"/>
        </w:rPr>
        <w:t>К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>усочки проволоки длиной 1–3 мм, толщиной около 1</w:t>
      </w:r>
      <w:r w:rsidR="007B35DB"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мм, серого цвета. Поставляется фирмой-производителем элементного анализатора. </w:t>
      </w:r>
    </w:p>
    <w:p w:rsidR="00EF4DD1" w:rsidRDefault="00C76C15" w:rsidP="00EF4D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color w:val="000000"/>
          <w:sz w:val="28"/>
          <w:szCs w:val="28"/>
        </w:rPr>
      </w:pPr>
      <w:r w:rsidRPr="007D25EA">
        <w:rPr>
          <w:rFonts w:ascii="Times New Roman" w:eastAsiaTheme="minorHAnsi" w:hAnsi="Times New Roman"/>
          <w:bCs/>
          <w:i/>
          <w:iCs/>
          <w:color w:val="000000"/>
          <w:sz w:val="28"/>
          <w:szCs w:val="28"/>
        </w:rPr>
        <w:t>Кобальта(II,III) оксид (Со</w:t>
      </w:r>
      <w:r w:rsidRPr="007D25EA">
        <w:rPr>
          <w:rFonts w:ascii="Times New Roman" w:eastAsiaTheme="minorHAnsi" w:hAnsi="Times New Roman"/>
          <w:bCs/>
          <w:i/>
          <w:iCs/>
          <w:color w:val="000000"/>
          <w:sz w:val="28"/>
          <w:szCs w:val="28"/>
          <w:vertAlign w:val="subscript"/>
        </w:rPr>
        <w:t>3</w:t>
      </w:r>
      <w:r w:rsidRPr="007D25EA">
        <w:rPr>
          <w:rFonts w:ascii="Times New Roman" w:eastAsiaTheme="minorHAnsi" w:hAnsi="Times New Roman"/>
          <w:bCs/>
          <w:i/>
          <w:iCs/>
          <w:color w:val="000000"/>
          <w:sz w:val="28"/>
          <w:szCs w:val="28"/>
        </w:rPr>
        <w:t>О</w:t>
      </w:r>
      <w:r w:rsidRPr="007D25EA">
        <w:rPr>
          <w:rFonts w:ascii="Times New Roman" w:eastAsiaTheme="minorHAnsi" w:hAnsi="Times New Roman"/>
          <w:bCs/>
          <w:i/>
          <w:iCs/>
          <w:color w:val="000000"/>
          <w:sz w:val="28"/>
          <w:szCs w:val="28"/>
          <w:vertAlign w:val="subscript"/>
        </w:rPr>
        <w:t>4</w:t>
      </w:r>
      <w:r w:rsidRPr="007D25EA">
        <w:rPr>
          <w:rFonts w:ascii="Times New Roman" w:eastAsiaTheme="minorHAnsi" w:hAnsi="Times New Roman"/>
          <w:bCs/>
          <w:i/>
          <w:iCs/>
          <w:color w:val="000000"/>
          <w:sz w:val="28"/>
          <w:szCs w:val="28"/>
        </w:rPr>
        <w:t>) посеребр</w:t>
      </w:r>
      <w:r w:rsidR="00265F13">
        <w:rPr>
          <w:rFonts w:ascii="Times New Roman" w:eastAsiaTheme="minorHAnsi" w:hAnsi="Times New Roman"/>
          <w:bCs/>
          <w:i/>
          <w:iCs/>
          <w:color w:val="000000"/>
          <w:sz w:val="28"/>
          <w:szCs w:val="28"/>
        </w:rPr>
        <w:t>ё</w:t>
      </w:r>
      <w:r w:rsidRPr="007D25EA">
        <w:rPr>
          <w:rFonts w:ascii="Times New Roman" w:eastAsiaTheme="minorHAnsi" w:hAnsi="Times New Roman"/>
          <w:bCs/>
          <w:i/>
          <w:iCs/>
          <w:color w:val="000000"/>
          <w:sz w:val="28"/>
          <w:szCs w:val="28"/>
        </w:rPr>
        <w:t>нный</w:t>
      </w:r>
      <w:r>
        <w:rPr>
          <w:rFonts w:ascii="Times New Roman" w:eastAsiaTheme="minorHAnsi" w:hAnsi="Times New Roman"/>
          <w:bCs/>
          <w:iCs/>
          <w:color w:val="000000"/>
          <w:sz w:val="28"/>
          <w:szCs w:val="28"/>
        </w:rPr>
        <w:t>. Гранулы ч</w:t>
      </w:r>
      <w:r w:rsidR="00920BB2">
        <w:rPr>
          <w:rFonts w:ascii="Times New Roman" w:eastAsiaTheme="minorHAnsi" w:hAnsi="Times New Roman"/>
          <w:bCs/>
          <w:iCs/>
          <w:color w:val="000000"/>
          <w:sz w:val="28"/>
          <w:szCs w:val="28"/>
        </w:rPr>
        <w:t>ё</w:t>
      </w:r>
      <w:r>
        <w:rPr>
          <w:rFonts w:ascii="Times New Roman" w:eastAsiaTheme="minorHAnsi" w:hAnsi="Times New Roman"/>
          <w:bCs/>
          <w:iCs/>
          <w:color w:val="000000"/>
          <w:sz w:val="28"/>
          <w:szCs w:val="28"/>
        </w:rPr>
        <w:t>рного цвета диаметром около 1 мм. Поставляется фирмой-производителем элементного анализатора.</w:t>
      </w:r>
    </w:p>
    <w:p w:rsidR="00EF4DD1" w:rsidRDefault="00BD46CE" w:rsidP="00EF4DD1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анализе испытуемых образцов </w:t>
      </w:r>
      <w:r w:rsidR="0000105E" w:rsidRPr="00473F29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тв</w:t>
      </w:r>
      <w:r w:rsidR="00265F13">
        <w:rPr>
          <w:b w:val="0"/>
          <w:sz w:val="28"/>
          <w:szCs w:val="28"/>
        </w:rPr>
        <w:t>ё</w:t>
      </w:r>
      <w:r>
        <w:rPr>
          <w:b w:val="0"/>
          <w:sz w:val="28"/>
          <w:szCs w:val="28"/>
        </w:rPr>
        <w:t>рдом или жидком состоянии используют дозаторы для тв</w:t>
      </w:r>
      <w:r w:rsidR="00265F13">
        <w:rPr>
          <w:b w:val="0"/>
          <w:sz w:val="28"/>
          <w:szCs w:val="28"/>
        </w:rPr>
        <w:t>ё</w:t>
      </w:r>
      <w:r>
        <w:rPr>
          <w:b w:val="0"/>
          <w:sz w:val="28"/>
          <w:szCs w:val="28"/>
        </w:rPr>
        <w:t>рдых или жидких проб.</w:t>
      </w:r>
      <w:r w:rsidR="00855D2E">
        <w:rPr>
          <w:b w:val="0"/>
          <w:sz w:val="28"/>
          <w:szCs w:val="28"/>
        </w:rPr>
        <w:t xml:space="preserve"> Испытуемые образцы</w:t>
      </w:r>
    </w:p>
    <w:p w:rsidR="00EF4DD1" w:rsidRDefault="00994BA1" w:rsidP="00855D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>тв</w:t>
      </w:r>
      <w:r w:rsidR="00265F13">
        <w:rPr>
          <w:rFonts w:ascii="Times New Roman" w:eastAsiaTheme="minorHAnsi" w:hAnsi="Times New Roman"/>
          <w:color w:val="000000"/>
          <w:sz w:val="28"/>
          <w:szCs w:val="28"/>
        </w:rPr>
        <w:t>ё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рдых </w:t>
      </w:r>
      <w:r w:rsidR="00855D2E">
        <w:rPr>
          <w:rFonts w:ascii="Times New Roman" w:eastAsiaTheme="minorHAnsi" w:hAnsi="Times New Roman"/>
          <w:color w:val="000000"/>
          <w:sz w:val="28"/>
          <w:szCs w:val="28"/>
        </w:rPr>
        <w:t>фармацевтических субстанций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 тщательно растирают в </w:t>
      </w:r>
      <w:r w:rsidRPr="00EA3D19">
        <w:rPr>
          <w:rFonts w:ascii="Times New Roman" w:eastAsiaTheme="minorHAnsi" w:hAnsi="Times New Roman"/>
          <w:color w:val="000000"/>
          <w:sz w:val="28"/>
          <w:szCs w:val="28"/>
        </w:rPr>
        <w:t>агатовой ступке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EF4DD1" w:rsidRDefault="00994BA1" w:rsidP="00EF4D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В качестве стандартных образцов используют ацетанилид, цистеин, метионин с установленным содержанием элементов – стандартные образцы для микроанализа. </w:t>
      </w:r>
    </w:p>
    <w:p w:rsidR="00EF4DD1" w:rsidRDefault="00994BA1" w:rsidP="00EF4D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>Точные навески (от 0,5 до 1,5</w:t>
      </w:r>
      <w:r w:rsidR="00D9555F"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мг стандартного образца или </w:t>
      </w:r>
      <w:r w:rsidR="00A17099">
        <w:rPr>
          <w:rFonts w:ascii="Times New Roman" w:eastAsiaTheme="minorHAnsi" w:hAnsi="Times New Roman"/>
          <w:color w:val="000000"/>
          <w:sz w:val="28"/>
          <w:szCs w:val="28"/>
        </w:rPr>
        <w:t xml:space="preserve">фармацевтических 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>субстанции</w:t>
      </w:r>
      <w:r w:rsidR="0000105E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 или от 1,0 до 5,0</w:t>
      </w:r>
      <w:r w:rsidR="007B35DB"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мг </w:t>
      </w:r>
      <w:r w:rsidR="00A17099">
        <w:rPr>
          <w:rFonts w:ascii="Times New Roman" w:eastAsiaTheme="minorHAnsi" w:hAnsi="Times New Roman"/>
          <w:color w:val="000000"/>
          <w:sz w:val="28"/>
          <w:szCs w:val="28"/>
        </w:rPr>
        <w:t xml:space="preserve">лекарственного 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>препарата), взятые на ультрамикровесах с точностью до 0,001</w:t>
      </w:r>
      <w:r w:rsidR="007B35DB"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мг, помещают в предварительно взвешенные пустые оловянные контейнеры. Запечатывают контейнеры с помощью специального устройства, взвешивают капсулированные образцы и помещают в кассету автодозатора. При увеличении </w:t>
      </w:r>
      <w:r w:rsidR="00CA310F" w:rsidRPr="00EA3D19">
        <w:rPr>
          <w:rFonts w:ascii="Times New Roman" w:eastAsiaTheme="minorHAnsi" w:hAnsi="Times New Roman"/>
          <w:color w:val="000000"/>
          <w:sz w:val="28"/>
          <w:szCs w:val="28"/>
        </w:rPr>
        <w:t>количества</w:t>
      </w:r>
      <w:r w:rsidRPr="00EA3D19">
        <w:rPr>
          <w:rFonts w:ascii="Times New Roman" w:eastAsiaTheme="minorHAnsi" w:hAnsi="Times New Roman"/>
          <w:color w:val="000000"/>
          <w:sz w:val="28"/>
          <w:szCs w:val="28"/>
        </w:rPr>
        <w:t xml:space="preserve"> катализаторов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 окисления и восстановления навеска может быть увеличена в 5–10 раз, при этом точность взвешивания может составлять 0,01</w:t>
      </w:r>
      <w:r w:rsidR="00CA310F"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мг. </w:t>
      </w:r>
    </w:p>
    <w:p w:rsidR="00EF4DD1" w:rsidRDefault="00994BA1" w:rsidP="00EF4D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Проводят контрольный опыт, для чего с помощью автодозатора в </w:t>
      </w:r>
      <w:r w:rsidRPr="00EA3D19">
        <w:rPr>
          <w:rFonts w:ascii="Times New Roman" w:eastAsiaTheme="minorHAnsi" w:hAnsi="Times New Roman"/>
          <w:color w:val="000000"/>
          <w:sz w:val="28"/>
          <w:szCs w:val="28"/>
        </w:rPr>
        <w:t xml:space="preserve">реактор </w:t>
      </w:r>
      <w:r w:rsidR="00CA310F" w:rsidRPr="00EA3D19">
        <w:rPr>
          <w:rFonts w:ascii="Times New Roman" w:eastAsiaTheme="minorHAnsi" w:hAnsi="Times New Roman"/>
          <w:color w:val="000000"/>
          <w:sz w:val="28"/>
          <w:szCs w:val="28"/>
        </w:rPr>
        <w:t xml:space="preserve">помещают </w:t>
      </w:r>
      <w:r w:rsidRPr="00EA3D19">
        <w:rPr>
          <w:rFonts w:ascii="Times New Roman" w:eastAsiaTheme="minorHAnsi" w:hAnsi="Times New Roman"/>
          <w:color w:val="000000"/>
          <w:sz w:val="28"/>
          <w:szCs w:val="28"/>
        </w:rPr>
        <w:t>пустые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 оловянные контейнеры (количество проб не 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больше тр</w:t>
      </w:r>
      <w:r w:rsidR="00827A1E">
        <w:rPr>
          <w:rFonts w:ascii="Times New Roman" w:eastAsiaTheme="minorHAnsi" w:hAnsi="Times New Roman"/>
          <w:color w:val="000000"/>
          <w:sz w:val="28"/>
          <w:szCs w:val="28"/>
        </w:rPr>
        <w:t>ё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х); при этом регистрируется содержание определяемого элемента для каждой из них. </w:t>
      </w:r>
    </w:p>
    <w:p w:rsidR="00EF4DD1" w:rsidRDefault="00994BA1" w:rsidP="00EF4D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Затем последовательно сжигают по 3–4 навески капсулированных образцов (стандартного и испытуемого). </w:t>
      </w:r>
    </w:p>
    <w:p w:rsidR="00994BA1" w:rsidRDefault="00994BA1" w:rsidP="001D17D1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>По полученным значениям площадей пиков стандартных образцов с уч</w:t>
      </w:r>
      <w:r w:rsidR="00827A1E">
        <w:rPr>
          <w:rFonts w:ascii="Times New Roman" w:eastAsiaTheme="minorHAnsi" w:hAnsi="Times New Roman"/>
          <w:color w:val="000000"/>
          <w:sz w:val="28"/>
          <w:szCs w:val="28"/>
        </w:rPr>
        <w:t>ё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том значения контрольного опыта автоматически строится </w:t>
      </w:r>
      <w:r w:rsidR="00A7301B" w:rsidRPr="00EA3D19">
        <w:rPr>
          <w:rFonts w:ascii="Times New Roman" w:eastAsiaTheme="minorHAnsi" w:hAnsi="Times New Roman"/>
          <w:color w:val="000000"/>
          <w:sz w:val="28"/>
          <w:szCs w:val="28"/>
        </w:rPr>
        <w:t xml:space="preserve">калибровочный </w:t>
      </w:r>
      <w:r w:rsidRPr="00EA3D19">
        <w:rPr>
          <w:rFonts w:ascii="Times New Roman" w:eastAsiaTheme="minorHAnsi" w:hAnsi="Times New Roman"/>
          <w:color w:val="000000"/>
          <w:sz w:val="28"/>
          <w:szCs w:val="28"/>
        </w:rPr>
        <w:t>график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 и рассчитывается поправочный коэффициент </w:t>
      </w:r>
      <w:r w:rsidR="007D25EA" w:rsidRPr="00CE11E6">
        <w:rPr>
          <w:rFonts w:ascii="Times New Roman" w:eastAsiaTheme="minorHAnsi" w:hAnsi="Times New Roman"/>
          <w:color w:val="000000"/>
          <w:sz w:val="28"/>
          <w:szCs w:val="28"/>
        </w:rPr>
        <w:t>(</w:t>
      </w:r>
      <w:r w:rsidR="00EF4DD1" w:rsidRPr="00EF4DD1">
        <w:rPr>
          <w:rFonts w:ascii="Cambria Math" w:eastAsiaTheme="minorHAnsi" w:hAnsi="Cambria Math"/>
          <w:i/>
          <w:iCs/>
          <w:color w:val="000000"/>
          <w:sz w:val="28"/>
          <w:szCs w:val="28"/>
        </w:rPr>
        <w:t>K</w:t>
      </w:r>
      <w:r w:rsidR="00EF4DD1" w:rsidRPr="00EF4DD1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)</w:t>
      </w:r>
      <w:r w:rsidRPr="00994BA1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r w:rsidRPr="00994BA1">
        <w:rPr>
          <w:rFonts w:ascii="Times New Roman" w:eastAsiaTheme="minorHAnsi" w:hAnsi="Times New Roman"/>
          <w:color w:val="000000"/>
          <w:sz w:val="28"/>
          <w:szCs w:val="28"/>
        </w:rPr>
        <w:t>к площади пика определяемого элемента по формуле:</w:t>
      </w:r>
    </w:p>
    <w:tbl>
      <w:tblPr>
        <w:tblStyle w:val="11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283"/>
        <w:gridCol w:w="7088"/>
        <w:gridCol w:w="1100"/>
      </w:tblGrid>
      <w:tr w:rsidR="00920BB2" w:rsidRPr="00920BB2" w:rsidTr="00776905">
        <w:trPr>
          <w:trHeight w:val="707"/>
        </w:trPr>
        <w:tc>
          <w:tcPr>
            <w:tcW w:w="1384" w:type="dxa"/>
            <w:gridSpan w:val="3"/>
          </w:tcPr>
          <w:p w:rsidR="00920BB2" w:rsidRPr="00920BB2" w:rsidRDefault="00920BB2" w:rsidP="00920B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20BB2" w:rsidRPr="00920BB2" w:rsidRDefault="00EB21EA" w:rsidP="00920BB2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y·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)·100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1100" w:type="dxa"/>
          </w:tcPr>
          <w:p w:rsidR="00920BB2" w:rsidRPr="00920BB2" w:rsidRDefault="00920BB2" w:rsidP="00920BB2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0BB2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  <w:tr w:rsidR="00920BB2" w:rsidRPr="00920BB2" w:rsidTr="00776905">
        <w:tc>
          <w:tcPr>
            <w:tcW w:w="675" w:type="dxa"/>
          </w:tcPr>
          <w:p w:rsidR="00920BB2" w:rsidRPr="00920BB2" w:rsidRDefault="00920BB2" w:rsidP="0092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0BB2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426" w:type="dxa"/>
          </w:tcPr>
          <w:p w:rsidR="00920BB2" w:rsidRPr="00920BB2" w:rsidRDefault="00EB21EA" w:rsidP="0092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283" w:type="dxa"/>
          </w:tcPr>
          <w:p w:rsidR="00920BB2" w:rsidRPr="00920BB2" w:rsidRDefault="00920BB2" w:rsidP="0092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0B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</w:tcPr>
          <w:p w:rsidR="00920BB2" w:rsidRPr="00EB21EA" w:rsidRDefault="00EB21EA" w:rsidP="00920BB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B21EA">
              <w:rPr>
                <w:rFonts w:ascii="Times New Roman" w:eastAsiaTheme="minorHAnsi" w:hAnsi="Times New Roman"/>
                <w:sz w:val="28"/>
                <w:szCs w:val="28"/>
              </w:rPr>
              <w:t>содержание определяемого элемента в стандартном образце для микроанализа, %</w:t>
            </w:r>
            <w:r w:rsidRPr="00EB21EA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920BB2" w:rsidRPr="00920BB2" w:rsidTr="00776905">
        <w:tc>
          <w:tcPr>
            <w:tcW w:w="675" w:type="dxa"/>
          </w:tcPr>
          <w:p w:rsidR="00920BB2" w:rsidRPr="00920BB2" w:rsidRDefault="00920BB2" w:rsidP="0092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20BB2" w:rsidRPr="00920BB2" w:rsidRDefault="00706510" w:rsidP="0092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920BB2" w:rsidRPr="00920BB2" w:rsidRDefault="00920BB2" w:rsidP="0092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0B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</w:tcPr>
          <w:p w:rsidR="00920BB2" w:rsidRPr="00EB21EA" w:rsidRDefault="00EB21EA" w:rsidP="00920BB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B21EA">
              <w:rPr>
                <w:rFonts w:ascii="Times New Roman" w:hAnsi="Times New Roman"/>
                <w:sz w:val="28"/>
                <w:szCs w:val="28"/>
              </w:rPr>
              <w:t>навеска стандартного образца для микроанализа, мг</w:t>
            </w:r>
            <w:r w:rsidR="00920BB2" w:rsidRPr="00EB21E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20BB2" w:rsidRPr="00920BB2" w:rsidTr="00776905">
        <w:tc>
          <w:tcPr>
            <w:tcW w:w="675" w:type="dxa"/>
          </w:tcPr>
          <w:p w:rsidR="00920BB2" w:rsidRPr="00920BB2" w:rsidRDefault="00920BB2" w:rsidP="0092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20BB2" w:rsidRPr="00920BB2" w:rsidRDefault="00706510" w:rsidP="0092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920BB2" w:rsidRPr="00920BB2" w:rsidRDefault="00920BB2" w:rsidP="0092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BB2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8" w:type="dxa"/>
            <w:gridSpan w:val="2"/>
          </w:tcPr>
          <w:p w:rsidR="00920BB2" w:rsidRPr="00EB21EA" w:rsidRDefault="00EB21EA" w:rsidP="00920BB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B21EA">
              <w:rPr>
                <w:rFonts w:ascii="Times New Roman" w:eastAsiaTheme="minorHAnsi" w:hAnsi="Times New Roman"/>
                <w:position w:val="-8"/>
                <w:sz w:val="28"/>
                <w:szCs w:val="28"/>
              </w:rPr>
              <w:t>площадь пика на хроматограмме стандартного образца;</w:t>
            </w:r>
          </w:p>
        </w:tc>
      </w:tr>
      <w:tr w:rsidR="00EB21EA" w:rsidRPr="00920BB2" w:rsidTr="00776905">
        <w:tc>
          <w:tcPr>
            <w:tcW w:w="675" w:type="dxa"/>
          </w:tcPr>
          <w:p w:rsidR="00EB21EA" w:rsidRPr="00920BB2" w:rsidRDefault="00EB21EA" w:rsidP="0092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B21EA" w:rsidRPr="00920BB2" w:rsidRDefault="00706510" w:rsidP="00920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EB21EA" w:rsidRPr="00920BB2" w:rsidRDefault="00EB21EA" w:rsidP="00920B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BB2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8" w:type="dxa"/>
            <w:gridSpan w:val="2"/>
          </w:tcPr>
          <w:p w:rsidR="00EB21EA" w:rsidRPr="00EB21EA" w:rsidRDefault="00EB21EA" w:rsidP="00920BB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B21EA">
              <w:rPr>
                <w:rFonts w:ascii="Times New Roman" w:hAnsi="Times New Roman"/>
                <w:sz w:val="28"/>
                <w:szCs w:val="28"/>
              </w:rPr>
              <w:t>площадь пика на хроматограмме контрольного образца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F4DD1" w:rsidRPr="009012FC" w:rsidRDefault="00994BA1" w:rsidP="001D17D1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CD1">
        <w:rPr>
          <w:rFonts w:ascii="Times New Roman" w:hAnsi="Times New Roman"/>
          <w:sz w:val="28"/>
          <w:szCs w:val="28"/>
        </w:rPr>
        <w:t xml:space="preserve">Содержание определяемого элемента в испытуемом образце </w:t>
      </w:r>
      <w:r w:rsidR="00F2529F" w:rsidRPr="009012FC">
        <w:rPr>
          <w:rFonts w:ascii="Times New Roman" w:hAnsi="Times New Roman"/>
          <w:sz w:val="28"/>
          <w:szCs w:val="28"/>
        </w:rPr>
        <w:t xml:space="preserve">действующего вещества </w:t>
      </w:r>
      <w:r w:rsidRPr="009012FC">
        <w:rPr>
          <w:rFonts w:ascii="Times New Roman" w:hAnsi="Times New Roman"/>
          <w:sz w:val="28"/>
          <w:szCs w:val="28"/>
        </w:rPr>
        <w:t>(субстанции) в процентах (</w:t>
      </w:r>
      <w:r w:rsidRPr="009012FC">
        <w:rPr>
          <w:rFonts w:ascii="Cambria Math" w:hAnsi="Cambria Math"/>
          <w:iCs/>
          <w:sz w:val="28"/>
          <w:szCs w:val="28"/>
        </w:rPr>
        <w:t>Х</w:t>
      </w:r>
      <w:r w:rsidRPr="009012FC">
        <w:rPr>
          <w:rFonts w:ascii="Cambria Math" w:hAnsi="Cambria Math"/>
          <w:position w:val="-8"/>
          <w:sz w:val="28"/>
          <w:szCs w:val="28"/>
          <w:vertAlign w:val="subscript"/>
        </w:rPr>
        <w:t>э</w:t>
      </w:r>
      <w:r w:rsidRPr="009012FC">
        <w:rPr>
          <w:rFonts w:ascii="Times New Roman" w:hAnsi="Times New Roman"/>
          <w:sz w:val="28"/>
          <w:szCs w:val="28"/>
        </w:rPr>
        <w:t xml:space="preserve">) автоматически </w:t>
      </w:r>
      <w:r w:rsidR="00F2529F" w:rsidRPr="009012FC">
        <w:rPr>
          <w:rFonts w:ascii="Times New Roman" w:hAnsi="Times New Roman"/>
          <w:sz w:val="28"/>
          <w:szCs w:val="28"/>
        </w:rPr>
        <w:t xml:space="preserve">вычисляют </w:t>
      </w:r>
      <w:r w:rsidRPr="009012FC">
        <w:rPr>
          <w:rFonts w:ascii="Times New Roman" w:hAnsi="Times New Roman"/>
          <w:sz w:val="28"/>
          <w:szCs w:val="28"/>
        </w:rPr>
        <w:t>по формуле:</w:t>
      </w:r>
    </w:p>
    <w:tbl>
      <w:tblPr>
        <w:tblStyle w:val="ab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283"/>
        <w:gridCol w:w="7161"/>
        <w:gridCol w:w="1026"/>
      </w:tblGrid>
      <w:tr w:rsidR="001D6EC5" w:rsidTr="00F46CB3">
        <w:trPr>
          <w:trHeight w:val="787"/>
          <w:jc w:val="center"/>
        </w:trPr>
        <w:tc>
          <w:tcPr>
            <w:tcW w:w="8545" w:type="dxa"/>
            <w:gridSpan w:val="4"/>
          </w:tcPr>
          <w:p w:rsidR="001D6EC5" w:rsidRDefault="00706510" w:rsidP="009012FC">
            <w:pPr>
              <w:jc w:val="center"/>
              <w:rPr>
                <w:rFonts w:ascii="Times New Roman" w:hAnsi="Times New Roman"/>
                <w:bCs/>
                <w:spacing w:val="-5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э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–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κ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)·</m:t>
                    </m:r>
                    <m:r>
                      <w:rPr>
                        <w:rFonts w:ascii="Cambria Math" w:hAnsi="Cambria Math" w:cs="Cambria Math"/>
                        <w:szCs w:val="28"/>
                      </w:rPr>
                      <m:t xml:space="preserve"> </m:t>
                    </m:r>
                    <m:r>
                      <w:rPr>
                        <w:rFonts w:ascii="Cambria Math" w:eastAsiaTheme="minorHAnsi" w:hAnsi="Cambria Math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·</m:t>
                    </m:r>
                    <m:r>
                      <w:rPr>
                        <w:rFonts w:ascii="Cambria Math" w:hAnsi="Cambria Math"/>
                        <w:szCs w:val="28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,</m:t>
                </m:r>
              </m:oMath>
            </m:oMathPara>
          </w:p>
        </w:tc>
        <w:tc>
          <w:tcPr>
            <w:tcW w:w="1026" w:type="dxa"/>
          </w:tcPr>
          <w:p w:rsidR="001D6EC5" w:rsidRDefault="001D6EC5" w:rsidP="001D6EC5">
            <w:pPr>
              <w:jc w:val="right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920BB2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920BB2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1D6EC5" w:rsidRPr="00160144" w:rsidTr="00F46C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1D6EC5" w:rsidRDefault="00776905" w:rsidP="00EF4DD1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где</w:t>
            </w:r>
          </w:p>
        </w:tc>
        <w:tc>
          <w:tcPr>
            <w:tcW w:w="426" w:type="dxa"/>
          </w:tcPr>
          <w:p w:rsidR="001D6EC5" w:rsidRDefault="001D6EC5" w:rsidP="00EF4DD1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="Cambria Math" w:hAnsi="Cambria Math"/>
                <w:bCs/>
                <w:i/>
                <w:color w:val="auto"/>
                <w:spacing w:val="-5"/>
                <w:sz w:val="22"/>
                <w:szCs w:val="28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  <w:lang w:val="en-US"/>
                  </w:rPr>
                  <m:t>S</m:t>
                </m:r>
              </m:oMath>
            </m:oMathPara>
          </w:p>
        </w:tc>
        <w:tc>
          <w:tcPr>
            <w:tcW w:w="283" w:type="dxa"/>
          </w:tcPr>
          <w:p w:rsidR="001D6EC5" w:rsidRDefault="001D6EC5" w:rsidP="00EF4DD1">
            <w:pPr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 w:rsidRPr="006B129A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7161" w:type="dxa"/>
          </w:tcPr>
          <w:p w:rsidR="001D6EC5" w:rsidRDefault="001D6EC5" w:rsidP="00EF4DD1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color w:val="auto"/>
                <w:sz w:val="22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</w:rPr>
              <w:t>площадь пика на хроматограмме испытуемого образца</w:t>
            </w:r>
            <w:r>
              <w:rPr>
                <w:rFonts w:ascii="Times New Roman" w:eastAsia="Times New Roman" w:hAnsi="Times New Roman"/>
                <w:color w:val="auto"/>
                <w:szCs w:val="28"/>
              </w:rPr>
              <w:t>;</w:t>
            </w:r>
          </w:p>
        </w:tc>
        <w:tc>
          <w:tcPr>
            <w:tcW w:w="1026" w:type="dxa"/>
          </w:tcPr>
          <w:p w:rsidR="001D6EC5" w:rsidRDefault="001D6EC5" w:rsidP="00EF4DD1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szCs w:val="28"/>
              </w:rPr>
            </w:pPr>
          </w:p>
        </w:tc>
      </w:tr>
      <w:tr w:rsidR="001D6EC5" w:rsidRPr="00160144" w:rsidTr="00F46C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1D6EC5" w:rsidRDefault="001D6EC5" w:rsidP="00EF4DD1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1D6EC5" w:rsidRDefault="001D6EC5" w:rsidP="00EF4DD1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="Cambria Math" w:hAnsi="Cambria Math"/>
                <w:bCs/>
                <w:i/>
                <w:color w:val="auto"/>
                <w:spacing w:val="-5"/>
                <w:sz w:val="22"/>
                <w:szCs w:val="28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a</m:t>
                </m:r>
              </m:oMath>
            </m:oMathPara>
          </w:p>
        </w:tc>
        <w:tc>
          <w:tcPr>
            <w:tcW w:w="283" w:type="dxa"/>
          </w:tcPr>
          <w:p w:rsidR="001D6EC5" w:rsidRDefault="001D6EC5" w:rsidP="00EF4DD1">
            <w:pPr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 w:rsidRPr="00EA3D19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7161" w:type="dxa"/>
          </w:tcPr>
          <w:p w:rsidR="001D6EC5" w:rsidRDefault="001D6EC5" w:rsidP="001D6EC5">
            <w:pPr>
              <w:pStyle w:val="Default"/>
              <w:spacing w:after="120"/>
              <w:rPr>
                <w:color w:val="auto"/>
                <w:szCs w:val="28"/>
                <w:lang w:eastAsia="en-US"/>
              </w:rPr>
            </w:pPr>
            <w:r w:rsidRPr="00EA3D19">
              <w:rPr>
                <w:rFonts w:eastAsiaTheme="minorHAnsi"/>
                <w:position w:val="-8"/>
                <w:sz w:val="28"/>
                <w:szCs w:val="28"/>
              </w:rPr>
              <w:t xml:space="preserve">навеска </w:t>
            </w:r>
            <w:r w:rsidR="00855D2E">
              <w:rPr>
                <w:rFonts w:eastAsiaTheme="minorHAnsi"/>
                <w:position w:val="-8"/>
                <w:sz w:val="28"/>
                <w:szCs w:val="28"/>
              </w:rPr>
              <w:t xml:space="preserve">фармацевтической </w:t>
            </w:r>
            <w:r>
              <w:rPr>
                <w:rFonts w:eastAsiaTheme="minorHAnsi"/>
                <w:position w:val="-8"/>
                <w:sz w:val="28"/>
                <w:szCs w:val="28"/>
              </w:rPr>
              <w:t>субстанции</w:t>
            </w:r>
            <w:r w:rsidRPr="00EA3D19">
              <w:rPr>
                <w:rFonts w:eastAsiaTheme="minorHAnsi"/>
                <w:position w:val="-8"/>
                <w:sz w:val="28"/>
                <w:szCs w:val="28"/>
              </w:rPr>
              <w:t xml:space="preserve"> (в пересч</w:t>
            </w:r>
            <w:r>
              <w:rPr>
                <w:rFonts w:eastAsiaTheme="minorHAnsi"/>
                <w:position w:val="-8"/>
                <w:sz w:val="28"/>
                <w:szCs w:val="28"/>
              </w:rPr>
              <w:t>ё</w:t>
            </w:r>
            <w:r w:rsidRPr="00EA3D19">
              <w:rPr>
                <w:rFonts w:eastAsiaTheme="minorHAnsi"/>
                <w:position w:val="-8"/>
                <w:sz w:val="28"/>
                <w:szCs w:val="28"/>
              </w:rPr>
              <w:t>те на сухое или безводное вещество), мг</w:t>
            </w:r>
            <w:r>
              <w:rPr>
                <w:rFonts w:eastAsiaTheme="minorHAnsi"/>
                <w:position w:val="-8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6EC5" w:rsidRDefault="001D6EC5" w:rsidP="001D6EC5">
            <w:pPr>
              <w:pStyle w:val="Default"/>
              <w:spacing w:after="120"/>
              <w:rPr>
                <w:color w:val="auto"/>
                <w:szCs w:val="28"/>
              </w:rPr>
            </w:pPr>
          </w:p>
        </w:tc>
      </w:tr>
    </w:tbl>
    <w:p w:rsidR="00EF4DD1" w:rsidRPr="001D6EC5" w:rsidRDefault="00994BA1" w:rsidP="001D17D1">
      <w:pPr>
        <w:spacing w:before="120"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D6EC5">
        <w:rPr>
          <w:rFonts w:ascii="Times New Roman" w:eastAsiaTheme="minorHAnsi" w:hAnsi="Times New Roman"/>
          <w:color w:val="000000"/>
          <w:sz w:val="28"/>
          <w:szCs w:val="28"/>
        </w:rPr>
        <w:t xml:space="preserve">Содержание </w:t>
      </w:r>
      <w:r w:rsidR="00F2529F" w:rsidRPr="001D6EC5">
        <w:rPr>
          <w:rFonts w:ascii="Times New Roman" w:hAnsi="Times New Roman"/>
          <w:sz w:val="28"/>
          <w:szCs w:val="28"/>
        </w:rPr>
        <w:t xml:space="preserve">действующего вещества </w:t>
      </w:r>
      <w:r w:rsidRPr="001D6EC5">
        <w:rPr>
          <w:rFonts w:ascii="Times New Roman" w:eastAsiaTheme="minorHAnsi" w:hAnsi="Times New Roman"/>
          <w:color w:val="000000"/>
          <w:sz w:val="28"/>
          <w:szCs w:val="28"/>
        </w:rPr>
        <w:t>в субстанции в процентах (</w:t>
      </w:r>
      <w:r w:rsidRPr="001D6EC5">
        <w:rPr>
          <w:rFonts w:ascii="Cambria Math" w:eastAsiaTheme="minorHAnsi" w:hAnsi="Cambria Math"/>
          <w:iCs/>
          <w:color w:val="000000"/>
          <w:sz w:val="28"/>
          <w:szCs w:val="28"/>
        </w:rPr>
        <w:t>Х</w:t>
      </w:r>
      <w:r w:rsidRPr="001D6EC5">
        <w:rPr>
          <w:rFonts w:ascii="Times New Roman" w:eastAsiaTheme="minorHAnsi" w:hAnsi="Times New Roman"/>
          <w:color w:val="000000"/>
          <w:sz w:val="28"/>
          <w:szCs w:val="28"/>
        </w:rPr>
        <w:t>) вычисляют по формуле: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55"/>
        <w:gridCol w:w="741"/>
        <w:gridCol w:w="369"/>
        <w:gridCol w:w="6884"/>
        <w:gridCol w:w="990"/>
      </w:tblGrid>
      <w:tr w:rsidR="00776905" w:rsidTr="00F46CB3">
        <w:trPr>
          <w:trHeight w:val="896"/>
          <w:jc w:val="center"/>
        </w:trPr>
        <w:tc>
          <w:tcPr>
            <w:tcW w:w="8647" w:type="dxa"/>
            <w:gridSpan w:val="4"/>
          </w:tcPr>
          <w:p w:rsidR="00776905" w:rsidRDefault="00F46CB3" w:rsidP="00F46CB3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Cs w:val="28"/>
                          </w:rPr>
                          <m:t>э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·M.</m:t>
                    </m:r>
                    <m:r>
                      <w:rPr>
                        <w:rFonts w:ascii="Cambria Math" w:hAnsi="Cambria Math"/>
                        <w:szCs w:val="28"/>
                      </w:rPr>
                      <m:t>м.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А.</m:t>
                    </m:r>
                    <m:r>
                      <w:rPr>
                        <w:rFonts w:ascii="Cambria Math" w:hAnsi="Cambria Math"/>
                        <w:szCs w:val="28"/>
                      </w:rPr>
                      <m:t>м.·</m: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,</m:t>
                </m:r>
              </m:oMath>
            </m:oMathPara>
          </w:p>
        </w:tc>
        <w:tc>
          <w:tcPr>
            <w:tcW w:w="992" w:type="dxa"/>
          </w:tcPr>
          <w:p w:rsidR="00776905" w:rsidRDefault="00776905" w:rsidP="00776905">
            <w:pPr>
              <w:jc w:val="right"/>
              <w:rPr>
                <w:rFonts w:ascii="Times New Roman" w:hAnsi="Times New Roman"/>
                <w:iCs/>
                <w:szCs w:val="28"/>
              </w:rPr>
            </w:pPr>
            <w:r w:rsidRPr="00920BB2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920BB2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776905" w:rsidRPr="00DA10FD" w:rsidTr="00F46C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5" w:type="dxa"/>
          </w:tcPr>
          <w:p w:rsidR="00776905" w:rsidRDefault="00776905" w:rsidP="00EF4DD1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где</w:t>
            </w:r>
          </w:p>
        </w:tc>
        <w:tc>
          <w:tcPr>
            <w:tcW w:w="718" w:type="dxa"/>
          </w:tcPr>
          <w:p w:rsidR="00776905" w:rsidRDefault="00F46CB3" w:rsidP="00EF4DD1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="Cambria Math" w:hAnsi="Cambria Math"/>
                <w:bCs/>
                <w:i/>
                <w:color w:val="auto"/>
                <w:spacing w:val="-5"/>
                <w:sz w:val="22"/>
                <w:szCs w:val="28"/>
                <w:lang w:val="en-US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M.</m:t>
                </m:r>
                <m:r>
                  <w:rPr>
                    <w:rFonts w:ascii="Cambria Math" w:hAnsi="Cambria Math"/>
                    <w:szCs w:val="28"/>
                  </w:rPr>
                  <m:t>м</m:t>
                </m:r>
              </m:oMath>
            </m:oMathPara>
          </w:p>
        </w:tc>
        <w:tc>
          <w:tcPr>
            <w:tcW w:w="369" w:type="dxa"/>
          </w:tcPr>
          <w:p w:rsidR="00776905" w:rsidRDefault="00776905" w:rsidP="00EF4DD1">
            <w:pPr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 w:rsidRPr="00D33532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6905" w:type="dxa"/>
          </w:tcPr>
          <w:p w:rsidR="00776905" w:rsidRDefault="00855D2E" w:rsidP="00855D2E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color w:val="auto"/>
                <w:sz w:val="22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</w:rPr>
              <w:t>молекулярная масса фармацевтической субстанции</w:t>
            </w:r>
            <w:r w:rsidR="00776905" w:rsidRPr="00D33532">
              <w:rPr>
                <w:rFonts w:ascii="Times New Roman" w:eastAsiaTheme="minorHAnsi" w:hAnsi="Times New Roman"/>
                <w:szCs w:val="28"/>
              </w:rPr>
              <w:t>;</w:t>
            </w:r>
          </w:p>
        </w:tc>
        <w:tc>
          <w:tcPr>
            <w:tcW w:w="992" w:type="dxa"/>
          </w:tcPr>
          <w:p w:rsidR="00776905" w:rsidRDefault="00776905" w:rsidP="00776905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szCs w:val="28"/>
              </w:rPr>
            </w:pPr>
          </w:p>
        </w:tc>
      </w:tr>
      <w:tr w:rsidR="00776905" w:rsidRPr="00DA10FD" w:rsidTr="00F46C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5" w:type="dxa"/>
          </w:tcPr>
          <w:p w:rsidR="00776905" w:rsidRDefault="00776905" w:rsidP="00EF4DD1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</w:p>
        </w:tc>
        <w:tc>
          <w:tcPr>
            <w:tcW w:w="718" w:type="dxa"/>
          </w:tcPr>
          <w:p w:rsidR="00776905" w:rsidRDefault="00F46CB3" w:rsidP="00EF4DD1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color w:val="auto"/>
                <w:spacing w:val="-5"/>
                <w:sz w:val="22"/>
                <w:szCs w:val="28"/>
                <w:lang w:val="en-US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А.</m:t>
                </m:r>
                <m:r>
                  <w:rPr>
                    <w:rFonts w:ascii="Cambria Math" w:hAnsi="Cambria Math"/>
                    <w:szCs w:val="28"/>
                  </w:rPr>
                  <m:t>м.</m:t>
                </m:r>
              </m:oMath>
            </m:oMathPara>
          </w:p>
        </w:tc>
        <w:tc>
          <w:tcPr>
            <w:tcW w:w="369" w:type="dxa"/>
          </w:tcPr>
          <w:p w:rsidR="00776905" w:rsidRDefault="00776905" w:rsidP="00EF4DD1">
            <w:pPr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 w:rsidRPr="00D33532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6905" w:type="dxa"/>
          </w:tcPr>
          <w:p w:rsidR="00776905" w:rsidRDefault="00776905" w:rsidP="00EF4DD1">
            <w:pPr>
              <w:pStyle w:val="Default"/>
              <w:spacing w:after="120"/>
              <w:rPr>
                <w:color w:val="auto"/>
                <w:szCs w:val="28"/>
                <w:lang w:eastAsia="en-US"/>
              </w:rPr>
            </w:pPr>
            <w:r w:rsidRPr="00D33532">
              <w:rPr>
                <w:rFonts w:eastAsiaTheme="minorHAnsi"/>
                <w:position w:val="-8"/>
                <w:sz w:val="28"/>
                <w:szCs w:val="28"/>
              </w:rPr>
              <w:t>атомная масса определяемого элемента;</w:t>
            </w:r>
          </w:p>
        </w:tc>
        <w:tc>
          <w:tcPr>
            <w:tcW w:w="992" w:type="dxa"/>
          </w:tcPr>
          <w:p w:rsidR="00776905" w:rsidRDefault="00776905" w:rsidP="00776905">
            <w:pPr>
              <w:pStyle w:val="Default"/>
              <w:spacing w:after="120"/>
              <w:rPr>
                <w:color w:val="auto"/>
                <w:szCs w:val="28"/>
              </w:rPr>
            </w:pPr>
          </w:p>
        </w:tc>
      </w:tr>
      <w:tr w:rsidR="00776905" w:rsidRPr="00160144" w:rsidTr="00F46C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55" w:type="dxa"/>
          </w:tcPr>
          <w:p w:rsidR="00776905" w:rsidRDefault="00776905" w:rsidP="00EF4DD1">
            <w:pPr>
              <w:tabs>
                <w:tab w:val="left" w:pos="-180"/>
              </w:tabs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</w:p>
        </w:tc>
        <w:tc>
          <w:tcPr>
            <w:tcW w:w="718" w:type="dxa"/>
          </w:tcPr>
          <w:p w:rsidR="00776905" w:rsidRDefault="00776905" w:rsidP="00EF4DD1">
            <w:pPr>
              <w:tabs>
                <w:tab w:val="left" w:pos="-180"/>
              </w:tabs>
              <w:spacing w:after="120" w:line="240" w:lineRule="auto"/>
              <w:jc w:val="center"/>
              <w:rPr>
                <w:rFonts w:ascii="Cambria Math" w:hAnsi="Cambria Math"/>
                <w:bCs/>
                <w:i/>
                <w:color w:val="auto"/>
                <w:spacing w:val="-5"/>
                <w:sz w:val="22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n</m:t>
                </m:r>
              </m:oMath>
            </m:oMathPara>
          </w:p>
        </w:tc>
        <w:tc>
          <w:tcPr>
            <w:tcW w:w="369" w:type="dxa"/>
          </w:tcPr>
          <w:p w:rsidR="00776905" w:rsidRDefault="00776905" w:rsidP="00EF4DD1">
            <w:pPr>
              <w:spacing w:after="120" w:line="240" w:lineRule="auto"/>
              <w:rPr>
                <w:rFonts w:ascii="Times New Roman" w:hAnsi="Times New Roman"/>
                <w:bCs/>
                <w:color w:val="auto"/>
                <w:spacing w:val="-5"/>
                <w:sz w:val="22"/>
                <w:szCs w:val="28"/>
                <w:lang w:eastAsia="en-US"/>
              </w:rPr>
            </w:pPr>
            <w:r w:rsidRPr="006B129A">
              <w:rPr>
                <w:rFonts w:ascii="Times New Roman" w:hAnsi="Times New Roman"/>
                <w:bCs/>
                <w:color w:val="auto"/>
                <w:spacing w:val="-5"/>
                <w:szCs w:val="28"/>
              </w:rPr>
              <w:t>−</w:t>
            </w:r>
          </w:p>
        </w:tc>
        <w:tc>
          <w:tcPr>
            <w:tcW w:w="6905" w:type="dxa"/>
          </w:tcPr>
          <w:p w:rsidR="00776905" w:rsidRDefault="00776905" w:rsidP="00855D2E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color w:val="auto"/>
                <w:sz w:val="22"/>
                <w:szCs w:val="28"/>
                <w:lang w:eastAsia="en-US"/>
              </w:rPr>
            </w:pPr>
            <w:r w:rsidRPr="006F15BA">
              <w:rPr>
                <w:rFonts w:ascii="Times New Roman" w:hAnsi="Times New Roman"/>
                <w:szCs w:val="28"/>
              </w:rPr>
              <w:t xml:space="preserve">число атомов определяемого элемента в молекуле </w:t>
            </w:r>
            <w:r w:rsidR="00855D2E">
              <w:rPr>
                <w:rFonts w:ascii="Times New Roman" w:hAnsi="Times New Roman"/>
                <w:szCs w:val="28"/>
              </w:rPr>
              <w:t>фармацевтической субстанции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776905" w:rsidRDefault="00776905">
            <w:pPr>
              <w:rPr>
                <w:rFonts w:ascii="Times New Roman" w:hAnsi="Times New Roman"/>
                <w:szCs w:val="28"/>
              </w:rPr>
            </w:pPr>
          </w:p>
          <w:p w:rsidR="00776905" w:rsidRDefault="00776905" w:rsidP="00776905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szCs w:val="28"/>
              </w:rPr>
            </w:pPr>
          </w:p>
        </w:tc>
      </w:tr>
    </w:tbl>
    <w:p w:rsidR="001D17D1" w:rsidRDefault="001D17D1" w:rsidP="001D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F4DD1" w:rsidRDefault="00C76C15" w:rsidP="001D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*</w:t>
      </w:r>
      <w:r w:rsidR="00994BA1"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Навеску </w:t>
      </w:r>
      <w:r w:rsidR="00F46CB3">
        <w:rPr>
          <w:rFonts w:ascii="Times New Roman" w:eastAsiaTheme="minorHAnsi" w:hAnsi="Times New Roman"/>
          <w:color w:val="000000"/>
          <w:sz w:val="28"/>
          <w:szCs w:val="28"/>
        </w:rPr>
        <w:t>испытуем</w:t>
      </w:r>
      <w:r w:rsidR="00855D2E">
        <w:rPr>
          <w:rFonts w:ascii="Times New Roman" w:eastAsiaTheme="minorHAnsi" w:hAnsi="Times New Roman"/>
          <w:color w:val="000000"/>
          <w:sz w:val="28"/>
          <w:szCs w:val="28"/>
        </w:rPr>
        <w:t>ой фармацевтической субстанции</w:t>
      </w:r>
      <w:r w:rsidR="00994BA1" w:rsidRPr="00994BA1">
        <w:rPr>
          <w:rFonts w:ascii="Times New Roman" w:eastAsiaTheme="minorHAnsi" w:hAnsi="Times New Roman"/>
          <w:color w:val="000000"/>
          <w:sz w:val="28"/>
          <w:szCs w:val="28"/>
        </w:rPr>
        <w:t xml:space="preserve"> выбирают такой, чтобы количество определяемого элемента, образовавшееся в результате сжигания навески испытуемого образца, было близко к количеству, образующемуся при сжигании навески стандартного образца. </w:t>
      </w:r>
    </w:p>
    <w:sectPr w:rsidR="00EF4DD1" w:rsidSect="00212928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78" w:rsidRDefault="00CA4D78" w:rsidP="005D589B">
      <w:pPr>
        <w:spacing w:after="0" w:line="240" w:lineRule="auto"/>
      </w:pPr>
      <w:r>
        <w:separator/>
      </w:r>
    </w:p>
  </w:endnote>
  <w:endnote w:type="continuationSeparator" w:id="0">
    <w:p w:rsidR="00CA4D78" w:rsidRDefault="00CA4D78" w:rsidP="005D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78" w:rsidRPr="00341DC8" w:rsidRDefault="00096A8B" w:rsidP="00994BA1">
    <w:pPr>
      <w:pStyle w:val="a5"/>
      <w:jc w:val="center"/>
      <w:rPr>
        <w:rFonts w:ascii="Times New Roman" w:hAnsi="Times New Roman"/>
        <w:sz w:val="28"/>
        <w:szCs w:val="28"/>
      </w:rPr>
    </w:pPr>
    <w:r w:rsidRPr="00341DC8">
      <w:rPr>
        <w:rFonts w:ascii="Times New Roman" w:hAnsi="Times New Roman"/>
        <w:sz w:val="28"/>
        <w:szCs w:val="28"/>
      </w:rPr>
      <w:fldChar w:fldCharType="begin"/>
    </w:r>
    <w:r w:rsidR="00CA4D78" w:rsidRPr="00341DC8">
      <w:rPr>
        <w:rFonts w:ascii="Times New Roman" w:hAnsi="Times New Roman"/>
        <w:sz w:val="28"/>
        <w:szCs w:val="28"/>
      </w:rPr>
      <w:instrText xml:space="preserve"> PAGE   \* MERGEFORMAT </w:instrText>
    </w:r>
    <w:r w:rsidRPr="00341DC8">
      <w:rPr>
        <w:rFonts w:ascii="Times New Roman" w:hAnsi="Times New Roman"/>
        <w:sz w:val="28"/>
        <w:szCs w:val="28"/>
      </w:rPr>
      <w:fldChar w:fldCharType="separate"/>
    </w:r>
    <w:r w:rsidR="00706510">
      <w:rPr>
        <w:rFonts w:ascii="Times New Roman" w:hAnsi="Times New Roman"/>
        <w:noProof/>
        <w:sz w:val="28"/>
        <w:szCs w:val="28"/>
      </w:rPr>
      <w:t>2</w:t>
    </w:r>
    <w:r w:rsidRPr="00341DC8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78" w:rsidRPr="00341DC8" w:rsidRDefault="00CA4D78" w:rsidP="00557EBE">
    <w:pPr>
      <w:pStyle w:val="a5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78" w:rsidRDefault="00CA4D78" w:rsidP="005D589B">
      <w:pPr>
        <w:spacing w:after="0" w:line="240" w:lineRule="auto"/>
      </w:pPr>
      <w:r>
        <w:separator/>
      </w:r>
    </w:p>
  </w:footnote>
  <w:footnote w:type="continuationSeparator" w:id="0">
    <w:p w:rsidR="00CA4D78" w:rsidRDefault="00CA4D78" w:rsidP="005D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78" w:rsidRPr="008C0DC8" w:rsidRDefault="00CA4D78" w:rsidP="006264D2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221"/>
    <w:rsid w:val="000009A7"/>
    <w:rsid w:val="0000105E"/>
    <w:rsid w:val="00001C4F"/>
    <w:rsid w:val="0000241D"/>
    <w:rsid w:val="00020338"/>
    <w:rsid w:val="00025C9D"/>
    <w:rsid w:val="00026A3B"/>
    <w:rsid w:val="00043636"/>
    <w:rsid w:val="00051247"/>
    <w:rsid w:val="00096A8B"/>
    <w:rsid w:val="000D11FB"/>
    <w:rsid w:val="000E6B34"/>
    <w:rsid w:val="000F3337"/>
    <w:rsid w:val="000F61A7"/>
    <w:rsid w:val="00101318"/>
    <w:rsid w:val="00112537"/>
    <w:rsid w:val="001269DB"/>
    <w:rsid w:val="00131F22"/>
    <w:rsid w:val="00133773"/>
    <w:rsid w:val="00142F57"/>
    <w:rsid w:val="0015173D"/>
    <w:rsid w:val="00160144"/>
    <w:rsid w:val="00164A70"/>
    <w:rsid w:val="00184D5F"/>
    <w:rsid w:val="001A1BBB"/>
    <w:rsid w:val="001A4FB4"/>
    <w:rsid w:val="001D17D1"/>
    <w:rsid w:val="001D2C92"/>
    <w:rsid w:val="001D6EC5"/>
    <w:rsid w:val="001E0C62"/>
    <w:rsid w:val="001F40CD"/>
    <w:rsid w:val="00212928"/>
    <w:rsid w:val="00234128"/>
    <w:rsid w:val="0023609B"/>
    <w:rsid w:val="00243F0F"/>
    <w:rsid w:val="00262814"/>
    <w:rsid w:val="00265F13"/>
    <w:rsid w:val="002A3164"/>
    <w:rsid w:val="002E5F8D"/>
    <w:rsid w:val="002F2C2A"/>
    <w:rsid w:val="002F5AAB"/>
    <w:rsid w:val="003003E5"/>
    <w:rsid w:val="003277A9"/>
    <w:rsid w:val="00333B6B"/>
    <w:rsid w:val="00342380"/>
    <w:rsid w:val="00344F0A"/>
    <w:rsid w:val="00356C9D"/>
    <w:rsid w:val="00364844"/>
    <w:rsid w:val="0036633F"/>
    <w:rsid w:val="00384140"/>
    <w:rsid w:val="00393F11"/>
    <w:rsid w:val="00397AC5"/>
    <w:rsid w:val="003A2E51"/>
    <w:rsid w:val="003A4362"/>
    <w:rsid w:val="003E1E67"/>
    <w:rsid w:val="0042542A"/>
    <w:rsid w:val="00426922"/>
    <w:rsid w:val="00426AF2"/>
    <w:rsid w:val="00427D62"/>
    <w:rsid w:val="0046559B"/>
    <w:rsid w:val="0047240F"/>
    <w:rsid w:val="004734F1"/>
    <w:rsid w:val="00473F29"/>
    <w:rsid w:val="00496593"/>
    <w:rsid w:val="004C08AB"/>
    <w:rsid w:val="004D02CF"/>
    <w:rsid w:val="004E46D7"/>
    <w:rsid w:val="004F2556"/>
    <w:rsid w:val="00502BD3"/>
    <w:rsid w:val="00525B71"/>
    <w:rsid w:val="005344D4"/>
    <w:rsid w:val="0054221F"/>
    <w:rsid w:val="00542715"/>
    <w:rsid w:val="00543364"/>
    <w:rsid w:val="005466FC"/>
    <w:rsid w:val="00557EBE"/>
    <w:rsid w:val="00566AE9"/>
    <w:rsid w:val="0057508F"/>
    <w:rsid w:val="00583C30"/>
    <w:rsid w:val="005D589B"/>
    <w:rsid w:val="00600EC5"/>
    <w:rsid w:val="0060584F"/>
    <w:rsid w:val="006264D2"/>
    <w:rsid w:val="00652BE7"/>
    <w:rsid w:val="00653893"/>
    <w:rsid w:val="00661CCB"/>
    <w:rsid w:val="00666BB9"/>
    <w:rsid w:val="006747AB"/>
    <w:rsid w:val="00687F2A"/>
    <w:rsid w:val="006B129A"/>
    <w:rsid w:val="006C29BB"/>
    <w:rsid w:val="006C3E7B"/>
    <w:rsid w:val="006E3ED9"/>
    <w:rsid w:val="006F15BA"/>
    <w:rsid w:val="00706510"/>
    <w:rsid w:val="0071305E"/>
    <w:rsid w:val="0071530A"/>
    <w:rsid w:val="00727C07"/>
    <w:rsid w:val="00745F6C"/>
    <w:rsid w:val="00774EEF"/>
    <w:rsid w:val="0077653E"/>
    <w:rsid w:val="00776905"/>
    <w:rsid w:val="00780A9A"/>
    <w:rsid w:val="00783D8C"/>
    <w:rsid w:val="007849E2"/>
    <w:rsid w:val="00790EBE"/>
    <w:rsid w:val="007B1AB4"/>
    <w:rsid w:val="007B35DB"/>
    <w:rsid w:val="007B6F08"/>
    <w:rsid w:val="007B71D2"/>
    <w:rsid w:val="007D25EA"/>
    <w:rsid w:val="007D4049"/>
    <w:rsid w:val="007E70C1"/>
    <w:rsid w:val="00827A1E"/>
    <w:rsid w:val="00836B49"/>
    <w:rsid w:val="00855D2E"/>
    <w:rsid w:val="00855DC9"/>
    <w:rsid w:val="008637BD"/>
    <w:rsid w:val="00882AA6"/>
    <w:rsid w:val="008849EF"/>
    <w:rsid w:val="008C0DC8"/>
    <w:rsid w:val="008C21C5"/>
    <w:rsid w:val="008C3695"/>
    <w:rsid w:val="009012FC"/>
    <w:rsid w:val="009105F3"/>
    <w:rsid w:val="009170A9"/>
    <w:rsid w:val="00920BB2"/>
    <w:rsid w:val="009246E4"/>
    <w:rsid w:val="00932221"/>
    <w:rsid w:val="009403E1"/>
    <w:rsid w:val="009466E3"/>
    <w:rsid w:val="00952E37"/>
    <w:rsid w:val="00953DBD"/>
    <w:rsid w:val="00955EB3"/>
    <w:rsid w:val="0096543A"/>
    <w:rsid w:val="00970414"/>
    <w:rsid w:val="00994BA1"/>
    <w:rsid w:val="009B099A"/>
    <w:rsid w:val="009E2160"/>
    <w:rsid w:val="00A15161"/>
    <w:rsid w:val="00A17099"/>
    <w:rsid w:val="00A24826"/>
    <w:rsid w:val="00A46989"/>
    <w:rsid w:val="00A60A02"/>
    <w:rsid w:val="00A63F2A"/>
    <w:rsid w:val="00A67CD1"/>
    <w:rsid w:val="00A7301B"/>
    <w:rsid w:val="00A76DF4"/>
    <w:rsid w:val="00A9310A"/>
    <w:rsid w:val="00AA40AC"/>
    <w:rsid w:val="00AB119A"/>
    <w:rsid w:val="00AB3B99"/>
    <w:rsid w:val="00AF56B2"/>
    <w:rsid w:val="00B16E32"/>
    <w:rsid w:val="00B42462"/>
    <w:rsid w:val="00B65987"/>
    <w:rsid w:val="00B812F5"/>
    <w:rsid w:val="00B81C40"/>
    <w:rsid w:val="00BD46CE"/>
    <w:rsid w:val="00C01AEF"/>
    <w:rsid w:val="00C0202A"/>
    <w:rsid w:val="00C20F8F"/>
    <w:rsid w:val="00C3083C"/>
    <w:rsid w:val="00C47384"/>
    <w:rsid w:val="00C6057B"/>
    <w:rsid w:val="00C66BBC"/>
    <w:rsid w:val="00C73940"/>
    <w:rsid w:val="00C76C15"/>
    <w:rsid w:val="00C92A08"/>
    <w:rsid w:val="00C97228"/>
    <w:rsid w:val="00CA310F"/>
    <w:rsid w:val="00CA4D78"/>
    <w:rsid w:val="00CE11E6"/>
    <w:rsid w:val="00D14E82"/>
    <w:rsid w:val="00D30A59"/>
    <w:rsid w:val="00D33532"/>
    <w:rsid w:val="00D47C7C"/>
    <w:rsid w:val="00D61312"/>
    <w:rsid w:val="00D71F35"/>
    <w:rsid w:val="00D93A32"/>
    <w:rsid w:val="00D9555F"/>
    <w:rsid w:val="00DA0FC6"/>
    <w:rsid w:val="00DA10FD"/>
    <w:rsid w:val="00DA7A0F"/>
    <w:rsid w:val="00DB3ADA"/>
    <w:rsid w:val="00DC062A"/>
    <w:rsid w:val="00DF6B47"/>
    <w:rsid w:val="00E00557"/>
    <w:rsid w:val="00E0576E"/>
    <w:rsid w:val="00E403EF"/>
    <w:rsid w:val="00E43CC0"/>
    <w:rsid w:val="00E90B06"/>
    <w:rsid w:val="00EA3D19"/>
    <w:rsid w:val="00EA57A4"/>
    <w:rsid w:val="00EB21EA"/>
    <w:rsid w:val="00EB3ED1"/>
    <w:rsid w:val="00EB47E8"/>
    <w:rsid w:val="00EE1488"/>
    <w:rsid w:val="00EF4940"/>
    <w:rsid w:val="00EF4DD1"/>
    <w:rsid w:val="00F0779D"/>
    <w:rsid w:val="00F10993"/>
    <w:rsid w:val="00F10C46"/>
    <w:rsid w:val="00F24A46"/>
    <w:rsid w:val="00F2529F"/>
    <w:rsid w:val="00F25B2B"/>
    <w:rsid w:val="00F32C1A"/>
    <w:rsid w:val="00F330A3"/>
    <w:rsid w:val="00F33ECE"/>
    <w:rsid w:val="00F45E85"/>
    <w:rsid w:val="00F46CB3"/>
    <w:rsid w:val="00F8048D"/>
    <w:rsid w:val="00F83E36"/>
    <w:rsid w:val="00FB64C5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D244D18-165D-482C-AF23-E56D1371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D46CE"/>
    <w:pPr>
      <w:keepNext/>
      <w:spacing w:after="0" w:line="240" w:lineRule="auto"/>
      <w:ind w:firstLine="1080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22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3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221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932221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222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Default">
    <w:name w:val="Default"/>
    <w:rsid w:val="00932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221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rsid w:val="00160144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46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00105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010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0105E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10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0105E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0E6B3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265F13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59"/>
    <w:rsid w:val="00920B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36DAF-3781-4432-AC0B-A20A1E79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Болобан Екатерина Александровна</cp:lastModifiedBy>
  <cp:revision>21</cp:revision>
  <cp:lastPrinted>2021-12-21T09:00:00Z</cp:lastPrinted>
  <dcterms:created xsi:type="dcterms:W3CDTF">2022-05-16T05:20:00Z</dcterms:created>
  <dcterms:modified xsi:type="dcterms:W3CDTF">2023-07-11T08:39:00Z</dcterms:modified>
</cp:coreProperties>
</file>