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5B" w:rsidRPr="00A0442D" w:rsidRDefault="003B7C5B" w:rsidP="003B7C5B">
      <w:pPr>
        <w:pStyle w:val="a5"/>
        <w:spacing w:line="360" w:lineRule="auto"/>
        <w:jc w:val="center"/>
        <w:rPr>
          <w:b/>
          <w:color w:val="000000"/>
          <w:spacing w:val="-10"/>
          <w:sz w:val="28"/>
          <w:szCs w:val="28"/>
        </w:rPr>
      </w:pPr>
      <w:r w:rsidRPr="00A0442D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3B7C5B" w:rsidRPr="00F604D6" w:rsidRDefault="003B7C5B" w:rsidP="003B7C5B">
      <w:pPr>
        <w:pStyle w:val="a5"/>
        <w:tabs>
          <w:tab w:val="left" w:pos="3828"/>
        </w:tabs>
        <w:spacing w:line="360" w:lineRule="auto"/>
        <w:jc w:val="center"/>
        <w:rPr>
          <w:b/>
          <w:color w:val="000000"/>
          <w:szCs w:val="28"/>
        </w:rPr>
      </w:pPr>
    </w:p>
    <w:p w:rsidR="003B7C5B" w:rsidRPr="00F604D6" w:rsidRDefault="003B7C5B" w:rsidP="003B7C5B">
      <w:pPr>
        <w:pStyle w:val="a5"/>
        <w:tabs>
          <w:tab w:val="left" w:pos="3828"/>
        </w:tabs>
        <w:spacing w:line="360" w:lineRule="auto"/>
        <w:jc w:val="center"/>
        <w:rPr>
          <w:b/>
          <w:color w:val="000000"/>
          <w:szCs w:val="28"/>
        </w:rPr>
      </w:pPr>
    </w:p>
    <w:p w:rsidR="003B7C5B" w:rsidRDefault="003B7C5B" w:rsidP="003B7C5B">
      <w:pPr>
        <w:pStyle w:val="a5"/>
        <w:tabs>
          <w:tab w:val="left" w:pos="3828"/>
        </w:tabs>
        <w:spacing w:line="360" w:lineRule="auto"/>
        <w:jc w:val="center"/>
        <w:rPr>
          <w:b/>
          <w:color w:val="000000"/>
          <w:szCs w:val="28"/>
        </w:rPr>
      </w:pPr>
    </w:p>
    <w:p w:rsidR="003B7C5B" w:rsidRPr="00231C17" w:rsidRDefault="003B7C5B" w:rsidP="003B7C5B">
      <w:pPr>
        <w:jc w:val="center"/>
        <w:rPr>
          <w:b/>
          <w:szCs w:val="28"/>
        </w:rPr>
      </w:pPr>
      <w:r w:rsidRPr="00231C17">
        <w:rPr>
          <w:b/>
          <w:sz w:val="32"/>
          <w:szCs w:val="32"/>
        </w:rPr>
        <w:t>ФАРМАКОПЕЙНАЯ СТАТЬЯ</w:t>
      </w:r>
    </w:p>
    <w:tbl>
      <w:tblPr>
        <w:tblpPr w:leftFromText="180" w:rightFromText="180" w:vertAnchor="text" w:horzAnchor="margin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2"/>
        <w:gridCol w:w="4021"/>
      </w:tblGrid>
      <w:tr w:rsidR="003B7C5B" w:rsidTr="003B7C5B">
        <w:trPr>
          <w:trHeight w:val="400"/>
        </w:trPr>
        <w:tc>
          <w:tcPr>
            <w:tcW w:w="5552" w:type="dxa"/>
            <w:tcBorders>
              <w:left w:val="nil"/>
              <w:bottom w:val="nil"/>
              <w:right w:val="nil"/>
            </w:tcBorders>
            <w:vAlign w:val="center"/>
          </w:tcPr>
          <w:p w:rsidR="003B7C5B" w:rsidRPr="0009532C" w:rsidRDefault="003B7C5B" w:rsidP="003B7C5B">
            <w:pPr>
              <w:pStyle w:val="Normal8521c79a-f413-4100-8384-5c4b20092be0"/>
              <w:rPr>
                <w:sz w:val="28"/>
                <w:szCs w:val="28"/>
                <w:lang w:val="ru-RU"/>
              </w:rPr>
            </w:pPr>
            <w:r w:rsidRPr="0009532C">
              <w:rPr>
                <w:b/>
                <w:sz w:val="28"/>
                <w:szCs w:val="28"/>
                <w:lang w:val="ru-RU"/>
              </w:rPr>
              <w:t xml:space="preserve">Кальция </w:t>
            </w:r>
            <w:proofErr w:type="spellStart"/>
            <w:r w:rsidRPr="0009532C">
              <w:rPr>
                <w:b/>
                <w:sz w:val="28"/>
                <w:szCs w:val="28"/>
                <w:lang w:val="ru-RU"/>
              </w:rPr>
              <w:t>пантотенат</w:t>
            </w:r>
            <w:proofErr w:type="spellEnd"/>
            <w:r w:rsidRPr="0009532C">
              <w:rPr>
                <w:b/>
                <w:sz w:val="28"/>
                <w:szCs w:val="28"/>
                <w:lang w:val="ru-RU"/>
              </w:rPr>
              <w:t xml:space="preserve"> + Кератин + пара - </w:t>
            </w:r>
            <w:proofErr w:type="spellStart"/>
            <w:r w:rsidRPr="0009532C">
              <w:rPr>
                <w:b/>
                <w:sz w:val="28"/>
                <w:szCs w:val="28"/>
                <w:lang w:val="ru-RU"/>
              </w:rPr>
              <w:t>Аминобензойная</w:t>
            </w:r>
            <w:proofErr w:type="spellEnd"/>
            <w:r w:rsidRPr="0009532C">
              <w:rPr>
                <w:b/>
                <w:sz w:val="28"/>
                <w:szCs w:val="28"/>
                <w:lang w:val="ru-RU"/>
              </w:rPr>
              <w:t xml:space="preserve"> кислота  + Тиамина </w:t>
            </w:r>
            <w:proofErr w:type="spellStart"/>
            <w:r w:rsidRPr="0009532C">
              <w:rPr>
                <w:b/>
                <w:sz w:val="28"/>
                <w:szCs w:val="28"/>
                <w:lang w:val="ru-RU"/>
              </w:rPr>
              <w:t>мононитрат</w:t>
            </w:r>
            <w:proofErr w:type="spellEnd"/>
            <w:r w:rsidRPr="0009532C">
              <w:rPr>
                <w:b/>
                <w:sz w:val="28"/>
                <w:szCs w:val="28"/>
                <w:lang w:val="ru-RU"/>
              </w:rPr>
              <w:t xml:space="preserve"> +</w:t>
            </w:r>
            <w:proofErr w:type="spellStart"/>
            <w:r w:rsidRPr="0009532C">
              <w:rPr>
                <w:b/>
                <w:sz w:val="28"/>
                <w:szCs w:val="28"/>
                <w:lang w:val="ru-RU"/>
              </w:rPr>
              <w:t>Цистин</w:t>
            </w:r>
            <w:proofErr w:type="spellEnd"/>
            <w:r w:rsidRPr="0009532C">
              <w:rPr>
                <w:b/>
                <w:sz w:val="28"/>
                <w:szCs w:val="28"/>
                <w:lang w:val="ru-RU"/>
              </w:rPr>
              <w:t>, капсулы</w:t>
            </w:r>
          </w:p>
          <w:p w:rsidR="003B7C5B" w:rsidRPr="0009532C" w:rsidRDefault="003B7C5B" w:rsidP="003B7C5B">
            <w:pPr>
              <w:pStyle w:val="Normal8521c79a-f413-4100-8384-5c4b20092be0"/>
              <w:rPr>
                <w:sz w:val="28"/>
                <w:szCs w:val="28"/>
                <w:lang w:val="ru-RU"/>
              </w:rPr>
            </w:pPr>
          </w:p>
        </w:tc>
        <w:tc>
          <w:tcPr>
            <w:tcW w:w="4021" w:type="dxa"/>
            <w:tcBorders>
              <w:left w:val="nil"/>
              <w:bottom w:val="nil"/>
              <w:right w:val="nil"/>
            </w:tcBorders>
            <w:vAlign w:val="center"/>
          </w:tcPr>
          <w:p w:rsidR="003B7C5B" w:rsidRPr="0009532C" w:rsidRDefault="003B7C5B" w:rsidP="0009532C">
            <w:pPr>
              <w:pStyle w:val="Normal8521c79a-f413-4100-8384-5c4b20092be0"/>
              <w:jc w:val="center"/>
              <w:rPr>
                <w:sz w:val="28"/>
                <w:szCs w:val="28"/>
              </w:rPr>
            </w:pPr>
            <w:r w:rsidRPr="0009532C">
              <w:rPr>
                <w:b/>
                <w:sz w:val="28"/>
                <w:szCs w:val="28"/>
              </w:rPr>
              <w:t>ФС</w:t>
            </w:r>
          </w:p>
        </w:tc>
      </w:tr>
      <w:tr w:rsidR="003B7C5B" w:rsidTr="003B7C5B">
        <w:trPr>
          <w:trHeight w:val="400"/>
        </w:trPr>
        <w:tc>
          <w:tcPr>
            <w:tcW w:w="5552" w:type="dxa"/>
            <w:tcBorders>
              <w:top w:val="nil"/>
              <w:left w:val="nil"/>
              <w:right w:val="nil"/>
            </w:tcBorders>
            <w:vAlign w:val="center"/>
          </w:tcPr>
          <w:p w:rsidR="003B7C5B" w:rsidRPr="0009532C" w:rsidRDefault="003B7C5B" w:rsidP="003B7C5B">
            <w:pPr>
              <w:pStyle w:val="Normal8521c79a-f413-4100-8384-5c4b20092be0"/>
              <w:rPr>
                <w:sz w:val="28"/>
                <w:szCs w:val="28"/>
              </w:rPr>
            </w:pPr>
            <w:proofErr w:type="spellStart"/>
            <w:r w:rsidRPr="0009532C">
              <w:rPr>
                <w:b/>
                <w:sz w:val="28"/>
                <w:szCs w:val="28"/>
              </w:rPr>
              <w:t>Calcii</w:t>
            </w:r>
            <w:proofErr w:type="spellEnd"/>
            <w:r w:rsidRPr="000953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532C">
              <w:rPr>
                <w:b/>
                <w:sz w:val="28"/>
                <w:szCs w:val="28"/>
              </w:rPr>
              <w:t>pantothenate</w:t>
            </w:r>
            <w:proofErr w:type="spellEnd"/>
            <w:r w:rsidRPr="0009532C">
              <w:rPr>
                <w:b/>
                <w:sz w:val="28"/>
                <w:szCs w:val="28"/>
              </w:rPr>
              <w:t xml:space="preserve"> + </w:t>
            </w:r>
            <w:proofErr w:type="spellStart"/>
            <w:r w:rsidRPr="0009532C">
              <w:rPr>
                <w:b/>
                <w:sz w:val="28"/>
                <w:szCs w:val="28"/>
              </w:rPr>
              <w:t>Keratini</w:t>
            </w:r>
            <w:proofErr w:type="spellEnd"/>
            <w:r w:rsidRPr="0009532C">
              <w:rPr>
                <w:b/>
                <w:sz w:val="28"/>
                <w:szCs w:val="28"/>
              </w:rPr>
              <w:t xml:space="preserve"> + </w:t>
            </w:r>
            <w:proofErr w:type="spellStart"/>
            <w:r w:rsidRPr="0009532C">
              <w:rPr>
                <w:b/>
                <w:sz w:val="28"/>
                <w:szCs w:val="28"/>
              </w:rPr>
              <w:t>Acidi</w:t>
            </w:r>
            <w:proofErr w:type="spellEnd"/>
            <w:r w:rsidRPr="0009532C">
              <w:rPr>
                <w:b/>
                <w:sz w:val="28"/>
                <w:szCs w:val="28"/>
              </w:rPr>
              <w:t xml:space="preserve"> amino benzoic  + Thiamine </w:t>
            </w:r>
            <w:proofErr w:type="spellStart"/>
            <w:r w:rsidRPr="0009532C">
              <w:rPr>
                <w:b/>
                <w:sz w:val="28"/>
                <w:szCs w:val="28"/>
              </w:rPr>
              <w:t>mononitrate+Cystini</w:t>
            </w:r>
            <w:proofErr w:type="spellEnd"/>
            <w:r w:rsidRPr="0009532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9532C">
              <w:rPr>
                <w:b/>
                <w:sz w:val="28"/>
                <w:szCs w:val="28"/>
              </w:rPr>
              <w:t>capsulae</w:t>
            </w:r>
            <w:proofErr w:type="spellEnd"/>
            <w:r w:rsidRPr="0009532C">
              <w:rPr>
                <w:b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021" w:type="dxa"/>
            <w:tcBorders>
              <w:top w:val="nil"/>
              <w:left w:val="nil"/>
              <w:right w:val="nil"/>
            </w:tcBorders>
            <w:vAlign w:val="center"/>
          </w:tcPr>
          <w:p w:rsidR="003B7C5B" w:rsidRPr="0009532C" w:rsidRDefault="003B7C5B" w:rsidP="0009532C">
            <w:pPr>
              <w:pStyle w:val="Normal8521c79a-f413-4100-8384-5c4b20092be0"/>
              <w:jc w:val="center"/>
              <w:rPr>
                <w:sz w:val="28"/>
                <w:szCs w:val="28"/>
              </w:rPr>
            </w:pPr>
            <w:proofErr w:type="spellStart"/>
            <w:r w:rsidRPr="0009532C">
              <w:rPr>
                <w:b/>
                <w:sz w:val="28"/>
                <w:szCs w:val="28"/>
              </w:rPr>
              <w:t>Вводится</w:t>
            </w:r>
            <w:proofErr w:type="spellEnd"/>
            <w:r w:rsidRPr="000953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532C">
              <w:rPr>
                <w:b/>
                <w:sz w:val="28"/>
                <w:szCs w:val="28"/>
              </w:rPr>
              <w:t>впервые</w:t>
            </w:r>
            <w:proofErr w:type="spellEnd"/>
          </w:p>
        </w:tc>
      </w:tr>
    </w:tbl>
    <w:p w:rsidR="00E22C2E" w:rsidRDefault="00E22C2E"/>
    <w:p w:rsidR="00E22C2E" w:rsidRDefault="0009532C">
      <w:pPr>
        <w:jc w:val="both"/>
      </w:pPr>
      <w:r>
        <w:t xml:space="preserve">Настоящая фармакопейная статья распространяется 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Кальция</w:t>
      </w:r>
      <w:proofErr w:type="gramEnd"/>
      <w:r>
        <w:t xml:space="preserve"> </w:t>
      </w:r>
      <w:proofErr w:type="spellStart"/>
      <w:r>
        <w:t>пантотенат</w:t>
      </w:r>
      <w:proofErr w:type="spellEnd"/>
      <w:r>
        <w:t xml:space="preserve"> + Кератин + пара - </w:t>
      </w:r>
      <w:proofErr w:type="spellStart"/>
      <w:r>
        <w:t>Аминобензойная</w:t>
      </w:r>
      <w:proofErr w:type="spellEnd"/>
      <w:r>
        <w:t xml:space="preserve"> кислота + Тиамина </w:t>
      </w:r>
      <w:proofErr w:type="spellStart"/>
      <w:r>
        <w:t>мононитрат</w:t>
      </w:r>
      <w:proofErr w:type="spellEnd"/>
      <w:r>
        <w:t xml:space="preserve"> +</w:t>
      </w:r>
      <w:proofErr w:type="spellStart"/>
      <w:r>
        <w:t>Цистин</w:t>
      </w:r>
      <w:proofErr w:type="spellEnd"/>
      <w:r>
        <w:t>, капсулы.</w:t>
      </w:r>
    </w:p>
    <w:p w:rsidR="00E22C2E" w:rsidRDefault="0009532C">
      <w:pPr>
        <w:jc w:val="both"/>
      </w:pPr>
      <w:r>
        <w:tab/>
        <w:t xml:space="preserve"> Препарат должен соответствовать требованиям ОФС «Капсулы».</w:t>
      </w:r>
    </w:p>
    <w:p w:rsidR="00E22C2E" w:rsidRDefault="0009532C">
      <w:pPr>
        <w:jc w:val="both"/>
      </w:pPr>
      <w:r>
        <w:t xml:space="preserve">Препарат содержит от заявленного количества не менее 95 % и не более 120 % Кальция </w:t>
      </w:r>
      <w:proofErr w:type="spellStart"/>
      <w:r>
        <w:t>пантотенат</w:t>
      </w:r>
      <w:proofErr w:type="spellEnd"/>
      <w:r>
        <w:t xml:space="preserve">, не менее 80 % и не более 120 % Кератина, не менее 95 % и не более 115 % пара - </w:t>
      </w:r>
      <w:proofErr w:type="spellStart"/>
      <w:r>
        <w:t>Аминобензо</w:t>
      </w:r>
      <w:r>
        <w:t>йной</w:t>
      </w:r>
      <w:proofErr w:type="spellEnd"/>
      <w:r>
        <w:t xml:space="preserve"> кислоты, не менее 95 % и не более 115 % Тиамина </w:t>
      </w:r>
      <w:proofErr w:type="spellStart"/>
      <w:r>
        <w:t>мононитрата</w:t>
      </w:r>
      <w:proofErr w:type="spellEnd"/>
      <w:r>
        <w:t xml:space="preserve"> и не менее 95 % и не более 120 % </w:t>
      </w:r>
      <w:proofErr w:type="spellStart"/>
      <w:r>
        <w:t>Цистина</w:t>
      </w:r>
      <w:proofErr w:type="spellEnd"/>
      <w:r>
        <w:t>.</w:t>
      </w:r>
    </w:p>
    <w:p w:rsidR="00E22C2E" w:rsidRDefault="00E22C2E">
      <w:pPr>
        <w:sectPr w:rsidR="00E22C2E" w:rsidSect="003B7C5B">
          <w:footerReference w:type="default" r:id="rId7"/>
          <w:type w:val="continuous"/>
          <w:pgSz w:w="11907" w:h="16839"/>
          <w:pgMar w:top="1133" w:right="850" w:bottom="1133" w:left="1700" w:header="708" w:footer="708" w:gutter="0"/>
          <w:cols w:space="0"/>
          <w:titlePg/>
          <w:docGrid w:linePitch="381"/>
        </w:sectPr>
      </w:pPr>
    </w:p>
    <w:p w:rsidR="00E22C2E" w:rsidRDefault="0009532C">
      <w:r>
        <w:rPr>
          <w:b/>
          <w:sz w:val="30"/>
        </w:rPr>
        <w:lastRenderedPageBreak/>
        <w:t>Описание</w:t>
      </w:r>
    </w:p>
    <w:p w:rsidR="00E22C2E" w:rsidRDefault="0009532C">
      <w:pPr>
        <w:ind w:firstLine="709"/>
        <w:jc w:val="both"/>
        <w:rPr>
          <w:sz w:val="20"/>
        </w:rPr>
      </w:pPr>
      <w:r>
        <w:t>Содержание раздела приводится в соответствии с ОФС «Капсулы».</w:t>
      </w:r>
    </w:p>
    <w:p w:rsidR="00E22C2E" w:rsidRDefault="00E22C2E">
      <w:pPr>
        <w:sectPr w:rsidR="00E22C2E">
          <w:type w:val="continuous"/>
          <w:pgSz w:w="11907" w:h="16839"/>
          <w:pgMar w:top="1133" w:right="850" w:bottom="1133" w:left="1700" w:header="708" w:footer="708" w:gutter="0"/>
          <w:cols w:space="0"/>
        </w:sectPr>
      </w:pPr>
    </w:p>
    <w:p w:rsidR="00E22C2E" w:rsidRDefault="0009532C">
      <w:r>
        <w:rPr>
          <w:b/>
          <w:sz w:val="30"/>
        </w:rPr>
        <w:lastRenderedPageBreak/>
        <w:t>Подлинность</w:t>
      </w:r>
    </w:p>
    <w:p w:rsidR="00E22C2E" w:rsidRDefault="0009532C">
      <w:pPr>
        <w:spacing w:after="240" w:line="470" w:lineRule="atLeast"/>
        <w:ind w:left="60" w:right="60"/>
        <w:jc w:val="both"/>
      </w:pPr>
      <w:r>
        <w:t xml:space="preserve">Метод ВЭЖХ. </w:t>
      </w:r>
      <w:r>
        <w:t>Время удержива</w:t>
      </w:r>
      <w:r>
        <w:t>ния пиков: к</w:t>
      </w:r>
      <w:r>
        <w:t xml:space="preserve">альция </w:t>
      </w:r>
      <w:proofErr w:type="spellStart"/>
      <w:r>
        <w:t>пантотената</w:t>
      </w:r>
      <w:proofErr w:type="gramStart"/>
      <w:r>
        <w:t>,п</w:t>
      </w:r>
      <w:proofErr w:type="gramEnd"/>
      <w:r>
        <w:t>ара</w:t>
      </w:r>
      <w:proofErr w:type="spellEnd"/>
      <w:r>
        <w:t xml:space="preserve"> - </w:t>
      </w:r>
      <w:proofErr w:type="spellStart"/>
      <w:r>
        <w:t>аминобензойная</w:t>
      </w:r>
      <w:proofErr w:type="spellEnd"/>
      <w:r>
        <w:t xml:space="preserve"> кислоты, тиамина </w:t>
      </w:r>
      <w:proofErr w:type="spellStart"/>
      <w:r>
        <w:t>мононитрата</w:t>
      </w:r>
      <w:proofErr w:type="spellEnd"/>
      <w:r>
        <w:t xml:space="preserve"> и </w:t>
      </w:r>
      <w:proofErr w:type="spellStart"/>
      <w:r>
        <w:t>цистина</w:t>
      </w:r>
      <w:proofErr w:type="spellEnd"/>
      <w:r>
        <w:t xml:space="preserve"> на хроматограмме испытуемого раствора должны соответствовать временам </w:t>
      </w:r>
      <w:r>
        <w:lastRenderedPageBreak/>
        <w:t>удерживания соответствующих пиков на хроматограмме стан­дартного раствора.</w:t>
      </w:r>
    </w:p>
    <w:p w:rsidR="00E22C2E" w:rsidRDefault="0009532C">
      <w:pPr>
        <w:spacing w:line="470" w:lineRule="atLeast"/>
        <w:ind w:left="60" w:right="60"/>
        <w:jc w:val="both"/>
      </w:pPr>
      <w:proofErr w:type="spellStart"/>
      <w:r>
        <w:t>Хроматографический</w:t>
      </w:r>
      <w:proofErr w:type="spellEnd"/>
      <w:r>
        <w:t xml:space="preserve"> </w:t>
      </w:r>
      <w:r>
        <w:t xml:space="preserve">профиль аминокислотного </w:t>
      </w:r>
      <w:proofErr w:type="spellStart"/>
      <w:r>
        <w:t>гидролизата</w:t>
      </w:r>
      <w:proofErr w:type="spellEnd"/>
      <w:r>
        <w:t xml:space="preserve"> испытуемого препарата и </w:t>
      </w:r>
      <w:proofErr w:type="gramStart"/>
      <w:r>
        <w:t>СО</w:t>
      </w:r>
      <w:proofErr w:type="gramEnd"/>
      <w:r>
        <w:t xml:space="preserve"> кератина и медицинских дрожжей должен совпадать.</w:t>
      </w:r>
    </w:p>
    <w:p w:rsidR="00E22C2E" w:rsidRDefault="00E22C2E">
      <w:pPr>
        <w:spacing w:line="470" w:lineRule="atLeast"/>
        <w:ind w:left="60" w:right="60"/>
        <w:jc w:val="both"/>
        <w:sectPr w:rsidR="00E22C2E">
          <w:type w:val="continuous"/>
          <w:pgSz w:w="11907" w:h="16839"/>
          <w:pgMar w:top="1133" w:right="850" w:bottom="1133" w:left="1700" w:header="708" w:footer="708" w:gutter="0"/>
          <w:cols w:space="0"/>
        </w:sectPr>
      </w:pPr>
    </w:p>
    <w:p w:rsidR="00E22C2E" w:rsidRDefault="0009532C">
      <w:r>
        <w:rPr>
          <w:b/>
          <w:sz w:val="30"/>
        </w:rPr>
        <w:lastRenderedPageBreak/>
        <w:t xml:space="preserve">Однородность массы. </w:t>
      </w:r>
      <w:proofErr w:type="spellStart"/>
      <w:r>
        <w:rPr>
          <w:b/>
          <w:sz w:val="30"/>
        </w:rPr>
        <w:t>Распадаемость</w:t>
      </w:r>
      <w:proofErr w:type="spellEnd"/>
      <w:r>
        <w:rPr>
          <w:b/>
          <w:sz w:val="30"/>
        </w:rPr>
        <w:t>. Микробиологическая чистота.</w:t>
      </w:r>
    </w:p>
    <w:p w:rsidR="00E22C2E" w:rsidRDefault="0009532C">
      <w:pPr>
        <w:ind w:firstLine="709"/>
        <w:jc w:val="both"/>
      </w:pPr>
      <w:r>
        <w:rPr>
          <w:b/>
        </w:rPr>
        <w:t>Однородность массы.</w:t>
      </w:r>
      <w:r>
        <w:t xml:space="preserve"> Определение проводят в соответствии с ОФС «Однородность массы дозированных лекарственных форм».</w:t>
      </w:r>
    </w:p>
    <w:p w:rsidR="00E22C2E" w:rsidRDefault="0009532C">
      <w:pPr>
        <w:ind w:firstLine="709"/>
        <w:jc w:val="both"/>
      </w:pPr>
      <w:proofErr w:type="spellStart"/>
      <w:r>
        <w:rPr>
          <w:b/>
        </w:rPr>
        <w:t>Распадаемость</w:t>
      </w:r>
      <w:proofErr w:type="spellEnd"/>
      <w:r>
        <w:rPr>
          <w:b/>
        </w:rPr>
        <w:t>.</w:t>
      </w:r>
      <w:r>
        <w:t xml:space="preserve"> Не более 30 мин</w:t>
      </w:r>
      <w:r>
        <w:t xml:space="preserve">. </w:t>
      </w:r>
      <w:r>
        <w:t>Определение проводят с использованием дисков в соответствии с ОФС «</w:t>
      </w:r>
      <w:proofErr w:type="spellStart"/>
      <w:r>
        <w:t>Распадаемость</w:t>
      </w:r>
      <w:proofErr w:type="spellEnd"/>
      <w:r>
        <w:t xml:space="preserve"> таблеток и капсул».</w:t>
      </w:r>
    </w:p>
    <w:p w:rsidR="00E22C2E" w:rsidRDefault="0009532C">
      <w:pPr>
        <w:ind w:firstLine="709"/>
        <w:jc w:val="both"/>
      </w:pPr>
      <w:r>
        <w:rPr>
          <w:b/>
        </w:rPr>
        <w:t>Микробиологическая чистота</w:t>
      </w:r>
      <w:r>
        <w:rPr>
          <w:b/>
        </w:rPr>
        <w:t>.</w:t>
      </w:r>
      <w:r>
        <w:t xml:space="preserve"> Должен соответствовать требованиям ОФС «Микробиологическая чистота». Категория 3А. </w:t>
      </w:r>
    </w:p>
    <w:p w:rsidR="00E22C2E" w:rsidRDefault="00E22C2E">
      <w:pPr>
        <w:sectPr w:rsidR="00E22C2E">
          <w:type w:val="continuous"/>
          <w:pgSz w:w="11907" w:h="16839"/>
          <w:pgMar w:top="1133" w:right="850" w:bottom="1133" w:left="1700" w:header="708" w:footer="708" w:gutter="0"/>
          <w:cols w:space="0"/>
        </w:sectPr>
      </w:pPr>
    </w:p>
    <w:p w:rsidR="00E22C2E" w:rsidRDefault="0009532C">
      <w:r>
        <w:rPr>
          <w:b/>
          <w:sz w:val="30"/>
        </w:rPr>
        <w:lastRenderedPageBreak/>
        <w:t>Растворение.</w:t>
      </w:r>
    </w:p>
    <w:p w:rsidR="00E22C2E" w:rsidRDefault="0009532C">
      <w:pPr>
        <w:ind w:firstLine="709"/>
        <w:jc w:val="both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 xml:space="preserve">Кальций </w:t>
      </w:r>
      <w:proofErr w:type="spellStart"/>
      <w:r>
        <w:rPr>
          <w:rFonts w:ascii="Times" w:hAnsi="Times"/>
          <w:b/>
          <w:i/>
        </w:rPr>
        <w:t>пантотенат</w:t>
      </w:r>
      <w:proofErr w:type="spellEnd"/>
      <w:r>
        <w:rPr>
          <w:rFonts w:ascii="Times" w:hAnsi="Times"/>
          <w:b/>
          <w:i/>
        </w:rPr>
        <w:t xml:space="preserve">, пара - </w:t>
      </w:r>
      <w:proofErr w:type="spellStart"/>
      <w:r>
        <w:rPr>
          <w:rFonts w:ascii="Times" w:hAnsi="Times"/>
          <w:b/>
          <w:i/>
        </w:rPr>
        <w:t>Аминобензойная</w:t>
      </w:r>
      <w:proofErr w:type="spellEnd"/>
      <w:r>
        <w:rPr>
          <w:rFonts w:ascii="Times" w:hAnsi="Times"/>
          <w:b/>
          <w:i/>
        </w:rPr>
        <w:t xml:space="preserve"> кислота, Тиамина моногидрат, </w:t>
      </w:r>
      <w:proofErr w:type="spellStart"/>
      <w:r>
        <w:rPr>
          <w:rFonts w:ascii="Times" w:hAnsi="Times"/>
          <w:b/>
          <w:i/>
        </w:rPr>
        <w:t>Цистин</w:t>
      </w:r>
      <w:proofErr w:type="spellEnd"/>
      <w:r>
        <w:rPr>
          <w:rFonts w:ascii="Times" w:hAnsi="Times"/>
          <w:b/>
          <w:i/>
        </w:rPr>
        <w:t xml:space="preserve">. </w:t>
      </w:r>
    </w:p>
    <w:p w:rsidR="00E22C2E" w:rsidRDefault="0009532C">
      <w:pPr>
        <w:ind w:firstLine="709"/>
        <w:jc w:val="both"/>
      </w:pPr>
      <w:r>
        <w:t>Не менее 70 % (Q) от содержания каждого определяемого ком</w:t>
      </w:r>
      <w:r>
        <w:t xml:space="preserve">понента в капсуле должно перейти в раствор за 60 мин. Определение проводят </w:t>
      </w:r>
      <w:r>
        <w:t xml:space="preserve">методом ВЭЖХ. </w:t>
      </w:r>
      <w:r>
        <w:rPr>
          <w:rFonts w:ascii="Times" w:hAnsi="Times"/>
        </w:rPr>
        <w:t xml:space="preserve"> </w:t>
      </w:r>
    </w:p>
    <w:p w:rsidR="00E22C2E" w:rsidRDefault="0009532C">
      <w:pPr>
        <w:ind w:firstLine="709"/>
        <w:jc w:val="both"/>
        <w:rPr>
          <w:i/>
        </w:rPr>
      </w:pPr>
      <w:proofErr w:type="spellStart"/>
      <w:r>
        <w:rPr>
          <w:i/>
        </w:rPr>
        <w:t>Хроматографические</w:t>
      </w:r>
      <w:proofErr w:type="spellEnd"/>
      <w:r>
        <w:rPr>
          <w:i/>
        </w:rPr>
        <w:t xml:space="preserve"> условия</w:t>
      </w:r>
    </w:p>
    <w:p w:rsidR="00E22C2E" w:rsidRDefault="0009532C">
      <w:pPr>
        <w:spacing w:line="240" w:lineRule="auto"/>
        <w:ind w:left="40"/>
        <w:jc w:val="both"/>
      </w:pPr>
      <w:r>
        <w:t xml:space="preserve">Колонка:  250 </w:t>
      </w:r>
      <w:proofErr w:type="spellStart"/>
      <w:r>
        <w:t>х</w:t>
      </w:r>
      <w:proofErr w:type="spellEnd"/>
      <w:r>
        <w:t xml:space="preserve"> 4 мм </w:t>
      </w:r>
      <w:proofErr w:type="spellStart"/>
      <w:r>
        <w:t>октадецилселильная</w:t>
      </w:r>
      <w:proofErr w:type="spellEnd"/>
      <w:r>
        <w:t xml:space="preserve"> (С 18), 5 мкм </w:t>
      </w:r>
    </w:p>
    <w:p w:rsidR="00E22C2E" w:rsidRDefault="0009532C">
      <w:pPr>
        <w:spacing w:line="240" w:lineRule="auto"/>
        <w:ind w:left="40"/>
        <w:jc w:val="both"/>
      </w:pPr>
      <w:r>
        <w:t>Температура колонки:</w:t>
      </w:r>
      <w:r>
        <w:tab/>
      </w:r>
      <w:r>
        <w:tab/>
        <w:t xml:space="preserve">          от 15 до 25</w:t>
      </w:r>
      <w:proofErr w:type="gramStart"/>
      <w:r>
        <w:t>ºС</w:t>
      </w:r>
      <w:proofErr w:type="gramEnd"/>
    </w:p>
    <w:p w:rsidR="00E22C2E" w:rsidRDefault="0009532C">
      <w:pPr>
        <w:spacing w:line="276" w:lineRule="auto"/>
        <w:ind w:left="40"/>
        <w:jc w:val="both"/>
      </w:pPr>
      <w:r>
        <w:t>Скорость потока</w:t>
      </w:r>
    </w:p>
    <w:p w:rsidR="00E22C2E" w:rsidRDefault="0009532C">
      <w:pPr>
        <w:spacing w:line="276" w:lineRule="auto"/>
        <w:ind w:left="40"/>
        <w:jc w:val="both"/>
      </w:pPr>
      <w:r>
        <w:t>подвижной фазы:</w:t>
      </w:r>
      <w:r>
        <w:tab/>
      </w:r>
      <w:r>
        <w:tab/>
      </w:r>
      <w:r>
        <w:tab/>
      </w:r>
      <w:r>
        <w:t xml:space="preserve"> 1,0 мл/мин</w:t>
      </w:r>
    </w:p>
    <w:p w:rsidR="00E22C2E" w:rsidRDefault="0009532C">
      <w:pPr>
        <w:spacing w:line="240" w:lineRule="auto"/>
        <w:ind w:left="40"/>
        <w:jc w:val="both"/>
      </w:pPr>
      <w:r>
        <w:t xml:space="preserve">Время </w:t>
      </w:r>
      <w:proofErr w:type="spellStart"/>
      <w:r>
        <w:t>хроматографирования</w:t>
      </w:r>
      <w:proofErr w:type="spellEnd"/>
      <w:r>
        <w:t>:</w:t>
      </w:r>
      <w:r>
        <w:tab/>
        <w:t xml:space="preserve"> 16 мин</w:t>
      </w:r>
    </w:p>
    <w:p w:rsidR="00E22C2E" w:rsidRDefault="0009532C">
      <w:pPr>
        <w:spacing w:line="240" w:lineRule="auto"/>
        <w:ind w:left="40"/>
        <w:jc w:val="both"/>
      </w:pPr>
      <w:r>
        <w:t>Объем вводимой пробы:</w:t>
      </w:r>
      <w:r>
        <w:tab/>
        <w:t xml:space="preserve">           20 мкл</w:t>
      </w:r>
    </w:p>
    <w:p w:rsidR="00E22C2E" w:rsidRDefault="00E22C2E">
      <w:pPr>
        <w:spacing w:line="240" w:lineRule="auto"/>
        <w:ind w:left="40"/>
        <w:jc w:val="both"/>
      </w:pPr>
    </w:p>
    <w:p w:rsidR="00E22C2E" w:rsidRDefault="0009532C">
      <w:pPr>
        <w:spacing w:after="84" w:line="240" w:lineRule="auto"/>
        <w:ind w:left="40"/>
        <w:jc w:val="both"/>
      </w:pPr>
      <w:r>
        <w:t>Градиент</w:t>
      </w:r>
    </w:p>
    <w:p w:rsidR="00E22C2E" w:rsidRDefault="0009532C">
      <w:pPr>
        <w:spacing w:after="84" w:line="240" w:lineRule="auto"/>
        <w:ind w:left="40"/>
        <w:jc w:val="both"/>
        <w:rPr>
          <w:sz w:val="24"/>
        </w:rPr>
      </w:pPr>
      <w:r>
        <w:t xml:space="preserve"> </w:t>
      </w:r>
      <w:r>
        <w:rPr>
          <w:sz w:val="24"/>
        </w:rPr>
        <w:t xml:space="preserve"> </w:t>
      </w:r>
    </w:p>
    <w:tbl>
      <w:tblPr>
        <w:tblW w:w="8250" w:type="dxa"/>
        <w:tblInd w:w="135" w:type="dxa"/>
        <w:shd w:val="clear" w:color="auto" w:fill="FFFFFF"/>
        <w:tblLook w:val="04A0"/>
      </w:tblPr>
      <w:tblGrid>
        <w:gridCol w:w="2066"/>
        <w:gridCol w:w="2614"/>
        <w:gridCol w:w="1753"/>
        <w:gridCol w:w="1724"/>
        <w:gridCol w:w="93"/>
      </w:tblGrid>
      <w:tr w:rsidR="00E22C2E">
        <w:tc>
          <w:tcPr>
            <w:tcW w:w="42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C2E" w:rsidRDefault="0009532C">
            <w:pPr>
              <w:spacing w:line="240" w:lineRule="atLeast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Время (мин)</w:t>
            </w:r>
          </w:p>
        </w:tc>
        <w:tc>
          <w:tcPr>
            <w:tcW w:w="19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C2E" w:rsidRDefault="0009532C">
            <w:pPr>
              <w:spacing w:line="240" w:lineRule="atLeast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% А</w:t>
            </w:r>
          </w:p>
        </w:tc>
        <w:tc>
          <w:tcPr>
            <w:tcW w:w="1934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C2E" w:rsidRDefault="0009532C">
            <w:pPr>
              <w:spacing w:line="240" w:lineRule="atLeast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% В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2E" w:rsidRDefault="00E22C2E">
            <w:pPr>
              <w:spacing w:line="240" w:lineRule="auto"/>
              <w:ind w:right="135"/>
            </w:pPr>
          </w:p>
        </w:tc>
      </w:tr>
      <w:tr w:rsidR="00E22C2E">
        <w:tc>
          <w:tcPr>
            <w:tcW w:w="4259" w:type="dxa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2E" w:rsidRDefault="0009532C">
            <w:pPr>
              <w:spacing w:line="240" w:lineRule="atLeast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  <w:tcBorders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2E" w:rsidRDefault="0009532C">
            <w:pPr>
              <w:spacing w:line="240" w:lineRule="atLeast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2E" w:rsidRDefault="0009532C">
            <w:pPr>
              <w:spacing w:line="240" w:lineRule="atLeast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2E" w:rsidRDefault="00E22C2E">
            <w:pPr>
              <w:spacing w:line="240" w:lineRule="auto"/>
              <w:ind w:right="135"/>
            </w:pPr>
          </w:p>
        </w:tc>
      </w:tr>
      <w:tr w:rsidR="00E22C2E">
        <w:tc>
          <w:tcPr>
            <w:tcW w:w="4259" w:type="dxa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2E" w:rsidRDefault="0009532C">
            <w:pPr>
              <w:spacing w:line="240" w:lineRule="atLeast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2E" w:rsidRDefault="0009532C">
            <w:pPr>
              <w:spacing w:line="240" w:lineRule="atLeast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2E" w:rsidRDefault="0009532C">
            <w:pPr>
              <w:spacing w:line="240" w:lineRule="atLeast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2E" w:rsidRDefault="00E22C2E">
            <w:pPr>
              <w:spacing w:line="240" w:lineRule="auto"/>
              <w:ind w:right="135"/>
            </w:pPr>
          </w:p>
        </w:tc>
      </w:tr>
      <w:tr w:rsidR="00E22C2E">
        <w:tc>
          <w:tcPr>
            <w:tcW w:w="4259" w:type="dxa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2E" w:rsidRDefault="0009532C">
            <w:pPr>
              <w:spacing w:line="240" w:lineRule="atLeast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2E" w:rsidRDefault="0009532C">
            <w:pPr>
              <w:spacing w:line="240" w:lineRule="atLeast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C2E" w:rsidRDefault="0009532C">
            <w:pPr>
              <w:spacing w:line="240" w:lineRule="atLeast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2E" w:rsidRDefault="00E22C2E">
            <w:pPr>
              <w:spacing w:line="240" w:lineRule="auto"/>
              <w:ind w:right="135"/>
            </w:pPr>
          </w:p>
        </w:tc>
      </w:tr>
      <w:tr w:rsidR="00E22C2E">
        <w:tc>
          <w:tcPr>
            <w:tcW w:w="4259" w:type="dxa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C2E" w:rsidRDefault="0009532C">
            <w:pPr>
              <w:spacing w:line="240" w:lineRule="atLeast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2E" w:rsidRDefault="0009532C">
            <w:pPr>
              <w:spacing w:line="240" w:lineRule="atLeast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C2E" w:rsidRDefault="0009532C">
            <w:pPr>
              <w:spacing w:line="240" w:lineRule="atLeast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2E" w:rsidRDefault="00E22C2E">
            <w:pPr>
              <w:spacing w:line="240" w:lineRule="auto"/>
              <w:ind w:right="135"/>
            </w:pPr>
          </w:p>
        </w:tc>
      </w:tr>
      <w:tr w:rsidR="00E22C2E">
        <w:tc>
          <w:tcPr>
            <w:tcW w:w="4259" w:type="dxa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C2E" w:rsidRDefault="0009532C">
            <w:pPr>
              <w:spacing w:line="240" w:lineRule="atLeast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2E" w:rsidRDefault="0009532C">
            <w:pPr>
              <w:spacing w:line="240" w:lineRule="atLeast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2E" w:rsidRDefault="0009532C">
            <w:pPr>
              <w:spacing w:line="240" w:lineRule="atLeast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2E" w:rsidRDefault="00E22C2E">
            <w:pPr>
              <w:spacing w:line="240" w:lineRule="auto"/>
              <w:ind w:right="135"/>
            </w:pPr>
          </w:p>
        </w:tc>
      </w:tr>
      <w:tr w:rsidR="00E22C2E">
        <w:tc>
          <w:tcPr>
            <w:tcW w:w="4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C2E" w:rsidRDefault="0009532C">
            <w:pPr>
              <w:spacing w:line="240" w:lineRule="atLeast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2E" w:rsidRDefault="0009532C">
            <w:pPr>
              <w:spacing w:line="240" w:lineRule="atLeast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2E" w:rsidRDefault="0009532C">
            <w:pPr>
              <w:spacing w:line="240" w:lineRule="atLeast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2E" w:rsidRDefault="00E22C2E">
            <w:pPr>
              <w:spacing w:line="240" w:lineRule="auto"/>
              <w:ind w:right="135"/>
            </w:pPr>
          </w:p>
        </w:tc>
      </w:tr>
      <w:tr w:rsidR="00E22C2E"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2E" w:rsidRDefault="00E22C2E">
            <w:pPr>
              <w:spacing w:line="240" w:lineRule="auto"/>
              <w:ind w:right="135"/>
            </w:pPr>
          </w:p>
        </w:tc>
        <w:tc>
          <w:tcPr>
            <w:tcW w:w="70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C2E" w:rsidRDefault="0009532C">
            <w:pPr>
              <w:spacing w:line="240" w:lineRule="auto"/>
              <w:ind w:right="13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22C2E"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2E" w:rsidRDefault="0009532C">
            <w:pPr>
              <w:spacing w:line="240" w:lineRule="auto"/>
              <w:ind w:right="135"/>
            </w:pPr>
            <w:r>
              <w:t>Детектирование</w:t>
            </w:r>
          </w:p>
        </w:tc>
        <w:tc>
          <w:tcPr>
            <w:tcW w:w="30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2E" w:rsidRDefault="00E22C2E">
            <w:pPr>
              <w:spacing w:line="240" w:lineRule="auto"/>
              <w:ind w:right="135"/>
            </w:pP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2E" w:rsidRDefault="00E22C2E">
            <w:pPr>
              <w:spacing w:line="240" w:lineRule="auto"/>
              <w:ind w:right="135"/>
            </w:pPr>
          </w:p>
        </w:tc>
        <w:tc>
          <w:tcPr>
            <w:tcW w:w="1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2E" w:rsidRDefault="00E22C2E">
            <w:pPr>
              <w:spacing w:line="240" w:lineRule="auto"/>
              <w:ind w:right="135"/>
            </w:pP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2E" w:rsidRDefault="00E22C2E">
            <w:pPr>
              <w:spacing w:line="240" w:lineRule="auto"/>
              <w:ind w:right="135"/>
            </w:pPr>
          </w:p>
        </w:tc>
      </w:tr>
    </w:tbl>
    <w:p w:rsidR="00E22C2E" w:rsidRDefault="0009532C">
      <w:pPr>
        <w:spacing w:line="240" w:lineRule="auto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Ind w:w="135" w:type="dxa"/>
        <w:shd w:val="clear" w:color="auto" w:fill="FFFFFF"/>
        <w:tblLook w:val="04A0"/>
      </w:tblPr>
      <w:tblGrid>
        <w:gridCol w:w="3048"/>
        <w:gridCol w:w="3946"/>
      </w:tblGrid>
      <w:tr w:rsidR="00E22C2E">
        <w:tc>
          <w:tcPr>
            <w:tcW w:w="3048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C2E" w:rsidRDefault="0009532C">
            <w:pPr>
              <w:spacing w:line="240" w:lineRule="atLeast"/>
              <w:ind w:right="135"/>
              <w:jc w:val="center"/>
            </w:pPr>
            <w:r>
              <w:t>Время (мин)</w:t>
            </w: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C2E" w:rsidRDefault="0009532C">
            <w:pPr>
              <w:spacing w:line="240" w:lineRule="atLeast"/>
              <w:ind w:right="135"/>
              <w:jc w:val="center"/>
            </w:pPr>
            <w:r>
              <w:t>Длина волны (нм)</w:t>
            </w:r>
          </w:p>
        </w:tc>
      </w:tr>
      <w:tr w:rsidR="00E22C2E">
        <w:tc>
          <w:tcPr>
            <w:tcW w:w="3048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2E" w:rsidRDefault="0009532C">
            <w:pPr>
              <w:spacing w:line="240" w:lineRule="atLeast"/>
              <w:ind w:right="135"/>
              <w:jc w:val="center"/>
            </w:pPr>
            <w:r>
              <w:t>0</w:t>
            </w: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2E" w:rsidRDefault="0009532C">
            <w:pPr>
              <w:spacing w:line="240" w:lineRule="atLeast"/>
              <w:ind w:right="135"/>
              <w:jc w:val="center"/>
            </w:pPr>
            <w:r>
              <w:t>210</w:t>
            </w:r>
          </w:p>
        </w:tc>
      </w:tr>
      <w:tr w:rsidR="00E22C2E"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2C2E" w:rsidRDefault="0009532C">
            <w:pPr>
              <w:spacing w:line="240" w:lineRule="atLeast"/>
              <w:ind w:right="135"/>
              <w:jc w:val="center"/>
            </w:pPr>
            <w:r>
              <w:t>15</w:t>
            </w: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C2E" w:rsidRDefault="0009532C">
            <w:pPr>
              <w:spacing w:line="240" w:lineRule="atLeast"/>
              <w:ind w:right="135"/>
              <w:jc w:val="center"/>
            </w:pPr>
            <w:r>
              <w:t>268</w:t>
            </w:r>
          </w:p>
        </w:tc>
      </w:tr>
    </w:tbl>
    <w:p w:rsidR="00E22C2E" w:rsidRDefault="00E22C2E">
      <w:pPr>
        <w:spacing w:line="480" w:lineRule="atLeast"/>
        <w:ind w:left="60" w:right="60"/>
        <w:rPr>
          <w:i/>
        </w:rPr>
      </w:pPr>
    </w:p>
    <w:p w:rsidR="00E22C2E" w:rsidRDefault="0009532C">
      <w:pPr>
        <w:spacing w:line="480" w:lineRule="atLeast"/>
        <w:ind w:left="60" w:right="60"/>
        <w:rPr>
          <w:i/>
        </w:rPr>
      </w:pPr>
      <w:r>
        <w:rPr>
          <w:i/>
        </w:rPr>
        <w:t xml:space="preserve">Времена удерживания </w:t>
      </w:r>
    </w:p>
    <w:p w:rsidR="00E22C2E" w:rsidRDefault="0009532C">
      <w:pPr>
        <w:spacing w:line="480" w:lineRule="atLeast"/>
        <w:ind w:left="60" w:right="60"/>
      </w:pPr>
      <w:proofErr w:type="spellStart"/>
      <w:r>
        <w:t>Цистин</w:t>
      </w:r>
      <w:proofErr w:type="spellEnd"/>
      <w:r>
        <w:tab/>
      </w:r>
      <w:r>
        <w:tab/>
      </w:r>
      <w:r>
        <w:tab/>
      </w:r>
      <w:r>
        <w:tab/>
        <w:t xml:space="preserve"> около 4,4 мин</w:t>
      </w:r>
    </w:p>
    <w:p w:rsidR="00E22C2E" w:rsidRDefault="0009532C">
      <w:pPr>
        <w:spacing w:line="480" w:lineRule="atLeast"/>
        <w:ind w:left="60" w:right="60"/>
      </w:pPr>
      <w:r>
        <w:t xml:space="preserve">Кальция </w:t>
      </w:r>
      <w:proofErr w:type="spellStart"/>
      <w:r>
        <w:t>пантотенат</w:t>
      </w:r>
      <w:proofErr w:type="spellEnd"/>
      <w:r>
        <w:tab/>
      </w:r>
      <w:r>
        <w:tab/>
        <w:t xml:space="preserve"> около 7,4 мин</w:t>
      </w:r>
    </w:p>
    <w:p w:rsidR="00E22C2E" w:rsidRDefault="0009532C">
      <w:pPr>
        <w:spacing w:line="480" w:lineRule="atLeast"/>
        <w:ind w:left="60" w:right="60"/>
      </w:pPr>
      <w:r>
        <w:t xml:space="preserve"> </w:t>
      </w:r>
      <w:proofErr w:type="spellStart"/>
      <w:r>
        <w:t>пара-Аминобензойная</w:t>
      </w:r>
      <w:proofErr w:type="spellEnd"/>
      <w:r>
        <w:t xml:space="preserve"> кислота  около 14,6 мин</w:t>
      </w:r>
    </w:p>
    <w:p w:rsidR="00E22C2E" w:rsidRDefault="0009532C">
      <w:pPr>
        <w:spacing w:line="480" w:lineRule="atLeast"/>
        <w:ind w:left="60" w:right="60"/>
      </w:pPr>
      <w:r>
        <w:t xml:space="preserve">Тиамина </w:t>
      </w:r>
      <w:proofErr w:type="spellStart"/>
      <w:r>
        <w:t>мононитрат</w:t>
      </w:r>
      <w:proofErr w:type="spellEnd"/>
      <w:r>
        <w:tab/>
      </w:r>
      <w:r>
        <w:tab/>
        <w:t xml:space="preserve"> около 25,9 мин</w:t>
      </w:r>
    </w:p>
    <w:p w:rsidR="00E22C2E" w:rsidRDefault="0009532C">
      <w:pPr>
        <w:ind w:firstLine="709"/>
        <w:jc w:val="both"/>
      </w:pPr>
      <w:r>
        <w:t xml:space="preserve"> </w:t>
      </w:r>
    </w:p>
    <w:p w:rsidR="00E22C2E" w:rsidRDefault="0009532C">
      <w:pPr>
        <w:spacing w:line="480" w:lineRule="atLeast"/>
        <w:ind w:left="60"/>
        <w:rPr>
          <w:i/>
        </w:rPr>
      </w:pPr>
      <w:r>
        <w:rPr>
          <w:i/>
        </w:rPr>
        <w:t>Приготовление стандартного раствора</w:t>
      </w:r>
    </w:p>
    <w:p w:rsidR="00E22C2E" w:rsidRDefault="0009532C">
      <w:pPr>
        <w:spacing w:line="480" w:lineRule="atLeast"/>
        <w:ind w:left="60" w:right="60"/>
        <w:jc w:val="both"/>
      </w:pPr>
      <w:r>
        <w:t xml:space="preserve">          В мерную колбу вместимостью 500 мл помещают </w:t>
      </w:r>
      <w:r>
        <w:t xml:space="preserve">около 10,0 мг (точная навеска) стандарта </w:t>
      </w:r>
      <w:proofErr w:type="spellStart"/>
      <w:r>
        <w:t>Цистина</w:t>
      </w:r>
      <w:proofErr w:type="spellEnd"/>
      <w:r>
        <w:t xml:space="preserve">, около 10,0 мг (точная навеска) стандарта </w:t>
      </w:r>
      <w:proofErr w:type="spellStart"/>
      <w:r>
        <w:t>пара-Аминобензойной</w:t>
      </w:r>
      <w:proofErr w:type="spellEnd"/>
      <w:r>
        <w:t xml:space="preserve"> кислоты, около 30,0 мг (точная навеска) стандарта Кальция </w:t>
      </w:r>
      <w:proofErr w:type="spellStart"/>
      <w:r>
        <w:t>пантотената</w:t>
      </w:r>
      <w:proofErr w:type="spellEnd"/>
      <w:r>
        <w:t xml:space="preserve">, около 30,0 мг (точная навеска) стандарта Тиамина </w:t>
      </w:r>
      <w:proofErr w:type="spellStart"/>
      <w:r>
        <w:t>мононитрата</w:t>
      </w:r>
      <w:proofErr w:type="spellEnd"/>
      <w:r>
        <w:t>, добавляют 10</w:t>
      </w:r>
      <w:r>
        <w:t>0 мл хлористоводородной кислоты раствор 0,1 М, смесь нагревают на водяной бане при температуре 40</w:t>
      </w:r>
      <w:proofErr w:type="gramStart"/>
      <w:r>
        <w:t xml:space="preserve"> °С</w:t>
      </w:r>
      <w:proofErr w:type="gramEnd"/>
      <w:r>
        <w:t xml:space="preserve">, перемешивая в течение 40 мин при 200 об/мин. Затем колбу </w:t>
      </w:r>
      <w:proofErr w:type="gramStart"/>
      <w:r>
        <w:t>по­мещают</w:t>
      </w:r>
      <w:proofErr w:type="gramEnd"/>
      <w:r>
        <w:t xml:space="preserve"> на ультразвуковую баню на 20 мин. После охлаждения объем рас­твора в колбе доводят до м</w:t>
      </w:r>
      <w:r>
        <w:t>етки хлористоводо­родной кислотой раствором 0,1 М.</w:t>
      </w:r>
    </w:p>
    <w:p w:rsidR="00E22C2E" w:rsidRDefault="0009532C">
      <w:pPr>
        <w:spacing w:line="480" w:lineRule="atLeast"/>
        <w:ind w:left="60" w:right="60"/>
        <w:jc w:val="both"/>
        <w:rPr>
          <w:i/>
        </w:rPr>
      </w:pPr>
      <w:r>
        <w:rPr>
          <w:i/>
        </w:rPr>
        <w:t>Элюент</w:t>
      </w:r>
      <w:proofErr w:type="gramStart"/>
      <w:r>
        <w:rPr>
          <w:i/>
        </w:rPr>
        <w:t xml:space="preserve"> А</w:t>
      </w:r>
      <w:proofErr w:type="gramEnd"/>
    </w:p>
    <w:p w:rsidR="00E22C2E" w:rsidRDefault="0009532C">
      <w:pPr>
        <w:spacing w:line="480" w:lineRule="atLeast"/>
        <w:ind w:left="60" w:right="60"/>
        <w:jc w:val="both"/>
      </w:pPr>
      <w:r>
        <w:t xml:space="preserve">680 мг </w:t>
      </w:r>
      <w:proofErr w:type="spellStart"/>
      <w:r>
        <w:t>гептансульфоната</w:t>
      </w:r>
      <w:proofErr w:type="spellEnd"/>
      <w:r>
        <w:t xml:space="preserve"> растворяют примерно в 500 мл воды в мерной колбе вместимостью 2000 мл. Добавляют 100 мл метанола и 400 мкл фосфорной кислоты раствора 85 %, затем доводят объем раствор водо</w:t>
      </w:r>
      <w:r>
        <w:t xml:space="preserve">й до метки и перемешивают. </w:t>
      </w:r>
    </w:p>
    <w:p w:rsidR="00E22C2E" w:rsidRDefault="0009532C">
      <w:pPr>
        <w:spacing w:line="480" w:lineRule="atLeast"/>
        <w:ind w:left="60" w:right="60"/>
        <w:jc w:val="both"/>
        <w:rPr>
          <w:i/>
        </w:rPr>
      </w:pPr>
      <w:r>
        <w:rPr>
          <w:i/>
        </w:rPr>
        <w:t>Элюент</w:t>
      </w:r>
      <w:proofErr w:type="gramStart"/>
      <w:r>
        <w:rPr>
          <w:i/>
        </w:rPr>
        <w:t xml:space="preserve"> В</w:t>
      </w:r>
      <w:proofErr w:type="gramEnd"/>
    </w:p>
    <w:p w:rsidR="00E22C2E" w:rsidRDefault="0009532C">
      <w:pPr>
        <w:spacing w:line="480" w:lineRule="atLeast"/>
        <w:ind w:left="60" w:right="60"/>
        <w:jc w:val="both"/>
      </w:pPr>
      <w:r>
        <w:lastRenderedPageBreak/>
        <w:t xml:space="preserve">340 мг натрия </w:t>
      </w:r>
      <w:proofErr w:type="spellStart"/>
      <w:r>
        <w:t>гептансульфоната</w:t>
      </w:r>
      <w:proofErr w:type="spellEnd"/>
      <w:r>
        <w:t xml:space="preserve"> растворяют примерно в 100 мл воды в мерной колбе вместимостью 1000 мл. Добавляют 600 мл метанола, затем объем раствора в колбе доводят до метки метанолом и перемешивают</w:t>
      </w:r>
      <w:r>
        <w:t xml:space="preserve">. Значение </w:t>
      </w:r>
      <w:proofErr w:type="spellStart"/>
      <w:r>
        <w:t>pH</w:t>
      </w:r>
      <w:proofErr w:type="spellEnd"/>
      <w:r>
        <w:t xml:space="preserve"> </w:t>
      </w:r>
      <w:proofErr w:type="gramStart"/>
      <w:r>
        <w:t>уста­навливают</w:t>
      </w:r>
      <w:proofErr w:type="gramEnd"/>
      <w:r>
        <w:t xml:space="preserve"> до 3,00  фосфорной кислоты раствором 85 %</w:t>
      </w:r>
      <w:r>
        <w:t xml:space="preserve"> .</w:t>
      </w:r>
    </w:p>
    <w:p w:rsidR="00E22C2E" w:rsidRDefault="00E22C2E">
      <w:pPr>
        <w:spacing w:line="480" w:lineRule="atLeast"/>
        <w:ind w:left="60" w:right="60"/>
        <w:jc w:val="both"/>
      </w:pPr>
    </w:p>
    <w:p w:rsidR="00E22C2E" w:rsidRDefault="0009532C">
      <w:pPr>
        <w:spacing w:line="276" w:lineRule="auto"/>
        <w:ind w:left="60"/>
        <w:rPr>
          <w:i/>
        </w:rPr>
      </w:pPr>
      <w:r>
        <w:rPr>
          <w:i/>
        </w:rPr>
        <w:t>Условия растворения</w:t>
      </w:r>
    </w:p>
    <w:p w:rsidR="00E22C2E" w:rsidRDefault="00E22C2E">
      <w:pPr>
        <w:spacing w:line="276" w:lineRule="auto"/>
        <w:ind w:left="60"/>
      </w:pPr>
    </w:p>
    <w:p w:rsidR="00E22C2E" w:rsidRDefault="0009532C">
      <w:pPr>
        <w:spacing w:line="240" w:lineRule="auto"/>
        <w:ind w:firstLine="709"/>
        <w:jc w:val="both"/>
      </w:pPr>
      <w:r>
        <w:t>Объем среды растворения: 900 мл (среда растворения: хлористоводородная  кислота раствор 0,1 М);</w:t>
      </w:r>
    </w:p>
    <w:p w:rsidR="00E22C2E" w:rsidRDefault="0009532C">
      <w:pPr>
        <w:ind w:firstLine="709"/>
        <w:jc w:val="both"/>
      </w:pPr>
      <w:r>
        <w:t>Температура: 37 ± 0,5</w:t>
      </w:r>
      <w:proofErr w:type="gramStart"/>
      <w:r>
        <w:t>ºС</w:t>
      </w:r>
      <w:proofErr w:type="gramEnd"/>
      <w:r>
        <w:t>;</w:t>
      </w:r>
    </w:p>
    <w:p w:rsidR="00E22C2E" w:rsidRDefault="0009532C">
      <w:pPr>
        <w:ind w:firstLine="709"/>
        <w:jc w:val="both"/>
      </w:pPr>
      <w:r>
        <w:t xml:space="preserve">Скорость вращения: 50 </w:t>
      </w:r>
      <w:proofErr w:type="gramStart"/>
      <w:r>
        <w:t>об</w:t>
      </w:r>
      <w:proofErr w:type="gramEnd"/>
      <w:r>
        <w:t>/мин;</w:t>
      </w:r>
    </w:p>
    <w:p w:rsidR="00E22C2E" w:rsidRDefault="0009532C">
      <w:pPr>
        <w:ind w:firstLine="709"/>
        <w:jc w:val="both"/>
      </w:pPr>
      <w:r>
        <w:t>Метод пере</w:t>
      </w:r>
      <w:r>
        <w:t>мешивания: Лопастная мешалка</w:t>
      </w:r>
    </w:p>
    <w:p w:rsidR="00E22C2E" w:rsidRDefault="0009532C">
      <w:pPr>
        <w:ind w:firstLine="709"/>
        <w:jc w:val="both"/>
      </w:pPr>
      <w:r>
        <w:t>Отбор проб:  60 мин</w:t>
      </w:r>
    </w:p>
    <w:p w:rsidR="00E22C2E" w:rsidRDefault="0009532C">
      <w:pPr>
        <w:ind w:firstLine="709"/>
        <w:jc w:val="both"/>
      </w:pPr>
      <w:r>
        <w:t xml:space="preserve">Объем пробы: 5 мл </w:t>
      </w:r>
    </w:p>
    <w:p w:rsidR="00E22C2E" w:rsidRDefault="0009532C">
      <w:pPr>
        <w:spacing w:line="480" w:lineRule="atLeast"/>
        <w:ind w:left="60" w:right="320"/>
        <w:jc w:val="both"/>
      </w:pPr>
      <w:r>
        <w:t xml:space="preserve">В сосуд аппарата для растворения помещают 900 мл среды для </w:t>
      </w:r>
      <w:proofErr w:type="gramStart"/>
      <w:r>
        <w:t>растворе­ния</w:t>
      </w:r>
      <w:proofErr w:type="gramEnd"/>
      <w:r>
        <w:t>. Доводят температуру среды для растворения до 37</w:t>
      </w:r>
      <w:proofErr w:type="gramStart"/>
      <w:r>
        <w:t xml:space="preserve"> °С</w:t>
      </w:r>
      <w:proofErr w:type="gramEnd"/>
      <w:r>
        <w:t xml:space="preserve"> ± 0,5 °С. По одной капсуле помещают в каждый из 6-ти сосудов со </w:t>
      </w:r>
      <w:r>
        <w:t>средой для раство­рения до начала вращения мешалки.</w:t>
      </w:r>
    </w:p>
    <w:p w:rsidR="00E22C2E" w:rsidRDefault="0009532C">
      <w:pPr>
        <w:spacing w:line="480" w:lineRule="atLeast"/>
        <w:ind w:left="60" w:right="320"/>
        <w:jc w:val="both"/>
      </w:pPr>
      <w:r>
        <w:t xml:space="preserve">Общее время </w:t>
      </w:r>
      <w:proofErr w:type="spellStart"/>
      <w:r>
        <w:t>хроматографирования</w:t>
      </w:r>
      <w:proofErr w:type="spellEnd"/>
      <w:r>
        <w:t xml:space="preserve"> - 40 мин, при этом продолжительность непосредственного </w:t>
      </w:r>
      <w:proofErr w:type="spellStart"/>
      <w:r>
        <w:t>хроматографирования</w:t>
      </w:r>
      <w:proofErr w:type="spellEnd"/>
      <w:r>
        <w:t xml:space="preserve"> составляет 23 мин, далее до 40 мин длится стадия промывки колонки.</w:t>
      </w:r>
    </w:p>
    <w:p w:rsidR="00E22C2E" w:rsidRDefault="0009532C">
      <w:pPr>
        <w:spacing w:line="480" w:lineRule="atLeast"/>
        <w:ind w:left="60" w:right="320"/>
        <w:jc w:val="both"/>
      </w:pPr>
      <w:r>
        <w:t xml:space="preserve">Процентное содержание каждого </w:t>
      </w:r>
      <w:r>
        <w:t>активного компонента (Х), перешедшего в среду растворения через 60 мин, вычисляют по формуле:</w:t>
      </w:r>
    </w:p>
    <w:p w:rsidR="00E22C2E" w:rsidRDefault="0009532C">
      <w:pPr>
        <w:spacing w:line="480" w:lineRule="atLeast"/>
        <w:ind w:left="60" w:right="320"/>
        <w:jc w:val="both"/>
      </w:pPr>
      <w:r>
        <w:tab/>
        <w:t xml:space="preserve"> </w:t>
      </w:r>
      <w:r>
        <w:tab/>
      </w:r>
      <w:r>
        <w:tab/>
      </w:r>
      <w:r>
        <w:tab/>
        <w:t xml:space="preserve">  Х   =  </w:t>
      </w:r>
      <w:r>
        <w:rPr>
          <w:u w:val="single"/>
        </w:rPr>
        <w:t xml:space="preserve">S1 · </w:t>
      </w:r>
      <w:proofErr w:type="spellStart"/>
      <w:r>
        <w:rPr>
          <w:u w:val="single"/>
        </w:rPr>
        <w:t>a</w:t>
      </w:r>
      <w:r>
        <w:rPr>
          <w:sz w:val="22"/>
          <w:u w:val="single"/>
        </w:rPr>
        <w:t>o</w:t>
      </w:r>
      <w:proofErr w:type="spellEnd"/>
      <w:r>
        <w:rPr>
          <w:sz w:val="22"/>
          <w:u w:val="single"/>
        </w:rPr>
        <w:t xml:space="preserve">. </w:t>
      </w:r>
      <w:r>
        <w:rPr>
          <w:u w:val="single"/>
        </w:rPr>
        <w:t>· 900 · 100</w:t>
      </w:r>
      <w:r>
        <w:t xml:space="preserve"> ,</w:t>
      </w:r>
    </w:p>
    <w:p w:rsidR="00E22C2E" w:rsidRDefault="0009532C">
      <w:pPr>
        <w:spacing w:line="480" w:lineRule="atLeast"/>
        <w:ind w:left="1320"/>
      </w:pP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t>S</w:t>
      </w:r>
      <w:r>
        <w:rPr>
          <w:sz w:val="18"/>
        </w:rPr>
        <w:t>o</w:t>
      </w:r>
      <w:proofErr w:type="spellEnd"/>
      <w:r>
        <w:rPr>
          <w:sz w:val="18"/>
        </w:rPr>
        <w:t>..</w:t>
      </w:r>
      <w:r>
        <w:t xml:space="preserve">500 </w:t>
      </w:r>
      <w:r>
        <w:rPr>
          <w:sz w:val="18"/>
        </w:rPr>
        <w:t xml:space="preserve">· </w:t>
      </w:r>
      <w:r>
        <w:t>T</w:t>
      </w:r>
    </w:p>
    <w:p w:rsidR="00E22C2E" w:rsidRDefault="0009532C">
      <w:pPr>
        <w:spacing w:line="480" w:lineRule="atLeast"/>
        <w:ind w:left="60"/>
      </w:pPr>
      <w:r>
        <w:t>где:</w:t>
      </w:r>
    </w:p>
    <w:p w:rsidR="00E22C2E" w:rsidRDefault="0009532C">
      <w:pPr>
        <w:spacing w:line="480" w:lineRule="atLeast"/>
        <w:ind w:left="60" w:right="320"/>
      </w:pPr>
      <w:r>
        <w:t xml:space="preserve">S1. - площадь пика определяемого компонента на хроматограмме </w:t>
      </w:r>
      <w:proofErr w:type="gramStart"/>
      <w:r>
        <w:t>рас­твора</w:t>
      </w:r>
      <w:proofErr w:type="gramEnd"/>
      <w:r>
        <w:t xml:space="preserve"> испытуемого образца;</w:t>
      </w:r>
    </w:p>
    <w:p w:rsidR="00E22C2E" w:rsidRDefault="0009532C">
      <w:pPr>
        <w:spacing w:line="480" w:lineRule="atLeast"/>
        <w:ind w:left="60" w:right="320"/>
      </w:pPr>
      <w:proofErr w:type="spellStart"/>
      <w:r>
        <w:t>So</w:t>
      </w:r>
      <w:proofErr w:type="spellEnd"/>
      <w:r>
        <w:t xml:space="preserve">. - площадь пика определяемого компонента на хроматограмме </w:t>
      </w:r>
      <w:proofErr w:type="gramStart"/>
      <w:r>
        <w:t>рас­твора</w:t>
      </w:r>
      <w:proofErr w:type="gramEnd"/>
      <w:r>
        <w:t xml:space="preserve"> соответствующего стандартного образца; </w:t>
      </w:r>
    </w:p>
    <w:p w:rsidR="00E22C2E" w:rsidRDefault="0009532C">
      <w:pPr>
        <w:spacing w:line="480" w:lineRule="atLeast"/>
        <w:ind w:left="60" w:right="320"/>
      </w:pPr>
      <w:proofErr w:type="spellStart"/>
      <w:r>
        <w:lastRenderedPageBreak/>
        <w:t>ao</w:t>
      </w:r>
      <w:proofErr w:type="spellEnd"/>
      <w:r>
        <w:t xml:space="preserve">. - навеска соответствующего стандартного образца; </w:t>
      </w:r>
    </w:p>
    <w:p w:rsidR="00E22C2E" w:rsidRDefault="0009532C">
      <w:pPr>
        <w:spacing w:line="480" w:lineRule="atLeast"/>
        <w:ind w:left="60" w:right="320"/>
      </w:pPr>
      <w:r>
        <w:t xml:space="preserve">T - теоретическое содержание определяемого компонента </w:t>
      </w:r>
    </w:p>
    <w:p w:rsidR="00E22C2E" w:rsidRDefault="00E22C2E">
      <w:pPr>
        <w:spacing w:line="480" w:lineRule="atLeast"/>
        <w:ind w:left="60" w:right="320"/>
        <w:rPr>
          <w:i/>
        </w:rPr>
      </w:pPr>
    </w:p>
    <w:p w:rsidR="00E22C2E" w:rsidRDefault="0009532C">
      <w:pPr>
        <w:spacing w:line="480" w:lineRule="atLeast"/>
        <w:ind w:left="60" w:right="320"/>
        <w:rPr>
          <w:i/>
        </w:rPr>
      </w:pPr>
      <w:r>
        <w:rPr>
          <w:i/>
        </w:rPr>
        <w:t>Пригодность</w:t>
      </w:r>
      <w:r>
        <w:rPr>
          <w:i/>
        </w:rPr>
        <w:t xml:space="preserve"> хроматографической системы</w:t>
      </w:r>
    </w:p>
    <w:p w:rsidR="00E22C2E" w:rsidRDefault="0009532C">
      <w:pPr>
        <w:spacing w:line="480" w:lineRule="atLeast"/>
        <w:ind w:left="220" w:right="360"/>
      </w:pPr>
      <w:proofErr w:type="spellStart"/>
      <w:r>
        <w:t>Хроматографическую</w:t>
      </w:r>
      <w:proofErr w:type="spellEnd"/>
      <w:r>
        <w:t xml:space="preserve"> систему считают пригодной, если выполняются </w:t>
      </w:r>
      <w:proofErr w:type="gramStart"/>
      <w:r>
        <w:t>сле­дующие</w:t>
      </w:r>
      <w:proofErr w:type="gramEnd"/>
      <w:r>
        <w:t xml:space="preserve"> условия:</w:t>
      </w:r>
    </w:p>
    <w:p w:rsidR="00E22C2E" w:rsidRDefault="0009532C">
      <w:pPr>
        <w:spacing w:line="480" w:lineRule="atLeast"/>
        <w:ind w:left="220" w:right="360"/>
      </w:pPr>
      <w:r>
        <w:t>-разрешение между пиками определяемых компонентов должно быть не менее 1,5;</w:t>
      </w:r>
    </w:p>
    <w:p w:rsidR="00E22C2E" w:rsidRDefault="0009532C">
      <w:pPr>
        <w:spacing w:after="420" w:line="480" w:lineRule="atLeast"/>
        <w:ind w:left="220" w:right="360"/>
      </w:pPr>
      <w:r>
        <w:t>-коэффициент асимметрии пика определяемого вещества должен быть не бо</w:t>
      </w:r>
      <w:r>
        <w:t>лее 2.</w:t>
      </w:r>
    </w:p>
    <w:p w:rsidR="00E22C2E" w:rsidRDefault="00E22C2E">
      <w:pPr>
        <w:sectPr w:rsidR="00E22C2E">
          <w:type w:val="continuous"/>
          <w:pgSz w:w="11907" w:h="16839"/>
          <w:pgMar w:top="1133" w:right="850" w:bottom="1133" w:left="1700" w:header="708" w:footer="708" w:gutter="0"/>
          <w:cols w:space="0"/>
        </w:sectPr>
      </w:pPr>
    </w:p>
    <w:p w:rsidR="00E22C2E" w:rsidRDefault="0009532C">
      <w:r>
        <w:rPr>
          <w:b/>
          <w:sz w:val="30"/>
        </w:rPr>
        <w:lastRenderedPageBreak/>
        <w:t xml:space="preserve"> Количественное определение</w:t>
      </w:r>
    </w:p>
    <w:p w:rsidR="00E22C2E" w:rsidRDefault="0009532C">
      <w:pPr>
        <w:spacing w:before="300"/>
        <w:jc w:val="both"/>
        <w:rPr>
          <w:b/>
          <w:i/>
        </w:rPr>
      </w:pPr>
      <w:r>
        <w:t xml:space="preserve"> </w:t>
      </w:r>
      <w:r>
        <w:rPr>
          <w:i/>
        </w:rPr>
        <w:t>Т</w:t>
      </w:r>
      <w:r>
        <w:rPr>
          <w:b/>
          <w:i/>
        </w:rPr>
        <w:t xml:space="preserve">иамин </w:t>
      </w:r>
      <w:proofErr w:type="spellStart"/>
      <w:r>
        <w:rPr>
          <w:b/>
          <w:i/>
        </w:rPr>
        <w:t>мононитрат</w:t>
      </w:r>
      <w:proofErr w:type="spellEnd"/>
      <w:r>
        <w:rPr>
          <w:b/>
          <w:i/>
        </w:rPr>
        <w:t xml:space="preserve">, Кальция </w:t>
      </w:r>
      <w:proofErr w:type="spellStart"/>
      <w:r>
        <w:rPr>
          <w:b/>
          <w:i/>
        </w:rPr>
        <w:t>пантотенат</w:t>
      </w:r>
      <w:proofErr w:type="spellEnd"/>
      <w:r>
        <w:rPr>
          <w:b/>
          <w:i/>
        </w:rPr>
        <w:t xml:space="preserve">,  </w:t>
      </w:r>
      <w:proofErr w:type="spellStart"/>
      <w:r>
        <w:rPr>
          <w:b/>
          <w:i/>
        </w:rPr>
        <w:t>Ццистин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пара-Аминобензойная</w:t>
      </w:r>
      <w:proofErr w:type="spellEnd"/>
      <w:r>
        <w:rPr>
          <w:b/>
          <w:i/>
        </w:rPr>
        <w:t xml:space="preserve"> кислота </w:t>
      </w:r>
    </w:p>
    <w:p w:rsidR="00E22C2E" w:rsidRDefault="0009532C">
      <w:pPr>
        <w:spacing w:before="300"/>
        <w:jc w:val="both"/>
      </w:pPr>
      <w:r>
        <w:t>Определение проводят методом ВЭЖХ в соответствии с ОФС «Высокоэффективная жидкостная хроматография»</w:t>
      </w:r>
    </w:p>
    <w:p w:rsidR="00E22C2E" w:rsidRDefault="0009532C">
      <w:pPr>
        <w:jc w:val="both"/>
      </w:pPr>
      <w:r>
        <w:rPr>
          <w:i/>
        </w:rPr>
        <w:t xml:space="preserve">          Подвижная фа</w:t>
      </w:r>
      <w:r>
        <w:rPr>
          <w:i/>
        </w:rPr>
        <w:t>за</w:t>
      </w:r>
      <w:r>
        <w:t xml:space="preserve">: метанол + вода + 1 М раствор фосфорной кислоты + </w:t>
      </w:r>
      <w:proofErr w:type="spellStart"/>
      <w:r>
        <w:t>гексансульфоновая</w:t>
      </w:r>
      <w:proofErr w:type="spellEnd"/>
      <w:r>
        <w:t xml:space="preserve"> кислота (270 мл + 730 мл + 10 мл + 1,0 г).</w:t>
      </w:r>
    </w:p>
    <w:p w:rsidR="00E22C2E" w:rsidRDefault="0009532C">
      <w:pPr>
        <w:jc w:val="both"/>
      </w:pPr>
      <w:r>
        <w:t xml:space="preserve">          </w:t>
      </w:r>
      <w:r>
        <w:rPr>
          <w:i/>
        </w:rPr>
        <w:t xml:space="preserve">Буферный раствор </w:t>
      </w:r>
      <w:proofErr w:type="spellStart"/>
      <w:r>
        <w:rPr>
          <w:i/>
        </w:rPr>
        <w:t>pH</w:t>
      </w:r>
      <w:proofErr w:type="spellEnd"/>
      <w:r>
        <w:rPr>
          <w:i/>
        </w:rPr>
        <w:t xml:space="preserve"> 2,0.</w:t>
      </w:r>
      <w:r>
        <w:t xml:space="preserve"> 6,57 г калия хлорида растворяют в воде, добавляют 119,0 мл 0,1 М раствора </w:t>
      </w:r>
      <w:proofErr w:type="gramStart"/>
      <w:r>
        <w:t>хлористоводо­родной</w:t>
      </w:r>
      <w:proofErr w:type="gramEnd"/>
      <w:r>
        <w:t xml:space="preserve"> кислоты, зате</w:t>
      </w:r>
      <w:r>
        <w:t>м раствор разводят водой до 1000,0 мл.</w:t>
      </w:r>
    </w:p>
    <w:p w:rsidR="00E22C2E" w:rsidRDefault="0009532C">
      <w:pPr>
        <w:jc w:val="both"/>
      </w:pPr>
      <w:r>
        <w:rPr>
          <w:i/>
        </w:rPr>
        <w:t xml:space="preserve">          Испытуемый раствор.</w:t>
      </w:r>
      <w:r>
        <w:t xml:space="preserve"> </w:t>
      </w:r>
      <w:proofErr w:type="gramStart"/>
      <w:r>
        <w:t xml:space="preserve">В мерную колбу вместимостью 100 мл помещают около 84,0 мг (точная навеска) гомогенизированного вещества, добавляют 90 мл буферного раствора с </w:t>
      </w:r>
      <w:proofErr w:type="spellStart"/>
      <w:r>
        <w:t>pH</w:t>
      </w:r>
      <w:proofErr w:type="spellEnd"/>
      <w:r>
        <w:t xml:space="preserve"> 2,0, смесь обрабатывают на ультразвуковой </w:t>
      </w:r>
      <w:r>
        <w:t xml:space="preserve">бане в течение 30 мин при температуре около 47 °С. После охлаждения объем раствора в колбе доводят до 100,0 мл буферным раствором с </w:t>
      </w:r>
      <w:proofErr w:type="spellStart"/>
      <w:r>
        <w:t>pH</w:t>
      </w:r>
      <w:proofErr w:type="spellEnd"/>
      <w:r>
        <w:t xml:space="preserve"> 2,0, затем фильтруют через мембранный фильтр (0,45 мкм), отбрасывая первый</w:t>
      </w:r>
      <w:proofErr w:type="gramEnd"/>
      <w:r>
        <w:t xml:space="preserve"> 1 мл фильтрата.</w:t>
      </w:r>
    </w:p>
    <w:p w:rsidR="00E22C2E" w:rsidRDefault="0009532C">
      <w:pPr>
        <w:jc w:val="both"/>
      </w:pPr>
      <w:r>
        <w:rPr>
          <w:i/>
        </w:rPr>
        <w:lastRenderedPageBreak/>
        <w:t xml:space="preserve">          Раствор стандартного</w:t>
      </w:r>
      <w:r>
        <w:rPr>
          <w:i/>
        </w:rPr>
        <w:t xml:space="preserve"> образца. </w:t>
      </w:r>
      <w:proofErr w:type="gramStart"/>
      <w:r>
        <w:t>В</w:t>
      </w:r>
      <w:r>
        <w:rPr>
          <w:rFonts w:ascii="Times" w:hAnsi="Times"/>
        </w:rPr>
        <w:t xml:space="preserve"> мерную колбу вместимостью 100 мл помещают о</w:t>
      </w:r>
      <w:r>
        <w:t xml:space="preserve">коло 5 мг (точная навеска) </w:t>
      </w:r>
      <w:proofErr w:type="spellStart"/>
      <w:r>
        <w:t>цистина</w:t>
      </w:r>
      <w:proofErr w:type="spellEnd"/>
      <w:r>
        <w:t xml:space="preserve"> стандарта, около 5,0 мг (точная навеска) кислоты </w:t>
      </w:r>
      <w:proofErr w:type="spellStart"/>
      <w:r>
        <w:t>пара-аминобензойной</w:t>
      </w:r>
      <w:proofErr w:type="spellEnd"/>
      <w:r>
        <w:t xml:space="preserve"> стандарта, около 15,0 мг (точная навеска) кальция </w:t>
      </w:r>
      <w:proofErr w:type="spellStart"/>
      <w:r>
        <w:t>пантотената</w:t>
      </w:r>
      <w:proofErr w:type="spellEnd"/>
      <w:r>
        <w:t xml:space="preserve"> и около 15,0 мг (точная навеска) ти</w:t>
      </w:r>
      <w:r>
        <w:t xml:space="preserve">амина </w:t>
      </w:r>
      <w:proofErr w:type="spellStart"/>
      <w:r>
        <w:t>мононитрата</w:t>
      </w:r>
      <w:proofErr w:type="spellEnd"/>
      <w:r>
        <w:t xml:space="preserve"> стандарта, добавляют 90 мл буферного раствора </w:t>
      </w:r>
      <w:proofErr w:type="spellStart"/>
      <w:r>
        <w:t>pH</w:t>
      </w:r>
      <w:proofErr w:type="spellEnd"/>
      <w:r>
        <w:t xml:space="preserve"> 2,0, смесь подвергают ультразвуковой обработке в течение 30 мин при температуре около 47 °С. После охлаждения</w:t>
      </w:r>
      <w:proofErr w:type="gramEnd"/>
      <w:r>
        <w:t xml:space="preserve"> объем раствора в колбе доводят до метки буферным раствором </w:t>
      </w:r>
      <w:proofErr w:type="spellStart"/>
      <w:r>
        <w:t>pH</w:t>
      </w:r>
      <w:proofErr w:type="spellEnd"/>
      <w:r>
        <w:t xml:space="preserve"> 2,0, затем фильтр</w:t>
      </w:r>
      <w:r>
        <w:t>уют через мембранный фильтр (0,45 мкм).</w:t>
      </w:r>
    </w:p>
    <w:p w:rsidR="00E22C2E" w:rsidRDefault="0009532C">
      <w:pPr>
        <w:jc w:val="both"/>
        <w:rPr>
          <w:i/>
        </w:rPr>
      </w:pPr>
      <w:proofErr w:type="spellStart"/>
      <w:r>
        <w:rPr>
          <w:i/>
        </w:rPr>
        <w:t>Хроматографические</w:t>
      </w:r>
      <w:proofErr w:type="spellEnd"/>
      <w:r>
        <w:rPr>
          <w:i/>
        </w:rPr>
        <w:t xml:space="preserve">  условия </w:t>
      </w:r>
    </w:p>
    <w:p w:rsidR="00E22C2E" w:rsidRDefault="0009532C">
      <w:pPr>
        <w:ind w:right="283"/>
        <w:jc w:val="both"/>
      </w:pPr>
      <w:r>
        <w:t xml:space="preserve">Колонка:         </w:t>
      </w:r>
      <w:r>
        <w:rPr>
          <w:sz w:val="22"/>
        </w:rPr>
        <w:t xml:space="preserve"> </w:t>
      </w:r>
      <w:r>
        <w:t xml:space="preserve">250 </w:t>
      </w:r>
      <w:proofErr w:type="spellStart"/>
      <w:r>
        <w:t>х</w:t>
      </w:r>
      <w:proofErr w:type="spellEnd"/>
      <w:r>
        <w:t xml:space="preserve"> 4 мм, 5 мкм силикагель </w:t>
      </w:r>
      <w:proofErr w:type="spellStart"/>
      <w:r>
        <w:t>октадецилсилильный</w:t>
      </w:r>
      <w:proofErr w:type="spellEnd"/>
      <w:r>
        <w:t xml:space="preserve"> (С 18)</w:t>
      </w:r>
    </w:p>
    <w:p w:rsidR="00E22C2E" w:rsidRDefault="0009532C">
      <w:pPr>
        <w:jc w:val="both"/>
      </w:pPr>
      <w:r>
        <w:t>Температура:  25</w:t>
      </w:r>
      <w:proofErr w:type="gramStart"/>
      <w:r>
        <w:t xml:space="preserve"> ºС</w:t>
      </w:r>
      <w:proofErr w:type="gramEnd"/>
    </w:p>
    <w:p w:rsidR="00E22C2E" w:rsidRDefault="0009532C">
      <w:pPr>
        <w:jc w:val="both"/>
      </w:pPr>
      <w:proofErr w:type="spellStart"/>
      <w:r>
        <w:t>Детекция</w:t>
      </w:r>
      <w:proofErr w:type="spellEnd"/>
      <w:r>
        <w:t>:        спектрофотометрический, 205 нм</w:t>
      </w:r>
    </w:p>
    <w:p w:rsidR="00E22C2E" w:rsidRDefault="0009532C">
      <w:pPr>
        <w:jc w:val="both"/>
      </w:pPr>
      <w:r>
        <w:t>Скорость потока: 1,0 мл/мин</w:t>
      </w:r>
    </w:p>
    <w:p w:rsidR="00E22C2E" w:rsidRDefault="0009532C">
      <w:pPr>
        <w:jc w:val="both"/>
      </w:pPr>
      <w:r>
        <w:t>Объем ввода пробы:</w:t>
      </w:r>
      <w:r>
        <w:t xml:space="preserve"> 10 мкл</w:t>
      </w:r>
    </w:p>
    <w:p w:rsidR="00E22C2E" w:rsidRDefault="0009532C">
      <w:pPr>
        <w:jc w:val="both"/>
      </w:pPr>
      <w:r>
        <w:t>Время анализа:          16 мин</w:t>
      </w:r>
    </w:p>
    <w:p w:rsidR="00E22C2E" w:rsidRDefault="0009532C">
      <w:pPr>
        <w:jc w:val="both"/>
      </w:pPr>
      <w:r>
        <w:rPr>
          <w:rFonts w:ascii="Times" w:hAnsi="Times"/>
          <w:sz w:val="22"/>
        </w:rPr>
        <w:t xml:space="preserve"> </w:t>
      </w:r>
      <w:r>
        <w:rPr>
          <w:rFonts w:ascii="Times" w:hAnsi="Times"/>
        </w:rPr>
        <w:t xml:space="preserve">Определяют площади пиков </w:t>
      </w:r>
      <w:proofErr w:type="spellStart"/>
      <w:r>
        <w:rPr>
          <w:rFonts w:ascii="Times" w:hAnsi="Times"/>
        </w:rPr>
        <w:t>цистина</w:t>
      </w:r>
      <w:proofErr w:type="spellEnd"/>
      <w:r>
        <w:rPr>
          <w:rFonts w:ascii="Times" w:hAnsi="Times"/>
        </w:rPr>
        <w:t xml:space="preserve">, кальция </w:t>
      </w:r>
      <w:proofErr w:type="spellStart"/>
      <w:r>
        <w:rPr>
          <w:rFonts w:ascii="Times" w:hAnsi="Times"/>
        </w:rPr>
        <w:t>пантотената</w:t>
      </w:r>
      <w:proofErr w:type="spellEnd"/>
      <w:r>
        <w:rPr>
          <w:rFonts w:ascii="Times" w:hAnsi="Times"/>
        </w:rPr>
        <w:t>, кислоты пар</w:t>
      </w:r>
      <w:proofErr w:type="gramStart"/>
      <w:r>
        <w:rPr>
          <w:rFonts w:ascii="Times" w:hAnsi="Times"/>
        </w:rPr>
        <w:t>а-</w:t>
      </w:r>
      <w:proofErr w:type="gram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аминобензойной</w:t>
      </w:r>
      <w:proofErr w:type="spellEnd"/>
      <w:r>
        <w:rPr>
          <w:rFonts w:ascii="Times" w:hAnsi="Times"/>
        </w:rPr>
        <w:t xml:space="preserve"> и тиамина </w:t>
      </w:r>
      <w:proofErr w:type="spellStart"/>
      <w:r>
        <w:rPr>
          <w:rFonts w:ascii="Times" w:hAnsi="Times"/>
        </w:rPr>
        <w:t>мононитрата</w:t>
      </w:r>
      <w:proofErr w:type="spellEnd"/>
      <w:r>
        <w:rPr>
          <w:rFonts w:ascii="Times" w:hAnsi="Times"/>
        </w:rPr>
        <w:t xml:space="preserve"> для испытуемого и стандартного растворов. </w:t>
      </w:r>
    </w:p>
    <w:p w:rsidR="00E22C2E" w:rsidRDefault="0009532C">
      <w:pPr>
        <w:jc w:val="both"/>
      </w:pPr>
      <w:r>
        <w:t>Время удерживания:</w:t>
      </w:r>
    </w:p>
    <w:p w:rsidR="00E22C2E" w:rsidRDefault="0009532C">
      <w:pPr>
        <w:jc w:val="both"/>
      </w:pPr>
      <w:proofErr w:type="spellStart"/>
      <w:r>
        <w:t>Цистин</w:t>
      </w:r>
      <w:proofErr w:type="spellEnd"/>
      <w:r>
        <w:t xml:space="preserve">: около 3 мин </w:t>
      </w:r>
    </w:p>
    <w:p w:rsidR="00E22C2E" w:rsidRDefault="0009532C">
      <w:pPr>
        <w:jc w:val="both"/>
      </w:pPr>
      <w:r>
        <w:t xml:space="preserve">Кальция </w:t>
      </w:r>
      <w:proofErr w:type="spellStart"/>
      <w:r>
        <w:t>пантотенат</w:t>
      </w:r>
      <w:proofErr w:type="spellEnd"/>
      <w:r>
        <w:rPr>
          <w:b/>
        </w:rPr>
        <w:t>:</w:t>
      </w:r>
      <w:r>
        <w:t xml:space="preserve"> около 3,6 мин </w:t>
      </w:r>
    </w:p>
    <w:p w:rsidR="00E22C2E" w:rsidRDefault="0009532C">
      <w:pPr>
        <w:jc w:val="both"/>
      </w:pPr>
      <w:r>
        <w:t xml:space="preserve">Кислота </w:t>
      </w:r>
      <w:proofErr w:type="spellStart"/>
      <w:proofErr w:type="gramStart"/>
      <w:r>
        <w:t>пара-аминобензойная</w:t>
      </w:r>
      <w:proofErr w:type="spellEnd"/>
      <w:proofErr w:type="gramEnd"/>
      <w:r>
        <w:t>: около 5,5 мин</w:t>
      </w:r>
    </w:p>
    <w:p w:rsidR="00E22C2E" w:rsidRDefault="0009532C">
      <w:pPr>
        <w:spacing w:line="240" w:lineRule="auto"/>
        <w:jc w:val="both"/>
      </w:pPr>
      <w:r>
        <w:t xml:space="preserve">Тиамина </w:t>
      </w:r>
      <w:proofErr w:type="spellStart"/>
      <w:r>
        <w:t>мононитрат</w:t>
      </w:r>
      <w:proofErr w:type="spellEnd"/>
      <w:r>
        <w:t xml:space="preserve">: около 14 мин </w:t>
      </w:r>
    </w:p>
    <w:p w:rsidR="00E22C2E" w:rsidRDefault="00E22C2E">
      <w:pPr>
        <w:spacing w:line="240" w:lineRule="auto"/>
        <w:jc w:val="both"/>
        <w:rPr>
          <w:sz w:val="22"/>
        </w:rPr>
      </w:pPr>
    </w:p>
    <w:p w:rsidR="00E22C2E" w:rsidRDefault="0009532C">
      <w:pPr>
        <w:spacing w:line="240" w:lineRule="auto"/>
        <w:ind w:left="60"/>
        <w:jc w:val="both"/>
        <w:rPr>
          <w:i/>
        </w:rPr>
      </w:pPr>
      <w:r>
        <w:rPr>
          <w:i/>
        </w:rPr>
        <w:t>Пригодность хроматографической системы</w:t>
      </w:r>
    </w:p>
    <w:p w:rsidR="00E22C2E" w:rsidRDefault="0009532C">
      <w:pPr>
        <w:spacing w:line="480" w:lineRule="atLeast"/>
        <w:ind w:left="840" w:right="60" w:hanging="420"/>
      </w:pPr>
      <w:r>
        <w:rPr>
          <w:sz w:val="24"/>
        </w:rPr>
        <w:t>-</w:t>
      </w:r>
      <w:r>
        <w:rPr>
          <w:sz w:val="14"/>
        </w:rPr>
        <w:tab/>
        <w:t xml:space="preserve"> </w:t>
      </w:r>
      <w:r>
        <w:t>коэффициент разделения между всеми определяемыми компонента­ми должен быть не менее 1,5;</w:t>
      </w:r>
    </w:p>
    <w:p w:rsidR="00E22C2E" w:rsidRDefault="0009532C">
      <w:pPr>
        <w:spacing w:line="480" w:lineRule="atLeast"/>
        <w:ind w:left="840" w:right="60" w:hanging="420"/>
      </w:pPr>
      <w:r>
        <w:rPr>
          <w:sz w:val="24"/>
        </w:rPr>
        <w:t>-</w:t>
      </w:r>
      <w:r>
        <w:rPr>
          <w:sz w:val="14"/>
        </w:rPr>
        <w:tab/>
        <w:t xml:space="preserve"> </w:t>
      </w:r>
      <w:r>
        <w:t xml:space="preserve"> коэффициент симметрии </w:t>
      </w:r>
      <w:proofErr w:type="spellStart"/>
      <w:r>
        <w:t>пиков</w:t>
      </w:r>
      <w:proofErr w:type="gramStart"/>
      <w:r>
        <w:t>:ц</w:t>
      </w:r>
      <w:proofErr w:type="gramEnd"/>
      <w:r>
        <w:t>истина</w:t>
      </w:r>
      <w:proofErr w:type="spellEnd"/>
      <w:r>
        <w:t xml:space="preserve">, кальция </w:t>
      </w:r>
      <w:proofErr w:type="spellStart"/>
      <w:r>
        <w:t>пантотената</w:t>
      </w:r>
      <w:proofErr w:type="spellEnd"/>
      <w:r>
        <w:t xml:space="preserve"> и кислоты </w:t>
      </w:r>
      <w:proofErr w:type="spellStart"/>
      <w:r>
        <w:t>пара-аминобензойной</w:t>
      </w:r>
      <w:proofErr w:type="spellEnd"/>
      <w:r>
        <w:t xml:space="preserve"> должен быть не менее 2,0;</w:t>
      </w:r>
    </w:p>
    <w:p w:rsidR="00E22C2E" w:rsidRDefault="0009532C">
      <w:pPr>
        <w:spacing w:line="480" w:lineRule="atLeast"/>
        <w:ind w:left="720" w:right="60" w:hanging="380"/>
      </w:pPr>
      <w:r>
        <w:rPr>
          <w:sz w:val="24"/>
        </w:rPr>
        <w:lastRenderedPageBreak/>
        <w:t>-</w:t>
      </w:r>
      <w:r>
        <w:rPr>
          <w:sz w:val="14"/>
        </w:rPr>
        <w:tab/>
        <w:t xml:space="preserve"> </w:t>
      </w:r>
      <w:r>
        <w:t xml:space="preserve"> коэффициент симметрии пика тиамина </w:t>
      </w:r>
      <w:proofErr w:type="spellStart"/>
      <w:r>
        <w:t>мононитрата</w:t>
      </w:r>
      <w:proofErr w:type="spellEnd"/>
      <w:r>
        <w:t xml:space="preserve"> должен быть не менее 3,5;</w:t>
      </w:r>
    </w:p>
    <w:p w:rsidR="00E22C2E" w:rsidRDefault="0009532C">
      <w:pPr>
        <w:spacing w:line="480" w:lineRule="atLeast"/>
        <w:ind w:left="720" w:hanging="380"/>
      </w:pPr>
      <w:r>
        <w:rPr>
          <w:sz w:val="24"/>
        </w:rPr>
        <w:t>-</w:t>
      </w:r>
      <w:r>
        <w:rPr>
          <w:sz w:val="14"/>
        </w:rPr>
        <w:tab/>
        <w:t xml:space="preserve"> </w:t>
      </w:r>
      <w:r>
        <w:t xml:space="preserve"> эффективность хроматографической колонки должна быть не </w:t>
      </w:r>
      <w:r>
        <w:rPr>
          <w:rFonts w:ascii="Times" w:hAnsi="Times"/>
        </w:rPr>
        <w:t xml:space="preserve">менее      5000 </w:t>
      </w:r>
      <w:r>
        <w:t xml:space="preserve"> теоретических та</w:t>
      </w:r>
      <w:r>
        <w:t xml:space="preserve">релок. </w:t>
      </w:r>
    </w:p>
    <w:p w:rsidR="00E22C2E" w:rsidRDefault="00E22C2E"/>
    <w:p w:rsidR="00E22C2E" w:rsidRDefault="0009532C">
      <w:pPr>
        <w:spacing w:before="60"/>
        <w:jc w:val="both"/>
      </w:pPr>
      <w:r>
        <w:t>Количественное содержание каждого компонента (G) в мг/капсуле вычисляют по формуле:</w:t>
      </w:r>
    </w:p>
    <w:p w:rsidR="00E22C2E" w:rsidRDefault="0009532C">
      <w:pPr>
        <w:spacing w:before="60"/>
        <w:jc w:val="both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noProof/>
        </w:rPr>
        <w:drawing>
          <wp:inline distT="0" distB="0" distL="0" distR="0">
            <wp:extent cx="3019425" cy="714375"/>
            <wp:effectExtent l="0" t="0" r="0" b="0"/>
            <wp:docPr id="1" name="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C2E" w:rsidRDefault="0009532C">
      <w:pPr>
        <w:spacing w:line="276" w:lineRule="auto"/>
        <w:ind w:left="60"/>
        <w:jc w:val="both"/>
      </w:pPr>
      <w:r>
        <w:t xml:space="preserve">где: </w:t>
      </w:r>
      <w:r>
        <w:t xml:space="preserve"> Ар</w:t>
      </w:r>
      <w:r>
        <w:tab/>
        <w:t xml:space="preserve"> -  площадь пика определяемого вещества в испытуемом</w:t>
      </w:r>
    </w:p>
    <w:p w:rsidR="00E22C2E" w:rsidRDefault="0009532C">
      <w:pPr>
        <w:spacing w:line="276" w:lineRule="auto"/>
        <w:ind w:left="1620"/>
      </w:pPr>
      <w:proofErr w:type="gramStart"/>
      <w:r>
        <w:t>растворе</w:t>
      </w:r>
      <w:proofErr w:type="gramEnd"/>
      <w:r>
        <w:t>;</w:t>
      </w:r>
    </w:p>
    <w:p w:rsidR="00E22C2E" w:rsidRDefault="0009532C">
      <w:pPr>
        <w:spacing w:line="276" w:lineRule="auto"/>
        <w:ind w:left="420"/>
        <w:jc w:val="both"/>
      </w:pPr>
      <w:r>
        <w:t xml:space="preserve">  </w:t>
      </w:r>
      <w:proofErr w:type="spellStart"/>
      <w:r>
        <w:t>Аг</w:t>
      </w:r>
      <w:proofErr w:type="spellEnd"/>
      <w:r>
        <w:tab/>
        <w:t xml:space="preserve"> -  площадь пика определяемого вещества в </w:t>
      </w:r>
      <w:proofErr w:type="gramStart"/>
      <w:r>
        <w:t>стандартном</w:t>
      </w:r>
      <w:proofErr w:type="gramEnd"/>
    </w:p>
    <w:p w:rsidR="00E22C2E" w:rsidRDefault="0009532C">
      <w:pPr>
        <w:spacing w:line="276" w:lineRule="auto"/>
        <w:ind w:left="1620"/>
      </w:pPr>
      <w:proofErr w:type="gramStart"/>
      <w:r>
        <w:t>растворе</w:t>
      </w:r>
      <w:proofErr w:type="gramEnd"/>
      <w:r>
        <w:t>;</w:t>
      </w:r>
    </w:p>
    <w:p w:rsidR="00E22C2E" w:rsidRDefault="0009532C">
      <w:pPr>
        <w:spacing w:line="276" w:lineRule="auto"/>
        <w:ind w:left="420"/>
        <w:jc w:val="both"/>
      </w:pPr>
      <w:r>
        <w:t xml:space="preserve">  Ер</w:t>
      </w:r>
      <w:r>
        <w:tab/>
      </w:r>
      <w:r>
        <w:t xml:space="preserve"> -  навеска содержимого капсул, мг;</w:t>
      </w:r>
    </w:p>
    <w:p w:rsidR="00E22C2E" w:rsidRDefault="0009532C">
      <w:pPr>
        <w:spacing w:line="276" w:lineRule="auto"/>
        <w:ind w:left="420"/>
        <w:jc w:val="both"/>
      </w:pPr>
      <w:r>
        <w:t xml:space="preserve">  </w:t>
      </w:r>
      <w:proofErr w:type="spellStart"/>
      <w:r>
        <w:t>Ег</w:t>
      </w:r>
      <w:proofErr w:type="spellEnd"/>
      <w:r>
        <w:tab/>
        <w:t xml:space="preserve"> -  навеска стандарта, мг;</w:t>
      </w:r>
    </w:p>
    <w:p w:rsidR="00E22C2E" w:rsidRDefault="0009532C">
      <w:pPr>
        <w:spacing w:line="276" w:lineRule="auto"/>
        <w:ind w:left="420"/>
        <w:jc w:val="both"/>
      </w:pPr>
      <w:r>
        <w:t xml:space="preserve">  </w:t>
      </w:r>
      <w:proofErr w:type="spellStart"/>
      <w:r>
        <w:t>Gr</w:t>
      </w:r>
      <w:proofErr w:type="spellEnd"/>
      <w:r>
        <w:tab/>
        <w:t xml:space="preserve"> -  количественное содержание компонентов в </w:t>
      </w:r>
      <w:proofErr w:type="gramStart"/>
      <w:r>
        <w:t>стандартном</w:t>
      </w:r>
      <w:proofErr w:type="gramEnd"/>
    </w:p>
    <w:p w:rsidR="00E22C2E" w:rsidRDefault="0009532C">
      <w:pPr>
        <w:spacing w:line="276" w:lineRule="auto"/>
        <w:ind w:left="1620"/>
      </w:pPr>
      <w:proofErr w:type="gramStart"/>
      <w:r>
        <w:t>образце</w:t>
      </w:r>
      <w:proofErr w:type="gramEnd"/>
      <w:r>
        <w:t>, %;</w:t>
      </w:r>
    </w:p>
    <w:p w:rsidR="00E22C2E" w:rsidRDefault="0009532C">
      <w:pPr>
        <w:spacing w:after="420" w:line="276" w:lineRule="auto"/>
        <w:ind w:left="420"/>
        <w:jc w:val="both"/>
      </w:pPr>
      <w:r>
        <w:t xml:space="preserve">  </w:t>
      </w:r>
      <w:proofErr w:type="gramStart"/>
      <w:r>
        <w:t>К</w:t>
      </w:r>
      <w:proofErr w:type="gramEnd"/>
      <w:r>
        <w:tab/>
        <w:t xml:space="preserve"> -  </w:t>
      </w:r>
      <w:proofErr w:type="gramStart"/>
      <w:r>
        <w:t>средняя</w:t>
      </w:r>
      <w:proofErr w:type="gramEnd"/>
      <w:r>
        <w:t xml:space="preserve"> масса содержимого капсул (мг).</w:t>
      </w:r>
    </w:p>
    <w:p w:rsidR="00E22C2E" w:rsidRDefault="00E22C2E">
      <w:pPr>
        <w:sectPr w:rsidR="00E22C2E">
          <w:type w:val="continuous"/>
          <w:pgSz w:w="11907" w:h="16839"/>
          <w:pgMar w:top="1133" w:right="850" w:bottom="1133" w:left="1700" w:header="708" w:footer="708" w:gutter="0"/>
          <w:cols w:space="0"/>
        </w:sectPr>
      </w:pPr>
    </w:p>
    <w:p w:rsidR="00E22C2E" w:rsidRDefault="0009532C">
      <w:r>
        <w:rPr>
          <w:b/>
          <w:sz w:val="30"/>
        </w:rPr>
        <w:lastRenderedPageBreak/>
        <w:t>Количественное определение кератина и дрожжей</w:t>
      </w:r>
    </w:p>
    <w:p w:rsidR="00E22C2E" w:rsidRDefault="0009532C">
      <w:pPr>
        <w:spacing w:line="480" w:lineRule="atLeast"/>
        <w:ind w:left="60"/>
        <w:jc w:val="both"/>
        <w:rPr>
          <w:i/>
        </w:rPr>
      </w:pPr>
      <w:r>
        <w:rPr>
          <w:i/>
        </w:rPr>
        <w:t>Кератин и дрожжи</w:t>
      </w:r>
    </w:p>
    <w:p w:rsidR="00E22C2E" w:rsidRDefault="0009532C">
      <w:pPr>
        <w:spacing w:line="480" w:lineRule="atLeast"/>
        <w:ind w:left="60"/>
        <w:jc w:val="both"/>
      </w:pPr>
      <w:r>
        <w:t>Кератин - количественное содержание протеина - не менее 80 %;</w:t>
      </w:r>
    </w:p>
    <w:p w:rsidR="00E22C2E" w:rsidRDefault="0009532C">
      <w:pPr>
        <w:spacing w:line="480" w:lineRule="atLeast"/>
        <w:ind w:left="60"/>
      </w:pPr>
      <w:r>
        <w:t>Дрожжи медицинские - количественное содержание протеина - не менее 45 %.</w:t>
      </w:r>
    </w:p>
    <w:p w:rsidR="00E22C2E" w:rsidRDefault="0009532C">
      <w:pPr>
        <w:spacing w:line="480" w:lineRule="atLeast"/>
        <w:ind w:left="60"/>
        <w:jc w:val="both"/>
      </w:pPr>
      <w:r>
        <w:t>Определение проводят методом аминокислотного анализа.</w:t>
      </w:r>
    </w:p>
    <w:p w:rsidR="00E22C2E" w:rsidRDefault="0009532C">
      <w:pPr>
        <w:spacing w:after="240" w:line="480" w:lineRule="atLeast"/>
        <w:ind w:left="60"/>
        <w:jc w:val="both"/>
      </w:pPr>
      <w:r>
        <w:t>Предварительно проводят гидролиз.</w:t>
      </w:r>
    </w:p>
    <w:p w:rsidR="00E22C2E" w:rsidRDefault="0009532C">
      <w:pPr>
        <w:ind w:left="60" w:right="60"/>
        <w:jc w:val="both"/>
      </w:pPr>
      <w:r>
        <w:t>Взвешивают 100,0</w:t>
      </w:r>
      <w:r>
        <w:t xml:space="preserve"> мг дрожжей, 100,0 мг кератина и 400,0 мг содержимого капсул в отдельные </w:t>
      </w:r>
      <w:proofErr w:type="spellStart"/>
      <w:r>
        <w:t>круглодонные</w:t>
      </w:r>
      <w:proofErr w:type="spellEnd"/>
      <w:r>
        <w:t xml:space="preserve"> колбы вместимостью по 250 мл. После добавления 50 мл хлористоводородной кислоты раствора 6 М, содержимое </w:t>
      </w:r>
      <w:r>
        <w:lastRenderedPageBreak/>
        <w:t>колбы перемешивают и добавляют кипятильные камни. Смесь кипятят с</w:t>
      </w:r>
      <w:r>
        <w:t xml:space="preserve"> обратным холодильником в течение 23 ч под током азота.</w:t>
      </w:r>
    </w:p>
    <w:p w:rsidR="00E22C2E" w:rsidRDefault="0009532C">
      <w:pPr>
        <w:ind w:left="60" w:right="60"/>
        <w:jc w:val="both"/>
      </w:pPr>
      <w:r>
        <w:t>После охлаждения до температуры от 15 до 25</w:t>
      </w:r>
      <w:proofErr w:type="gramStart"/>
      <w:r>
        <w:t xml:space="preserve"> ºС</w:t>
      </w:r>
      <w:proofErr w:type="gramEnd"/>
      <w:r>
        <w:t xml:space="preserve"> обратный холодильник промывают 5 мл цитратного буфера. </w:t>
      </w:r>
      <w:proofErr w:type="spellStart"/>
      <w:r>
        <w:t>Гидролизат</w:t>
      </w:r>
      <w:proofErr w:type="spellEnd"/>
      <w:r>
        <w:t xml:space="preserve"> </w:t>
      </w:r>
      <w:proofErr w:type="gramStart"/>
      <w:r>
        <w:t xml:space="preserve">доводят до </w:t>
      </w:r>
      <w:proofErr w:type="spellStart"/>
      <w:r>
        <w:t>pH</w:t>
      </w:r>
      <w:proofErr w:type="spellEnd"/>
      <w:r>
        <w:t xml:space="preserve"> 2,2 натрия гидроксида раствором 7,5 М. Температура должна быть не выше 40</w:t>
      </w:r>
      <w:r>
        <w:t xml:space="preserve"> °С. </w:t>
      </w:r>
      <w:proofErr w:type="spellStart"/>
      <w:r>
        <w:t>Гидролизат</w:t>
      </w:r>
      <w:proofErr w:type="spellEnd"/>
      <w:r>
        <w:t xml:space="preserve"> количественно переносят</w:t>
      </w:r>
      <w:proofErr w:type="gramEnd"/>
      <w:r>
        <w:t xml:space="preserve"> в мерную колбу вместимостью 200 мл, доводят объем раствора до метки цитратным буфером и перемешивают. Раствор хранят при температуре ниже 5 °С.</w:t>
      </w:r>
    </w:p>
    <w:p w:rsidR="00E22C2E" w:rsidRDefault="0009532C">
      <w:pPr>
        <w:ind w:left="60" w:right="60"/>
        <w:jc w:val="both"/>
        <w:rPr>
          <w:i/>
        </w:rPr>
      </w:pPr>
      <w:r>
        <w:rPr>
          <w:i/>
        </w:rPr>
        <w:t>Приготовление хлористоводородной кислоты раствора 6 М</w:t>
      </w:r>
    </w:p>
    <w:p w:rsidR="00E22C2E" w:rsidRDefault="0009532C">
      <w:pPr>
        <w:ind w:left="60" w:right="60"/>
        <w:jc w:val="both"/>
      </w:pPr>
      <w:r>
        <w:t>510 мл  хлористово</w:t>
      </w:r>
      <w:r>
        <w:t>дородной кислоты кон­центрированной (плотность 1,19) помещают в мерную колбу вместимостью 1000 мл, доводят объем раствора  водой до метки и тщательно перемешивают.</w:t>
      </w:r>
    </w:p>
    <w:p w:rsidR="00E22C2E" w:rsidRDefault="0009532C">
      <w:pPr>
        <w:ind w:left="60" w:right="60"/>
        <w:jc w:val="both"/>
        <w:rPr>
          <w:i/>
        </w:rPr>
      </w:pPr>
      <w:r>
        <w:rPr>
          <w:i/>
        </w:rPr>
        <w:t>Приготовление цитратного буфера</w:t>
      </w:r>
    </w:p>
    <w:p w:rsidR="00E22C2E" w:rsidRDefault="0009532C">
      <w:pPr>
        <w:ind w:left="60" w:right="60"/>
        <w:jc w:val="both"/>
      </w:pPr>
      <w:r>
        <w:t xml:space="preserve"> 22,2 мл </w:t>
      </w:r>
      <w:proofErr w:type="gramStart"/>
      <w:r>
        <w:t>ли­монной</w:t>
      </w:r>
      <w:proofErr w:type="gramEnd"/>
      <w:r>
        <w:t xml:space="preserve"> кислоты раствора 0,1 М и 27,8 мл натрия </w:t>
      </w:r>
      <w:proofErr w:type="spellStart"/>
      <w:r>
        <w:t>дигидрофосфата</w:t>
      </w:r>
      <w:proofErr w:type="spellEnd"/>
      <w:r>
        <w:t xml:space="preserve"> раствора 0,2 М, доводят водой до метки; </w:t>
      </w:r>
      <w:proofErr w:type="spellStart"/>
      <w:r>
        <w:t>pH</w:t>
      </w:r>
      <w:proofErr w:type="spellEnd"/>
      <w:r>
        <w:t xml:space="preserve"> 5,4.</w:t>
      </w:r>
    </w:p>
    <w:p w:rsidR="00E22C2E" w:rsidRDefault="0009532C">
      <w:pPr>
        <w:ind w:left="60" w:right="60"/>
        <w:jc w:val="both"/>
        <w:rPr>
          <w:i/>
        </w:rPr>
      </w:pPr>
      <w:r>
        <w:rPr>
          <w:i/>
        </w:rPr>
        <w:t xml:space="preserve">Приготовление раствора натрия </w:t>
      </w:r>
      <w:proofErr w:type="spellStart"/>
      <w:r>
        <w:rPr>
          <w:i/>
        </w:rPr>
        <w:t>гидроксидараствора</w:t>
      </w:r>
      <w:proofErr w:type="spellEnd"/>
      <w:r>
        <w:rPr>
          <w:i/>
        </w:rPr>
        <w:t xml:space="preserve"> 7,5 М</w:t>
      </w:r>
    </w:p>
    <w:p w:rsidR="00E22C2E" w:rsidRDefault="0009532C">
      <w:pPr>
        <w:ind w:left="60" w:right="60"/>
        <w:jc w:val="both"/>
      </w:pPr>
      <w:r>
        <w:t xml:space="preserve"> 600 мл исходного </w:t>
      </w:r>
      <w:proofErr w:type="gramStart"/>
      <w:r>
        <w:t>рас­твора</w:t>
      </w:r>
      <w:proofErr w:type="gramEnd"/>
      <w:r>
        <w:t xml:space="preserve"> натрия гидроксида (ГФ XI, </w:t>
      </w:r>
      <w:proofErr w:type="spellStart"/>
      <w:r>
        <w:t>вып</w:t>
      </w:r>
      <w:proofErr w:type="spellEnd"/>
      <w:r>
        <w:t>. 2, стр. 65) помещают</w:t>
      </w:r>
      <w:r>
        <w:t xml:space="preserve"> в мерную кол­бу вместимостью 1000 мл и доводят объем раствора водой до метки и перемешивают.</w:t>
      </w:r>
    </w:p>
    <w:p w:rsidR="00E22C2E" w:rsidRDefault="0009532C">
      <w:pPr>
        <w:ind w:left="60"/>
        <w:jc w:val="both"/>
        <w:rPr>
          <w:i/>
        </w:rPr>
      </w:pPr>
      <w:r>
        <w:rPr>
          <w:i/>
        </w:rPr>
        <w:t>Аминокислотный анализ</w:t>
      </w:r>
    </w:p>
    <w:p w:rsidR="00E22C2E" w:rsidRDefault="0009532C">
      <w:pPr>
        <w:spacing w:line="480" w:lineRule="atLeast"/>
        <w:ind w:left="60" w:right="320"/>
        <w:jc w:val="both"/>
      </w:pPr>
      <w:r>
        <w:t>Раствор после гидролиза фильтруют через мембранный фильтр с размером пор 0,45 мкм. Аминокислоты определяют в стандартном аминокислотном анал</w:t>
      </w:r>
      <w:r>
        <w:t>изаторе (</w:t>
      </w:r>
      <w:proofErr w:type="spellStart"/>
      <w:r>
        <w:t>нингидриновая</w:t>
      </w:r>
      <w:proofErr w:type="spellEnd"/>
      <w:r>
        <w:t xml:space="preserve"> </w:t>
      </w:r>
      <w:proofErr w:type="spellStart"/>
      <w:r>
        <w:t>дериватизация</w:t>
      </w:r>
      <w:proofErr w:type="spellEnd"/>
      <w:r>
        <w:t>).</w:t>
      </w:r>
    </w:p>
    <w:p w:rsidR="00E22C2E" w:rsidRDefault="0009532C">
      <w:pPr>
        <w:spacing w:line="480" w:lineRule="atLeast"/>
        <w:ind w:left="60" w:right="320"/>
        <w:jc w:val="both"/>
        <w:rPr>
          <w:i/>
        </w:rPr>
      </w:pPr>
      <w:r>
        <w:rPr>
          <w:i/>
        </w:rPr>
        <w:t>Результаты определения</w:t>
      </w:r>
    </w:p>
    <w:p w:rsidR="00E22C2E" w:rsidRDefault="0009532C">
      <w:pPr>
        <w:spacing w:line="480" w:lineRule="atLeast"/>
        <w:ind w:left="60" w:right="320"/>
        <w:jc w:val="both"/>
      </w:pPr>
      <w:r>
        <w:t xml:space="preserve">Основаны на результатах определения индивидуальных аминокислот в дрожжах и в кератине. Содержание дрожжей и кератина в препарате </w:t>
      </w:r>
      <w:proofErr w:type="gramStart"/>
      <w:r>
        <w:t>опре­деляют</w:t>
      </w:r>
      <w:proofErr w:type="gramEnd"/>
      <w:r>
        <w:t xml:space="preserve"> по формуле:</w:t>
      </w:r>
    </w:p>
    <w:p w:rsidR="00E22C2E" w:rsidRDefault="0009532C">
      <w:pPr>
        <w:spacing w:line="480" w:lineRule="atLeast"/>
        <w:ind w:left="60"/>
        <w:jc w:val="both"/>
      </w:pPr>
      <w:r>
        <w:t xml:space="preserve">Р · </w:t>
      </w:r>
      <w:proofErr w:type="spellStart"/>
      <w:r>
        <w:t>Api=</w:t>
      </w:r>
      <w:proofErr w:type="spellEnd"/>
      <w:r>
        <w:t xml:space="preserve"> Y· </w:t>
      </w:r>
      <w:proofErr w:type="spellStart"/>
      <w:r>
        <w:t>Ayi</w:t>
      </w:r>
      <w:proofErr w:type="gramStart"/>
      <w:r>
        <w:t>+</w:t>
      </w:r>
      <w:proofErr w:type="spellEnd"/>
      <w:r>
        <w:t xml:space="preserve"> К</w:t>
      </w:r>
      <w:proofErr w:type="gramEnd"/>
      <w:r>
        <w:t xml:space="preserve"> · </w:t>
      </w:r>
      <w:proofErr w:type="spellStart"/>
      <w:r>
        <w:t>Aki</w:t>
      </w:r>
      <w:proofErr w:type="spellEnd"/>
      <w:r>
        <w:t>,</w:t>
      </w:r>
    </w:p>
    <w:p w:rsidR="00E22C2E" w:rsidRDefault="0009532C">
      <w:pPr>
        <w:spacing w:line="240" w:lineRule="auto"/>
        <w:ind w:left="60"/>
      </w:pPr>
      <w:r>
        <w:t xml:space="preserve">где: </w:t>
      </w:r>
      <w:proofErr w:type="gramStart"/>
      <w:r>
        <w:t>Р</w:t>
      </w:r>
      <w:proofErr w:type="gramEnd"/>
      <w:r>
        <w:t xml:space="preserve"> - масса </w:t>
      </w:r>
      <w:r>
        <w:t>капсулы (мг);</w:t>
      </w:r>
    </w:p>
    <w:p w:rsidR="00E22C2E" w:rsidRDefault="0009532C">
      <w:pPr>
        <w:spacing w:line="480" w:lineRule="atLeast"/>
        <w:ind w:left="567"/>
        <w:jc w:val="both"/>
      </w:pPr>
      <w:proofErr w:type="gramStart"/>
      <w:r>
        <w:t>К-</w:t>
      </w:r>
      <w:proofErr w:type="gramEnd"/>
      <w:r>
        <w:t xml:space="preserve"> содержание кератина в капсуле (мг);</w:t>
      </w:r>
    </w:p>
    <w:p w:rsidR="00E22C2E" w:rsidRDefault="0009532C">
      <w:pPr>
        <w:spacing w:line="480" w:lineRule="atLeast"/>
        <w:ind w:left="567"/>
        <w:jc w:val="both"/>
      </w:pPr>
      <w:r>
        <w:lastRenderedPageBreak/>
        <w:t>Y- содержание дрожжей в капсуле (мг);</w:t>
      </w:r>
    </w:p>
    <w:p w:rsidR="00E22C2E" w:rsidRDefault="0009532C">
      <w:pPr>
        <w:spacing w:line="480" w:lineRule="atLeast"/>
        <w:ind w:left="567"/>
        <w:jc w:val="both"/>
      </w:pPr>
      <w:proofErr w:type="spellStart"/>
      <w:r>
        <w:t>Api</w:t>
      </w:r>
      <w:proofErr w:type="spellEnd"/>
      <w:r>
        <w:t>- концентрация аминокислоты «</w:t>
      </w:r>
      <w:proofErr w:type="spellStart"/>
      <w:r>
        <w:t>i</w:t>
      </w:r>
      <w:proofErr w:type="spellEnd"/>
      <w:r>
        <w:t>» в капсуле</w:t>
      </w:r>
      <w:proofErr w:type="gramStart"/>
      <w:r>
        <w:t xml:space="preserve"> (%);</w:t>
      </w:r>
      <w:proofErr w:type="gramEnd"/>
    </w:p>
    <w:p w:rsidR="00E22C2E" w:rsidRDefault="0009532C">
      <w:pPr>
        <w:spacing w:line="480" w:lineRule="atLeast"/>
        <w:ind w:left="567"/>
        <w:jc w:val="both"/>
      </w:pPr>
      <w:proofErr w:type="spellStart"/>
      <w:r>
        <w:t>Ayi</w:t>
      </w:r>
      <w:proofErr w:type="spellEnd"/>
      <w:r>
        <w:t>- концентрация аминокислоты «Ь&gt; в дрожжах</w:t>
      </w:r>
      <w:proofErr w:type="gramStart"/>
      <w:r>
        <w:t xml:space="preserve"> (%);</w:t>
      </w:r>
      <w:proofErr w:type="gramEnd"/>
    </w:p>
    <w:p w:rsidR="00E22C2E" w:rsidRDefault="0009532C">
      <w:pPr>
        <w:spacing w:line="480" w:lineRule="atLeast"/>
        <w:ind w:left="567"/>
        <w:jc w:val="both"/>
      </w:pPr>
      <w:r>
        <w:t>Aki-концентрация аминокислоты «</w:t>
      </w:r>
      <w:proofErr w:type="spellStart"/>
      <w:r>
        <w:t>i</w:t>
      </w:r>
      <w:proofErr w:type="spellEnd"/>
      <w:r>
        <w:t>» в кератине</w:t>
      </w:r>
      <w:proofErr w:type="gramStart"/>
      <w:r>
        <w:t xml:space="preserve"> (%);</w:t>
      </w:r>
      <w:proofErr w:type="gramEnd"/>
    </w:p>
    <w:p w:rsidR="00E22C2E" w:rsidRDefault="0009532C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:rsidR="00E22C2E" w:rsidRDefault="00E22C2E">
      <w:pPr>
        <w:sectPr w:rsidR="00E22C2E">
          <w:type w:val="continuous"/>
          <w:pgSz w:w="11907" w:h="16839"/>
          <w:pgMar w:top="1133" w:right="850" w:bottom="1133" w:left="1700" w:header="708" w:footer="708" w:gutter="0"/>
          <w:cols w:space="0"/>
        </w:sectPr>
      </w:pPr>
    </w:p>
    <w:p w:rsidR="00E22C2E" w:rsidRDefault="0009532C">
      <w:r>
        <w:rPr>
          <w:b/>
          <w:sz w:val="30"/>
        </w:rPr>
        <w:lastRenderedPageBreak/>
        <w:t>Хранение.</w:t>
      </w:r>
    </w:p>
    <w:p w:rsidR="00E22C2E" w:rsidRDefault="0009532C">
      <w:pPr>
        <w:ind w:left="60"/>
        <w:jc w:val="both"/>
      </w:pPr>
      <w:r>
        <w:t>При температуре не выше 25</w:t>
      </w:r>
      <w:proofErr w:type="gramStart"/>
      <w:r>
        <w:t xml:space="preserve"> ºС</w:t>
      </w:r>
      <w:proofErr w:type="gramEnd"/>
      <w:r>
        <w:t xml:space="preserve"> в сухом, защищенном от света месте в соответствии с ОФС «Хранение лекарственных средств».</w:t>
      </w:r>
    </w:p>
    <w:p w:rsidR="00E22C2E" w:rsidRDefault="0009532C">
      <w:pPr>
        <w:ind w:left="60" w:right="60"/>
        <w:jc w:val="both"/>
      </w:pPr>
      <w:r>
        <w:t xml:space="preserve"> </w:t>
      </w:r>
    </w:p>
    <w:p w:rsidR="00E22C2E" w:rsidRDefault="00E22C2E"/>
    <w:sectPr w:rsidR="00E22C2E" w:rsidSect="00E22C2E">
      <w:type w:val="continuous"/>
      <w:pgSz w:w="11907" w:h="16839"/>
      <w:pgMar w:top="1133" w:right="850" w:bottom="1133" w:left="1700" w:header="708" w:footer="708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C5B" w:rsidRDefault="003B7C5B" w:rsidP="003B7C5B">
      <w:pPr>
        <w:spacing w:line="240" w:lineRule="auto"/>
      </w:pPr>
      <w:r>
        <w:separator/>
      </w:r>
    </w:p>
  </w:endnote>
  <w:endnote w:type="continuationSeparator" w:id="0">
    <w:p w:rsidR="003B7C5B" w:rsidRDefault="003B7C5B" w:rsidP="003B7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7439"/>
      <w:docPartObj>
        <w:docPartGallery w:val="Page Numbers (Bottom of Page)"/>
        <w:docPartUnique/>
      </w:docPartObj>
    </w:sdtPr>
    <w:sdtContent>
      <w:p w:rsidR="003B7C5B" w:rsidRDefault="003B7C5B">
        <w:pPr>
          <w:pStyle w:val="a9"/>
          <w:jc w:val="center"/>
        </w:pPr>
        <w:fldSimple w:instr=" PAGE   \* MERGEFORMAT ">
          <w:r w:rsidR="0009532C">
            <w:rPr>
              <w:noProof/>
            </w:rPr>
            <w:t>9</w:t>
          </w:r>
        </w:fldSimple>
      </w:p>
    </w:sdtContent>
  </w:sdt>
  <w:p w:rsidR="003B7C5B" w:rsidRDefault="003B7C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C5B" w:rsidRDefault="003B7C5B" w:rsidP="003B7C5B">
      <w:pPr>
        <w:spacing w:line="240" w:lineRule="auto"/>
      </w:pPr>
      <w:r>
        <w:separator/>
      </w:r>
    </w:p>
  </w:footnote>
  <w:footnote w:type="continuationSeparator" w:id="0">
    <w:p w:rsidR="003B7C5B" w:rsidRDefault="003B7C5B" w:rsidP="003B7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B76"/>
    <w:multiLevelType w:val="multilevel"/>
    <w:tmpl w:val="0C00AFA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06157810"/>
    <w:multiLevelType w:val="multilevel"/>
    <w:tmpl w:val="8AC07F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>
    <w:nsid w:val="07433501"/>
    <w:multiLevelType w:val="multilevel"/>
    <w:tmpl w:val="2A5C974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B7E0988"/>
    <w:multiLevelType w:val="multilevel"/>
    <w:tmpl w:val="BA607F2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>
    <w:nsid w:val="10DF634B"/>
    <w:multiLevelType w:val="multilevel"/>
    <w:tmpl w:val="EF8C6B3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>
    <w:nsid w:val="141F2BD5"/>
    <w:multiLevelType w:val="multilevel"/>
    <w:tmpl w:val="915E335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nsid w:val="187872DB"/>
    <w:multiLevelType w:val="multilevel"/>
    <w:tmpl w:val="F22E919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>
    <w:nsid w:val="1A1A7F54"/>
    <w:multiLevelType w:val="multilevel"/>
    <w:tmpl w:val="115C792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>
    <w:nsid w:val="1D6B4C2B"/>
    <w:multiLevelType w:val="multilevel"/>
    <w:tmpl w:val="C73E3CB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>
    <w:nsid w:val="26F40D8C"/>
    <w:multiLevelType w:val="multilevel"/>
    <w:tmpl w:val="AE241EC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0">
    <w:nsid w:val="2A553DED"/>
    <w:multiLevelType w:val="multilevel"/>
    <w:tmpl w:val="E79030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1">
    <w:nsid w:val="2ED609D3"/>
    <w:multiLevelType w:val="multilevel"/>
    <w:tmpl w:val="2ACAD62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2">
    <w:nsid w:val="2FDA06B1"/>
    <w:multiLevelType w:val="multilevel"/>
    <w:tmpl w:val="CD96A2B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3">
    <w:nsid w:val="355114D2"/>
    <w:multiLevelType w:val="multilevel"/>
    <w:tmpl w:val="E99A716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4">
    <w:nsid w:val="356103F0"/>
    <w:multiLevelType w:val="multilevel"/>
    <w:tmpl w:val="751050B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5">
    <w:nsid w:val="3BC93DA1"/>
    <w:multiLevelType w:val="multilevel"/>
    <w:tmpl w:val="180E3AC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6">
    <w:nsid w:val="3C490420"/>
    <w:multiLevelType w:val="multilevel"/>
    <w:tmpl w:val="BBD0A81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7">
    <w:nsid w:val="3C7B69C9"/>
    <w:multiLevelType w:val="multilevel"/>
    <w:tmpl w:val="405EAAE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8">
    <w:nsid w:val="3D9E2535"/>
    <w:multiLevelType w:val="multilevel"/>
    <w:tmpl w:val="4EF4586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9">
    <w:nsid w:val="411B63F4"/>
    <w:multiLevelType w:val="multilevel"/>
    <w:tmpl w:val="C7C4258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0">
    <w:nsid w:val="416A4ECD"/>
    <w:multiLevelType w:val="multilevel"/>
    <w:tmpl w:val="9502FD6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1">
    <w:nsid w:val="428F3893"/>
    <w:multiLevelType w:val="multilevel"/>
    <w:tmpl w:val="1FF212D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2">
    <w:nsid w:val="47956D44"/>
    <w:multiLevelType w:val="multilevel"/>
    <w:tmpl w:val="3148170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48CF6566"/>
    <w:multiLevelType w:val="multilevel"/>
    <w:tmpl w:val="899E0F4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4">
    <w:nsid w:val="4B540962"/>
    <w:multiLevelType w:val="multilevel"/>
    <w:tmpl w:val="344A624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5">
    <w:nsid w:val="4CEC3B84"/>
    <w:multiLevelType w:val="multilevel"/>
    <w:tmpl w:val="0778F6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6">
    <w:nsid w:val="4D197026"/>
    <w:multiLevelType w:val="multilevel"/>
    <w:tmpl w:val="5E1E0D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7">
    <w:nsid w:val="4E317AC7"/>
    <w:multiLevelType w:val="multilevel"/>
    <w:tmpl w:val="13FE4E9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8">
    <w:nsid w:val="54CF5944"/>
    <w:multiLevelType w:val="multilevel"/>
    <w:tmpl w:val="C1C41D4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9">
    <w:nsid w:val="56F54543"/>
    <w:multiLevelType w:val="multilevel"/>
    <w:tmpl w:val="9E58162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0">
    <w:nsid w:val="5FF9225A"/>
    <w:multiLevelType w:val="multilevel"/>
    <w:tmpl w:val="3B664C2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1">
    <w:nsid w:val="630638C6"/>
    <w:multiLevelType w:val="multilevel"/>
    <w:tmpl w:val="8302883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2">
    <w:nsid w:val="630A3641"/>
    <w:multiLevelType w:val="multilevel"/>
    <w:tmpl w:val="49E446C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3">
    <w:nsid w:val="66510338"/>
    <w:multiLevelType w:val="multilevel"/>
    <w:tmpl w:val="462C548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4">
    <w:nsid w:val="7297577E"/>
    <w:multiLevelType w:val="multilevel"/>
    <w:tmpl w:val="9D682A0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5">
    <w:nsid w:val="72CA74C8"/>
    <w:multiLevelType w:val="multilevel"/>
    <w:tmpl w:val="BCB60A2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6">
    <w:nsid w:val="79394D3D"/>
    <w:multiLevelType w:val="multilevel"/>
    <w:tmpl w:val="CABE74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7">
    <w:nsid w:val="7D271BFA"/>
    <w:multiLevelType w:val="multilevel"/>
    <w:tmpl w:val="030412A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21"/>
  </w:num>
  <w:num w:numId="2">
    <w:abstractNumId w:val="19"/>
  </w:num>
  <w:num w:numId="3">
    <w:abstractNumId w:val="35"/>
  </w:num>
  <w:num w:numId="4">
    <w:abstractNumId w:val="29"/>
  </w:num>
  <w:num w:numId="5">
    <w:abstractNumId w:val="8"/>
  </w:num>
  <w:num w:numId="6">
    <w:abstractNumId w:val="13"/>
  </w:num>
  <w:num w:numId="7">
    <w:abstractNumId w:val="37"/>
  </w:num>
  <w:num w:numId="8">
    <w:abstractNumId w:val="0"/>
  </w:num>
  <w:num w:numId="9">
    <w:abstractNumId w:val="14"/>
  </w:num>
  <w:num w:numId="10">
    <w:abstractNumId w:val="32"/>
  </w:num>
  <w:num w:numId="11">
    <w:abstractNumId w:val="26"/>
  </w:num>
  <w:num w:numId="12">
    <w:abstractNumId w:val="3"/>
  </w:num>
  <w:num w:numId="13">
    <w:abstractNumId w:val="15"/>
  </w:num>
  <w:num w:numId="14">
    <w:abstractNumId w:val="12"/>
  </w:num>
  <w:num w:numId="15">
    <w:abstractNumId w:val="2"/>
  </w:num>
  <w:num w:numId="16">
    <w:abstractNumId w:val="23"/>
  </w:num>
  <w:num w:numId="17">
    <w:abstractNumId w:val="36"/>
  </w:num>
  <w:num w:numId="18">
    <w:abstractNumId w:val="5"/>
  </w:num>
  <w:num w:numId="19">
    <w:abstractNumId w:val="27"/>
  </w:num>
  <w:num w:numId="20">
    <w:abstractNumId w:val="20"/>
  </w:num>
  <w:num w:numId="21">
    <w:abstractNumId w:val="30"/>
  </w:num>
  <w:num w:numId="22">
    <w:abstractNumId w:val="18"/>
  </w:num>
  <w:num w:numId="23">
    <w:abstractNumId w:val="10"/>
  </w:num>
  <w:num w:numId="24">
    <w:abstractNumId w:val="11"/>
  </w:num>
  <w:num w:numId="25">
    <w:abstractNumId w:val="17"/>
  </w:num>
  <w:num w:numId="26">
    <w:abstractNumId w:val="6"/>
  </w:num>
  <w:num w:numId="27">
    <w:abstractNumId w:val="7"/>
  </w:num>
  <w:num w:numId="28">
    <w:abstractNumId w:val="9"/>
  </w:num>
  <w:num w:numId="29">
    <w:abstractNumId w:val="1"/>
  </w:num>
  <w:num w:numId="30">
    <w:abstractNumId w:val="24"/>
  </w:num>
  <w:num w:numId="31">
    <w:abstractNumId w:val="22"/>
  </w:num>
  <w:num w:numId="32">
    <w:abstractNumId w:val="34"/>
  </w:num>
  <w:num w:numId="33">
    <w:abstractNumId w:val="25"/>
  </w:num>
  <w:num w:numId="34">
    <w:abstractNumId w:val="31"/>
  </w:num>
  <w:num w:numId="35">
    <w:abstractNumId w:val="4"/>
  </w:num>
  <w:num w:numId="36">
    <w:abstractNumId w:val="16"/>
  </w:num>
  <w:num w:numId="37">
    <w:abstractNumId w:val="28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ocumentProtection w:edit="trackedChanges" w:enforcement="0"/>
  <w:defaultTabStop w:val="720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2C2E"/>
    <w:rsid w:val="0009532C"/>
    <w:rsid w:val="003B7C5B"/>
    <w:rsid w:val="00E2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ParagraphFont"/>
    <w:semiHidden/>
    <w:unhideWhenUsed/>
    <w:rsid w:val="00E22C2E"/>
  </w:style>
  <w:style w:type="table" w:styleId="a3">
    <w:name w:val="Table Grid"/>
    <w:basedOn w:val="a1"/>
    <w:rsid w:val="00E22C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8521c79a-f413-4100-8384-5c4b20092be0">
    <w:name w:val="Normal_8521c79a-f413-4100-8384-5c4b20092be0"/>
    <w:rsid w:val="00E22C2E"/>
    <w:rPr>
      <w:sz w:val="24"/>
      <w:szCs w:val="24"/>
      <w:lang w:val="en-US" w:eastAsia="uk-UA"/>
    </w:rPr>
  </w:style>
  <w:style w:type="character" w:styleId="a4">
    <w:name w:val="Hyperlink"/>
    <w:rsid w:val="00E22C2E"/>
    <w:rPr>
      <w:color w:val="0000FF"/>
      <w:u w:val="single"/>
    </w:rPr>
  </w:style>
  <w:style w:type="paragraph" w:customStyle="1" w:styleId="Normal0">
    <w:name w:val="Normal_0"/>
    <w:rsid w:val="00E22C2E"/>
  </w:style>
  <w:style w:type="character" w:customStyle="1" w:styleId="LineNumber">
    <w:name w:val="Line Number"/>
    <w:basedOn w:val="a0"/>
    <w:semiHidden/>
    <w:rsid w:val="00E22C2E"/>
  </w:style>
  <w:style w:type="character" w:customStyle="1" w:styleId="Hyperlink0">
    <w:name w:val="Hyperlink_0"/>
    <w:rsid w:val="00E22C2E"/>
    <w:rPr>
      <w:color w:val="0000FF"/>
      <w:u w:val="single"/>
    </w:rPr>
  </w:style>
  <w:style w:type="table" w:customStyle="1" w:styleId="NormalTable0">
    <w:name w:val="Normal Table_0"/>
    <w:rsid w:val="00E22C2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E22C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3B7C5B"/>
    <w:pPr>
      <w:spacing w:after="120" w:line="240" w:lineRule="auto"/>
    </w:pPr>
    <w:rPr>
      <w:color w:val="auto"/>
      <w:sz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3B7C5B"/>
    <w:rPr>
      <w:color w:val="auto"/>
      <w:sz w:val="20"/>
    </w:rPr>
  </w:style>
  <w:style w:type="paragraph" w:styleId="a7">
    <w:name w:val="header"/>
    <w:basedOn w:val="a"/>
    <w:link w:val="a8"/>
    <w:uiPriority w:val="99"/>
    <w:semiHidden/>
    <w:unhideWhenUsed/>
    <w:rsid w:val="003B7C5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7C5B"/>
  </w:style>
  <w:style w:type="paragraph" w:styleId="a9">
    <w:name w:val="footer"/>
    <w:basedOn w:val="a"/>
    <w:link w:val="aa"/>
    <w:uiPriority w:val="99"/>
    <w:unhideWhenUsed/>
    <w:rsid w:val="003B7C5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C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1575</Words>
  <Characters>8984</Characters>
  <Application>Microsoft Office Word</Application>
  <DocSecurity>0</DocSecurity>
  <Lines>74</Lines>
  <Paragraphs>21</Paragraphs>
  <ScaleCrop>false</ScaleCrop>
  <Company>FGU</Company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WWW4_x005f_x005F_x005f_x0024_</dc:creator>
  <cp:lastModifiedBy>Beketova</cp:lastModifiedBy>
  <cp:revision>2</cp:revision>
  <dcterms:created xsi:type="dcterms:W3CDTF">2021-12-01T13:57:00Z</dcterms:created>
  <dcterms:modified xsi:type="dcterms:W3CDTF">2021-12-01T13:57:00Z</dcterms:modified>
</cp:coreProperties>
</file>