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FC" w:rsidRPr="00F604D6" w:rsidRDefault="00F378FC" w:rsidP="00F378FC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378FC" w:rsidRPr="00F604D6" w:rsidRDefault="00F378FC" w:rsidP="00F378F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378FC" w:rsidRPr="00F604D6" w:rsidRDefault="00F378FC" w:rsidP="00F378F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378FC" w:rsidRDefault="00F378FC" w:rsidP="00F378F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378FC" w:rsidRPr="00231C17" w:rsidRDefault="00F378FC" w:rsidP="00F3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378FC" w:rsidTr="00A027ED">
        <w:tc>
          <w:tcPr>
            <w:tcW w:w="9356" w:type="dxa"/>
          </w:tcPr>
          <w:p w:rsidR="00F378FC" w:rsidRDefault="00F378FC" w:rsidP="00A0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8FC" w:rsidRDefault="00F378FC" w:rsidP="00F378F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378FC" w:rsidRPr="00F57AED" w:rsidTr="00A027ED">
        <w:tc>
          <w:tcPr>
            <w:tcW w:w="5920" w:type="dxa"/>
          </w:tcPr>
          <w:p w:rsidR="00F378FC" w:rsidRPr="00121CB3" w:rsidRDefault="00F378FC" w:rsidP="00A027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Ципрофлоксацина гидрохлорид, </w:t>
            </w:r>
            <w:r w:rsidR="000C0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раствор</w:t>
            </w:r>
            <w:r w:rsidR="000C0F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ин</w:t>
            </w:r>
            <w:r w:rsidR="000C0FB8">
              <w:rPr>
                <w:rFonts w:ascii="Times New Roman" w:hAnsi="Times New Roman" w:cs="Times New Roman"/>
                <w:b/>
                <w:sz w:val="28"/>
                <w:szCs w:val="28"/>
              </w:rPr>
              <w:t>фузий</w:t>
            </w:r>
          </w:p>
        </w:tc>
        <w:tc>
          <w:tcPr>
            <w:tcW w:w="460" w:type="dxa"/>
          </w:tcPr>
          <w:p w:rsidR="00F378FC" w:rsidRPr="00121CB3" w:rsidRDefault="00F378FC" w:rsidP="00A027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8FC" w:rsidRPr="00F57AED" w:rsidRDefault="00F378FC" w:rsidP="00A027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378FC" w:rsidRPr="00121CB3" w:rsidTr="00A027ED">
        <w:tc>
          <w:tcPr>
            <w:tcW w:w="5920" w:type="dxa"/>
          </w:tcPr>
          <w:p w:rsidR="00F378FC" w:rsidRPr="00121CB3" w:rsidRDefault="00974C59" w:rsidP="00A027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Ципрофлоксацин</w:t>
            </w:r>
            <w:r w:rsidR="00F37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концентрат для приготовления </w:t>
            </w:r>
            <w:r w:rsidR="00F378FC">
              <w:rPr>
                <w:rFonts w:ascii="Times New Roman" w:hAnsi="Times New Roman" w:cs="Times New Roman"/>
                <w:b/>
                <w:sz w:val="28"/>
                <w:szCs w:val="28"/>
              </w:rPr>
              <w:t>раствор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37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фузий</w:t>
            </w:r>
          </w:p>
        </w:tc>
        <w:tc>
          <w:tcPr>
            <w:tcW w:w="460" w:type="dxa"/>
          </w:tcPr>
          <w:p w:rsidR="00F378FC" w:rsidRPr="00121CB3" w:rsidRDefault="00F378FC" w:rsidP="00A027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8FC" w:rsidRPr="00121CB3" w:rsidRDefault="00F378FC" w:rsidP="00A027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FC" w:rsidRPr="004272B5" w:rsidTr="00A027ED">
        <w:tc>
          <w:tcPr>
            <w:tcW w:w="5920" w:type="dxa"/>
          </w:tcPr>
          <w:p w:rsidR="00F378FC" w:rsidRPr="003B7F23" w:rsidRDefault="00974C59" w:rsidP="00A027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Ciprofloxacini</w:t>
            </w:r>
            <w:proofErr w:type="spellEnd"/>
            <w:r w:rsidR="00F378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78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="00F378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r w:rsidR="00F378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</w:t>
            </w:r>
            <w:r w:rsidR="00F378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fusionibus</w:t>
            </w:r>
          </w:p>
        </w:tc>
        <w:tc>
          <w:tcPr>
            <w:tcW w:w="460" w:type="dxa"/>
          </w:tcPr>
          <w:p w:rsidR="00F378FC" w:rsidRPr="004272B5" w:rsidRDefault="00F378FC" w:rsidP="00A027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378FC" w:rsidRPr="004272B5" w:rsidRDefault="00974C59" w:rsidP="00A027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  <w:r w:rsidR="00F37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378FC" w:rsidRPr="004272B5" w:rsidRDefault="00F378FC" w:rsidP="00F378F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378FC" w:rsidRPr="004272B5" w:rsidTr="00A027ED">
        <w:tc>
          <w:tcPr>
            <w:tcW w:w="9356" w:type="dxa"/>
          </w:tcPr>
          <w:p w:rsidR="00F378FC" w:rsidRPr="004272B5" w:rsidRDefault="00F378FC" w:rsidP="00A02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378FC" w:rsidRPr="00EF185F" w:rsidRDefault="00F378FC" w:rsidP="00F378FC">
      <w:pPr>
        <w:pStyle w:val="a9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r w:rsidR="00346D16">
        <w:rPr>
          <w:rFonts w:ascii="Times New Roman" w:hAnsi="Times New Roman"/>
          <w:sz w:val="28"/>
          <w:szCs w:val="28"/>
        </w:rPr>
        <w:t>ципрофлоксацина</w:t>
      </w:r>
      <w:r>
        <w:rPr>
          <w:rFonts w:ascii="Times New Roman" w:hAnsi="Times New Roman"/>
          <w:sz w:val="28"/>
          <w:szCs w:val="28"/>
        </w:rPr>
        <w:t xml:space="preserve"> гидрохло</w:t>
      </w:r>
      <w:r w:rsidR="00346D16">
        <w:rPr>
          <w:rFonts w:ascii="Times New Roman" w:hAnsi="Times New Roman"/>
          <w:sz w:val="28"/>
          <w:szCs w:val="28"/>
        </w:rPr>
        <w:t>рид, концентрат для приготовления раствора для инфузий</w:t>
      </w:r>
      <w:r w:rsidRPr="00EF185F">
        <w:rPr>
          <w:rFonts w:ascii="Times New Roman" w:hAnsi="Times New Roman"/>
          <w:sz w:val="28"/>
          <w:szCs w:val="28"/>
        </w:rPr>
        <w:t xml:space="preserve">. </w:t>
      </w:r>
      <w:r w:rsidR="00C94A48">
        <w:rPr>
          <w:rFonts w:ascii="Times New Roman" w:hAnsi="Times New Roman"/>
          <w:sz w:val="28"/>
          <w:szCs w:val="28"/>
        </w:rPr>
        <w:t xml:space="preserve">Представляет собой стерильный раствор ципрофлоксацина гидрохлорида в воде для инъекций, произведенный с добавлением молочной кислоты. </w:t>
      </w:r>
      <w:r w:rsidRPr="00EF185F">
        <w:rPr>
          <w:rFonts w:ascii="Times New Roman" w:hAnsi="Times New Roman"/>
          <w:sz w:val="28"/>
          <w:szCs w:val="28"/>
        </w:rPr>
        <w:t>Препарат должен соответствоват</w:t>
      </w:r>
      <w:r>
        <w:rPr>
          <w:rFonts w:ascii="Times New Roman" w:hAnsi="Times New Roman"/>
          <w:sz w:val="28"/>
          <w:szCs w:val="28"/>
        </w:rPr>
        <w:t xml:space="preserve">ь требованиям </w:t>
      </w:r>
      <w:r w:rsidRPr="00EF185F">
        <w:rPr>
          <w:rFonts w:ascii="Times New Roman" w:hAnsi="Times New Roman"/>
          <w:sz w:val="28"/>
          <w:szCs w:val="28"/>
        </w:rPr>
        <w:t>ОФС «Лекарственные формы для парентерального применения» и нижеприведённым требованиям.</w:t>
      </w:r>
    </w:p>
    <w:p w:rsidR="00F378FC" w:rsidRDefault="00F378FC" w:rsidP="00F37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FD13FE">
        <w:rPr>
          <w:rFonts w:ascii="Times New Roman" w:hAnsi="Times New Roman" w:cs="Times New Roman"/>
          <w:sz w:val="28"/>
          <w:szCs w:val="28"/>
        </w:rPr>
        <w:t>ципрофлоксацина</w:t>
      </w:r>
      <w:r>
        <w:rPr>
          <w:rFonts w:ascii="Times New Roman" w:hAnsi="Times New Roman" w:cs="Times New Roman"/>
          <w:sz w:val="28"/>
          <w:szCs w:val="28"/>
        </w:rPr>
        <w:t xml:space="preserve"> гидрохлорид в количестве, эквивалентном не менее 90,0 % и не более 110,0 % от зая</w:t>
      </w:r>
      <w:r w:rsidR="00FD13FE">
        <w:rPr>
          <w:rFonts w:ascii="Times New Roman" w:hAnsi="Times New Roman" w:cs="Times New Roman"/>
          <w:sz w:val="28"/>
          <w:szCs w:val="28"/>
        </w:rPr>
        <w:t>вленного количества ципрофлоксацина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FE" w:rsidRPr="00E455F9">
        <w:rPr>
          <w:rFonts w:ascii="Times New Roman" w:hAnsi="Times New Roman"/>
          <w:sz w:val="28"/>
          <w:szCs w:val="28"/>
        </w:rPr>
        <w:t>C</w:t>
      </w:r>
      <w:r w:rsidR="00FD13FE" w:rsidRPr="00E455F9">
        <w:rPr>
          <w:rFonts w:ascii="Times New Roman" w:hAnsi="Times New Roman"/>
          <w:sz w:val="28"/>
          <w:szCs w:val="28"/>
          <w:vertAlign w:val="subscript"/>
        </w:rPr>
        <w:t>17</w:t>
      </w:r>
      <w:r w:rsidR="00FD13FE" w:rsidRPr="00E455F9">
        <w:rPr>
          <w:rFonts w:ascii="Times New Roman" w:hAnsi="Times New Roman"/>
          <w:sz w:val="28"/>
          <w:szCs w:val="28"/>
        </w:rPr>
        <w:t>H</w:t>
      </w:r>
      <w:r w:rsidR="00FD13FE" w:rsidRPr="00E455F9">
        <w:rPr>
          <w:rFonts w:ascii="Times New Roman" w:hAnsi="Times New Roman"/>
          <w:sz w:val="28"/>
          <w:szCs w:val="28"/>
          <w:vertAlign w:val="subscript"/>
        </w:rPr>
        <w:t>18</w:t>
      </w:r>
      <w:r w:rsidR="00FD13FE" w:rsidRPr="00E455F9">
        <w:rPr>
          <w:rFonts w:ascii="Times New Roman" w:hAnsi="Times New Roman"/>
          <w:sz w:val="28"/>
          <w:szCs w:val="28"/>
        </w:rPr>
        <w:t>FN</w:t>
      </w:r>
      <w:r w:rsidR="00FD13FE" w:rsidRPr="00E455F9">
        <w:rPr>
          <w:rFonts w:ascii="Times New Roman" w:hAnsi="Times New Roman"/>
          <w:sz w:val="28"/>
          <w:szCs w:val="28"/>
          <w:vertAlign w:val="subscript"/>
        </w:rPr>
        <w:t>3</w:t>
      </w:r>
      <w:r w:rsidR="00FD13FE" w:rsidRPr="00E455F9">
        <w:rPr>
          <w:rFonts w:ascii="Times New Roman" w:hAnsi="Times New Roman"/>
          <w:sz w:val="28"/>
          <w:szCs w:val="28"/>
        </w:rPr>
        <w:t>O</w:t>
      </w:r>
      <w:r w:rsidR="00FD13FE" w:rsidRPr="00E455F9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E51" w:rsidRPr="00986E51" w:rsidRDefault="00986E51" w:rsidP="00986E5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E455F9">
        <w:rPr>
          <w:rFonts w:ascii="Times New Roman" w:hAnsi="Times New Roman"/>
          <w:sz w:val="28"/>
          <w:szCs w:val="28"/>
        </w:rPr>
        <w:t>не менее 90,0 % и не более 110,0 % от заявленного количества</w:t>
      </w:r>
      <w:r>
        <w:rPr>
          <w:rFonts w:ascii="Times New Roman" w:hAnsi="Times New Roman"/>
          <w:sz w:val="28"/>
          <w:szCs w:val="28"/>
        </w:rPr>
        <w:t xml:space="preserve"> молочной кислоты</w:t>
      </w:r>
      <w:r w:rsidRPr="00890F0A">
        <w:rPr>
          <w:rFonts w:ascii="Times New Roman" w:hAnsi="Times New Roman"/>
          <w:sz w:val="28"/>
          <w:szCs w:val="28"/>
        </w:rPr>
        <w:t xml:space="preserve"> </w:t>
      </w:r>
      <w:r w:rsidRPr="00EC7E72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7E72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EC7E72">
        <w:rPr>
          <w:rFonts w:ascii="Times New Roman" w:hAnsi="Times New Roman"/>
          <w:sz w:val="28"/>
          <w:szCs w:val="28"/>
        </w:rPr>
        <w:t>O</w:t>
      </w:r>
      <w:r w:rsidRPr="00EC7E72">
        <w:rPr>
          <w:rFonts w:ascii="Times New Roman" w:hAnsi="Times New Roman"/>
          <w:sz w:val="28"/>
          <w:szCs w:val="28"/>
          <w:vertAlign w:val="subscript"/>
        </w:rPr>
        <w:t>3</w:t>
      </w:r>
      <w:r w:rsidRPr="0032679C">
        <w:rPr>
          <w:rFonts w:ascii="Times New Roman" w:hAnsi="Times New Roman"/>
          <w:sz w:val="28"/>
          <w:szCs w:val="28"/>
        </w:rPr>
        <w:t>.</w:t>
      </w:r>
    </w:p>
    <w:p w:rsidR="00F378FC" w:rsidRDefault="00F378FC" w:rsidP="00F37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FC" w:rsidRDefault="00F378FC" w:rsidP="00F37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Прозрачная бес</w:t>
      </w:r>
      <w:r w:rsidR="002B0FA1">
        <w:rPr>
          <w:rFonts w:ascii="Times New Roman" w:hAnsi="Times New Roman" w:cs="Times New Roman"/>
          <w:sz w:val="28"/>
          <w:szCs w:val="28"/>
        </w:rPr>
        <w:t>ц</w:t>
      </w:r>
      <w:r w:rsidR="00F84DC2">
        <w:rPr>
          <w:rFonts w:ascii="Times New Roman" w:hAnsi="Times New Roman" w:cs="Times New Roman"/>
          <w:sz w:val="28"/>
          <w:szCs w:val="28"/>
        </w:rPr>
        <w:t>ветная или желтовато-зеленоватого</w:t>
      </w:r>
      <w:r w:rsidR="002B0FA1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 xml:space="preserve"> жидкость.</w:t>
      </w:r>
    </w:p>
    <w:p w:rsidR="006A454B" w:rsidRPr="006A454B" w:rsidRDefault="006A454B" w:rsidP="00F37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A454B" w:rsidRDefault="00101654" w:rsidP="006A454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1. </w:t>
      </w:r>
      <w:r w:rsidR="006A454B" w:rsidRPr="006A454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ВЭЖХ. </w:t>
      </w:r>
      <w:proofErr w:type="gramStart"/>
      <w:r w:rsidR="006A454B" w:rsidRPr="006A454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ципрофлоксацина на хроматограмме раствора </w:t>
      </w:r>
      <w:r w:rsidR="006A454B" w:rsidRPr="006A454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lastRenderedPageBreak/>
        <w:t>стандартного образца ципрофлоксацина</w:t>
      </w:r>
      <w:r w:rsidR="006A454B" w:rsidRPr="006A4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454B" w:rsidRPr="006A454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(раздел «Количественное определение.</w:t>
      </w:r>
      <w:proofErr w:type="gramEnd"/>
      <w:r w:rsidR="006A454B" w:rsidRPr="006A454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proofErr w:type="gramStart"/>
      <w:r w:rsidR="006A454B" w:rsidRPr="006A454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Ципрофлоксацин»)</w:t>
      </w:r>
      <w:r w:rsidR="006A454B" w:rsidRPr="006A454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101654" w:rsidRPr="006A454B" w:rsidRDefault="00101654" w:rsidP="0010165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2</w:t>
      </w:r>
      <w:r w:rsidRPr="006A454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. ВЭЖХ. </w:t>
      </w:r>
      <w:proofErr w:type="gramStart"/>
      <w:r w:rsidRPr="006A454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молочной кислоты на хроматограмме раствора стандартного образца натрия </w:t>
      </w:r>
      <w:proofErr w:type="spellStart"/>
      <w:r w:rsidRPr="006A454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лактата</w:t>
      </w:r>
      <w:proofErr w:type="spellEnd"/>
      <w:r w:rsidRPr="006A454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(раздел «Количественное определение.</w:t>
      </w:r>
      <w:proofErr w:type="gramEnd"/>
      <w:r w:rsidRPr="006A454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proofErr w:type="gramStart"/>
      <w:r w:rsidRPr="006A454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Молочная кислота»)</w:t>
      </w:r>
      <w:r w:rsidRPr="006A454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7C2570" w:rsidRPr="006A454B" w:rsidRDefault="007C2570" w:rsidP="006A454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Прозрачность. </w:t>
      </w:r>
      <w:r w:rsidRPr="007C257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Препарат должен быть прозрачным (ОФС «Прозрачность и степень мутности жидкостей»).</w:t>
      </w:r>
    </w:p>
    <w:p w:rsidR="00D54BA0" w:rsidRDefault="007C2570" w:rsidP="006A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GY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7C2570" w:rsidRDefault="007C2570" w:rsidP="006A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2570">
        <w:rPr>
          <w:rFonts w:ascii="Times New Roman" w:hAnsi="Times New Roman" w:cs="Times New Roman"/>
          <w:sz w:val="28"/>
          <w:szCs w:val="28"/>
        </w:rPr>
        <w:t>От 3,3 до 3,9 (ОФС «Ионометрия», метод 3).</w:t>
      </w:r>
    </w:p>
    <w:p w:rsidR="007C2570" w:rsidRDefault="007C2570" w:rsidP="006A4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7C2570" w:rsidRPr="007C2570" w:rsidRDefault="007C2570" w:rsidP="007C257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2570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7C2570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C2570" w:rsidRDefault="007C2570" w:rsidP="007C25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570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7C2570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F1771D" w:rsidRDefault="00D51F68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34785" w:rsidRDefault="00634785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 л, содержащую 900 мл воды</w:t>
      </w:r>
      <w:r w:rsidR="0089113B">
        <w:rPr>
          <w:rFonts w:ascii="Times New Roman" w:hAnsi="Times New Roman" w:cs="Times New Roman"/>
          <w:sz w:val="28"/>
          <w:szCs w:val="28"/>
        </w:rPr>
        <w:t>, помещают 1,5 мл фосфорной кислоты концентрированной, перемешивают, доводят рН полученного раствора триэтиламином до 3,0±0,1 и доводят объём раствора водой до метки.</w:t>
      </w:r>
    </w:p>
    <w:p w:rsidR="00E32BD3" w:rsidRDefault="00E32BD3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буферный раствор 130:870.</w:t>
      </w:r>
    </w:p>
    <w:p w:rsidR="000D13F2" w:rsidRDefault="000D13F2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509CC">
        <w:rPr>
          <w:rFonts w:ascii="Times New Roman" w:hAnsi="Times New Roman" w:cs="Times New Roman"/>
          <w:i/>
          <w:sz w:val="28"/>
          <w:szCs w:val="28"/>
        </w:rPr>
        <w:t>.</w:t>
      </w:r>
      <w:r w:rsidR="00D86D0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бъём преп</w:t>
      </w:r>
      <w:r w:rsidR="00D86D00">
        <w:rPr>
          <w:rFonts w:ascii="Times New Roman" w:hAnsi="Times New Roman" w:cs="Times New Roman"/>
          <w:sz w:val="28"/>
          <w:szCs w:val="28"/>
        </w:rPr>
        <w:t>арата, соответствующий около 50 </w:t>
      </w:r>
      <w:r>
        <w:rPr>
          <w:rFonts w:ascii="Times New Roman" w:hAnsi="Times New Roman" w:cs="Times New Roman"/>
          <w:sz w:val="28"/>
          <w:szCs w:val="28"/>
        </w:rPr>
        <w:t xml:space="preserve">мг ципрофлоксацина, </w:t>
      </w:r>
      <w:r w:rsidR="00E57CB5">
        <w:rPr>
          <w:rFonts w:ascii="Times New Roman" w:hAnsi="Times New Roman" w:cs="Times New Roman"/>
          <w:sz w:val="28"/>
          <w:szCs w:val="28"/>
        </w:rPr>
        <w:t>помещают в мерную колбу вместимостью 50 мл и доводят объём раствора ПФ до метки. В мерную колбу вместимостью 20 мл помещают 5,0 мл полученного раствора и доводят объём раствора ПФ до метки.</w:t>
      </w:r>
    </w:p>
    <w:p w:rsidR="00A027ED" w:rsidRPr="00122CF3" w:rsidRDefault="00A027ED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ципрофлоксацина.</w:t>
      </w:r>
      <w:r>
        <w:rPr>
          <w:rFonts w:ascii="Times New Roman" w:hAnsi="Times New Roman" w:cs="Times New Roman"/>
          <w:sz w:val="28"/>
          <w:szCs w:val="28"/>
        </w:rPr>
        <w:t xml:space="preserve"> Около 10 мг (точная навеска) стандартного образца ципрофлоксацина помещают в мерную колбу вместимостью 20 мл, растворяют в 10 мл ПФ и доводят объём раствора тем же растворителем до метки. В мерную колбу вместимостью 10</w:t>
      </w:r>
      <w:r w:rsidR="00122CF3">
        <w:rPr>
          <w:rFonts w:ascii="Times New Roman" w:hAnsi="Times New Roman" w:cs="Times New Roman"/>
          <w:sz w:val="28"/>
          <w:szCs w:val="28"/>
        </w:rPr>
        <w:t> мл помещают 5,0 мл полученного раствора и доводят объём раствора ПФ до метки.</w:t>
      </w:r>
    </w:p>
    <w:p w:rsidR="00CB775A" w:rsidRPr="008F6329" w:rsidRDefault="00B7442A" w:rsidP="008F63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</w:t>
      </w:r>
      <w:r w:rsidR="008F6329">
        <w:rPr>
          <w:rFonts w:ascii="Times New Roman" w:hAnsi="Times New Roman" w:cs="Times New Roman"/>
          <w:i/>
          <w:sz w:val="28"/>
          <w:szCs w:val="28"/>
        </w:rPr>
        <w:t>р для проверки пригодности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F632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коло 10 мг (точная навеска) стандартного образца примеси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C0">
        <w:rPr>
          <w:rFonts w:ascii="Times New Roman" w:hAnsi="Times New Roman"/>
          <w:sz w:val="28"/>
          <w:szCs w:val="28"/>
        </w:rPr>
        <w:t>(7-[(2-</w:t>
      </w:r>
      <w:r>
        <w:rPr>
          <w:rFonts w:ascii="Times New Roman" w:hAnsi="Times New Roman"/>
          <w:sz w:val="28"/>
          <w:szCs w:val="28"/>
        </w:rPr>
        <w:t>а</w:t>
      </w:r>
      <w:r w:rsidRPr="00CA72C0">
        <w:rPr>
          <w:rFonts w:ascii="Times New Roman" w:hAnsi="Times New Roman"/>
          <w:sz w:val="28"/>
          <w:szCs w:val="28"/>
        </w:rPr>
        <w:t>миноэтил</w:t>
      </w:r>
      <w:proofErr w:type="gramStart"/>
      <w:r w:rsidRPr="00CA72C0">
        <w:rPr>
          <w:rFonts w:ascii="Times New Roman" w:hAnsi="Times New Roman"/>
          <w:sz w:val="28"/>
          <w:szCs w:val="28"/>
        </w:rPr>
        <w:t>)а</w:t>
      </w:r>
      <w:proofErr w:type="gramEnd"/>
      <w:r w:rsidRPr="00CA72C0">
        <w:rPr>
          <w:rFonts w:ascii="Times New Roman" w:hAnsi="Times New Roman"/>
          <w:sz w:val="28"/>
          <w:szCs w:val="28"/>
        </w:rPr>
        <w:t>мино]-4-оксо-6-фтор-1-циклопропил-1,4-дигидрохинолин-3-карбоновая кислот</w:t>
      </w:r>
      <w:r w:rsidRPr="008024F2">
        <w:rPr>
          <w:rFonts w:ascii="Times New Roman" w:hAnsi="Times New Roman"/>
          <w:sz w:val="28"/>
          <w:szCs w:val="28"/>
        </w:rPr>
        <w:t xml:space="preserve">а, </w:t>
      </w:r>
      <w:r w:rsidRPr="008024F2">
        <w:rPr>
          <w:rFonts w:ascii="Times New Roman" w:hAnsi="Times New Roman"/>
          <w:sz w:val="28"/>
          <w:szCs w:val="28"/>
          <w:lang w:val="en-US"/>
        </w:rPr>
        <w:t>C</w:t>
      </w:r>
      <w:r w:rsidR="00961C6D">
        <w:rPr>
          <w:rFonts w:ascii="Times New Roman" w:hAnsi="Times New Roman"/>
          <w:sz w:val="28"/>
          <w:szCs w:val="28"/>
          <w:lang w:val="en-US"/>
        </w:rPr>
        <w:t>AS</w:t>
      </w:r>
      <w:r w:rsidR="00961C6D" w:rsidRPr="00961C6D">
        <w:rPr>
          <w:rFonts w:ascii="Times New Roman" w:hAnsi="Times New Roman"/>
          <w:sz w:val="28"/>
          <w:szCs w:val="28"/>
        </w:rPr>
        <w:t xml:space="preserve"> </w:t>
      </w:r>
      <w:r w:rsidR="00961C6D" w:rsidRPr="00961C6D">
        <w:rPr>
          <w:rFonts w:ascii="Times New Roman" w:hAnsi="Times New Roman" w:cs="Times New Roman"/>
          <w:sz w:val="28"/>
          <w:szCs w:val="28"/>
        </w:rPr>
        <w:t>528851-31-2</w:t>
      </w:r>
      <w:r w:rsidRPr="008024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50 мл, растворяют в 40 мл ПФ и доводят объём раствора тем же растворителем до метки. </w:t>
      </w:r>
      <w:r w:rsidR="00A027ED">
        <w:rPr>
          <w:rFonts w:ascii="Times New Roman" w:hAnsi="Times New Roman"/>
          <w:sz w:val="28"/>
          <w:szCs w:val="28"/>
        </w:rPr>
        <w:t>В мерную колбу вместимостью 50 мл помещают 3,0 м</w:t>
      </w:r>
      <w:r w:rsidR="008F6329">
        <w:rPr>
          <w:rFonts w:ascii="Times New Roman" w:hAnsi="Times New Roman"/>
          <w:sz w:val="28"/>
          <w:szCs w:val="28"/>
        </w:rPr>
        <w:t xml:space="preserve">л </w:t>
      </w:r>
      <w:r w:rsidR="00A027ED">
        <w:rPr>
          <w:rFonts w:ascii="Times New Roman" w:hAnsi="Times New Roman"/>
          <w:sz w:val="28"/>
          <w:szCs w:val="28"/>
        </w:rPr>
        <w:t>полученного раствора и доводят объём раствора ПФ до метки.</w:t>
      </w:r>
      <w:r w:rsidR="00925291">
        <w:rPr>
          <w:rFonts w:ascii="Times New Roman" w:hAnsi="Times New Roman" w:cs="Times New Roman"/>
          <w:sz w:val="28"/>
          <w:szCs w:val="28"/>
        </w:rPr>
        <w:t xml:space="preserve"> В</w:t>
      </w:r>
      <w:r w:rsidR="00CB775A">
        <w:rPr>
          <w:rFonts w:ascii="Times New Roman" w:hAnsi="Times New Roman" w:cs="Times New Roman"/>
          <w:sz w:val="28"/>
          <w:szCs w:val="28"/>
        </w:rPr>
        <w:t xml:space="preserve"> мерную колбу вместимостью 10 мл помещают 2,0 мл</w:t>
      </w:r>
      <w:r w:rsidR="008F6329">
        <w:rPr>
          <w:rFonts w:ascii="Times New Roman" w:hAnsi="Times New Roman" w:cs="Times New Roman"/>
          <w:sz w:val="28"/>
          <w:szCs w:val="28"/>
        </w:rPr>
        <w:t xml:space="preserve"> полученного</w:t>
      </w:r>
      <w:r w:rsidR="00CB775A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8F6329">
        <w:rPr>
          <w:rFonts w:ascii="Times New Roman" w:hAnsi="Times New Roman" w:cs="Times New Roman"/>
          <w:sz w:val="28"/>
          <w:szCs w:val="28"/>
        </w:rPr>
        <w:t>а</w:t>
      </w:r>
      <w:r w:rsidR="00CB775A">
        <w:rPr>
          <w:rFonts w:ascii="Times New Roman" w:hAnsi="Times New Roman" w:cs="Times New Roman"/>
          <w:sz w:val="28"/>
          <w:szCs w:val="28"/>
        </w:rPr>
        <w:t xml:space="preserve"> и доводят объём раствором стандартного образца ципрофлоксацина до метки.</w:t>
      </w:r>
    </w:p>
    <w:p w:rsidR="00BF5554" w:rsidRDefault="00887C3D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090D8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2,0 мл раствора стандартного образца ципрофлоксацина и доводят объём раствора ПФ до метки. В мерную колбу вместимостью 10 мл помещают 1,0 мл полученного раствора и доводят объём раствора ПФ до метки</w:t>
      </w:r>
      <w:r w:rsidR="00BF5554">
        <w:rPr>
          <w:rFonts w:ascii="Times New Roman" w:hAnsi="Times New Roman" w:cs="Times New Roman"/>
          <w:sz w:val="28"/>
          <w:szCs w:val="28"/>
        </w:rPr>
        <w:t>. В мерную колбу вместимостью 10 мл помещают 2,5 мл полученного раствора и доводят объём раствора ПФ до метки.</w:t>
      </w:r>
    </w:p>
    <w:p w:rsidR="004B6FA3" w:rsidRDefault="004B6FA3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255019" w:rsidRPr="00255019" w:rsidTr="005E7B81">
        <w:tc>
          <w:tcPr>
            <w:tcW w:w="2977" w:type="dxa"/>
          </w:tcPr>
          <w:p w:rsidR="00255019" w:rsidRPr="00255019" w:rsidRDefault="00255019" w:rsidP="006C4DC7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501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255019" w:rsidRPr="00255019" w:rsidRDefault="00255019" w:rsidP="005E7B8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 × 4,6</w:t>
            </w:r>
            <w:r w:rsidRPr="002550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 w:rsidR="009C2F2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2550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r w:rsidR="00E36061">
              <w:rPr>
                <w:rFonts w:ascii="Times New Roman" w:hAnsi="Times New Roman"/>
                <w:b w:val="0"/>
                <w:color w:val="000000"/>
                <w:szCs w:val="28"/>
              </w:rPr>
              <w:t>, эндкепированный</w:t>
            </w:r>
            <w:r w:rsidRPr="002550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С18), 5 </w:t>
            </w:r>
            <w:r w:rsidRPr="00255019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255019" w:rsidRPr="00255019" w:rsidTr="005E7B81">
        <w:tc>
          <w:tcPr>
            <w:tcW w:w="2977" w:type="dxa"/>
          </w:tcPr>
          <w:p w:rsidR="00255019" w:rsidRPr="00255019" w:rsidRDefault="00255019" w:rsidP="006C4DC7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501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255019" w:rsidRPr="00255019" w:rsidRDefault="008F71A3" w:rsidP="005E7B8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 w:rsidR="00255019" w:rsidRPr="002550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255019" w:rsidRPr="0025501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55019" w:rsidRPr="00255019" w:rsidTr="005E7B81">
        <w:tc>
          <w:tcPr>
            <w:tcW w:w="2977" w:type="dxa"/>
          </w:tcPr>
          <w:p w:rsidR="00255019" w:rsidRPr="00255019" w:rsidRDefault="00255019" w:rsidP="006C4DC7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501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255019" w:rsidRPr="00255019" w:rsidRDefault="002554B0" w:rsidP="005E7B8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0,8</w:t>
            </w:r>
            <w:r w:rsidR="00255019" w:rsidRPr="002550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255019" w:rsidRPr="00255019" w:rsidTr="005E7B81">
        <w:tc>
          <w:tcPr>
            <w:tcW w:w="2977" w:type="dxa"/>
          </w:tcPr>
          <w:p w:rsidR="00255019" w:rsidRPr="00255019" w:rsidRDefault="00255019" w:rsidP="006C4DC7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501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255019" w:rsidRPr="00255019" w:rsidRDefault="00D35A60" w:rsidP="005E7B8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278</w:t>
            </w:r>
            <w:r w:rsidR="00255019" w:rsidRPr="002550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255019" w:rsidRPr="00255019" w:rsidTr="005E7B81">
        <w:tc>
          <w:tcPr>
            <w:tcW w:w="2977" w:type="dxa"/>
          </w:tcPr>
          <w:p w:rsidR="00255019" w:rsidRPr="00255019" w:rsidRDefault="00255019" w:rsidP="006C4DC7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501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255019" w:rsidRPr="00255019" w:rsidRDefault="00D35A60" w:rsidP="005E7B8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255019" w:rsidRPr="002550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255019" w:rsidRPr="00255019" w:rsidTr="005E7B81">
        <w:tc>
          <w:tcPr>
            <w:tcW w:w="2977" w:type="dxa"/>
          </w:tcPr>
          <w:p w:rsidR="00255019" w:rsidRPr="00255019" w:rsidRDefault="00255019" w:rsidP="006C4DC7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501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255019" w:rsidRPr="00255019" w:rsidRDefault="00D35A60" w:rsidP="005E7B8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255019" w:rsidRPr="002550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ципрофлоксацина</w:t>
            </w:r>
            <w:r w:rsidR="00255019" w:rsidRPr="00255019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4B6FA3" w:rsidRPr="00A22A76" w:rsidRDefault="00A91717" w:rsidP="00A22A7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384A9B">
        <w:rPr>
          <w:rFonts w:ascii="Times New Roman" w:hAnsi="Times New Roman" w:cs="Times New Roman"/>
          <w:sz w:val="28"/>
          <w:szCs w:val="28"/>
        </w:rPr>
        <w:t>раствор для проверки пригодности хроматографической системы</w:t>
      </w:r>
      <w:r w:rsidRPr="00A22A76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2D2519" w:rsidRPr="00A22A76" w:rsidRDefault="002D2519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76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A2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A76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Pr="00A22A76">
        <w:rPr>
          <w:rFonts w:ascii="Times New Roman" w:hAnsi="Times New Roman" w:cs="Times New Roman"/>
          <w:sz w:val="28"/>
          <w:szCs w:val="28"/>
        </w:rPr>
        <w:t xml:space="preserve"> – 1; примесь</w:t>
      </w:r>
      <w:proofErr w:type="gramStart"/>
      <w:r w:rsidRPr="00A22A7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2A76">
        <w:rPr>
          <w:rFonts w:ascii="Times New Roman" w:hAnsi="Times New Roman" w:cs="Times New Roman"/>
          <w:sz w:val="28"/>
          <w:szCs w:val="28"/>
        </w:rPr>
        <w:t xml:space="preserve"> – около 0,7.</w:t>
      </w:r>
    </w:p>
    <w:p w:rsidR="002D2519" w:rsidRPr="00A22A76" w:rsidRDefault="00863F41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A7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63F41" w:rsidRDefault="00863F41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76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384A9B">
        <w:rPr>
          <w:rFonts w:ascii="Times New Roman" w:hAnsi="Times New Roman" w:cs="Times New Roman"/>
          <w:sz w:val="28"/>
          <w:szCs w:val="28"/>
        </w:rPr>
        <w:t>раствора для проверки пригодности хроматографической системы</w:t>
      </w:r>
      <w:r w:rsidRPr="00A22A76">
        <w:rPr>
          <w:rFonts w:ascii="Times New Roman" w:hAnsi="Times New Roman" w:cs="Times New Roman"/>
          <w:sz w:val="28"/>
          <w:szCs w:val="28"/>
        </w:rPr>
        <w:t>:</w:t>
      </w:r>
    </w:p>
    <w:p w:rsidR="00863F41" w:rsidRDefault="00863F41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63F4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ципрофлоксацина должно быть не менее 6,0;</w:t>
      </w:r>
    </w:p>
    <w:p w:rsidR="00863F41" w:rsidRDefault="00863F41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63F41">
        <w:rPr>
          <w:rFonts w:ascii="Times New Roman" w:hAnsi="Times New Roman" w:cs="Times New Roman"/>
          <w:i/>
          <w:sz w:val="28"/>
          <w:szCs w:val="28"/>
        </w:rPr>
        <w:t>)</w:t>
      </w:r>
      <w:r w:rsidRPr="0086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ципрофлоксацина</w:t>
      </w:r>
      <w:r w:rsidR="0076646B">
        <w:rPr>
          <w:rFonts w:ascii="Times New Roman" w:hAnsi="Times New Roman" w:cs="Times New Roman"/>
          <w:sz w:val="28"/>
          <w:szCs w:val="28"/>
        </w:rPr>
        <w:t xml:space="preserve"> должен быть не более 2,5;</w:t>
      </w:r>
    </w:p>
    <w:p w:rsidR="0076646B" w:rsidRDefault="0076646B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ципрофлоксацина должно быть не более 2,0 % (6 определений);</w:t>
      </w:r>
    </w:p>
    <w:p w:rsidR="0076646B" w:rsidRDefault="0076646B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ципрофлоксацина, должна составлять не менее 2500 теоретических тарелок.</w:t>
      </w:r>
    </w:p>
    <w:p w:rsidR="00635A30" w:rsidRDefault="00635A30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35A3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35A30">
        <w:rPr>
          <w:rFonts w:ascii="Times New Roman" w:hAnsi="Times New Roman" w:cs="Times New Roman"/>
          <w:i/>
          <w:sz w:val="28"/>
          <w:szCs w:val="28"/>
        </w:rPr>
        <w:t>)</w:t>
      </w:r>
      <w:r w:rsidRPr="0063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пика ципрофлоксацина должно быть не менее 20.</w:t>
      </w:r>
    </w:p>
    <w:p w:rsidR="00C83E82" w:rsidRDefault="00C83E82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из примесей вычисляют согласно методу нормирования (ОФС «Хроматография»).</w:t>
      </w:r>
    </w:p>
    <w:p w:rsidR="006D3638" w:rsidRDefault="006D3638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6D3638" w:rsidRDefault="006D3638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более 0,5 %;</w:t>
      </w:r>
    </w:p>
    <w:p w:rsidR="006D3638" w:rsidRDefault="006D3638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другая примесь – не более 0,2 %;</w:t>
      </w:r>
    </w:p>
    <w:p w:rsidR="006D3638" w:rsidRDefault="006D3638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0,5 %.</w:t>
      </w:r>
    </w:p>
    <w:p w:rsidR="006526C4" w:rsidRDefault="006526C4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FB0726" w:rsidRDefault="00544009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09">
        <w:rPr>
          <w:rFonts w:ascii="Times New Roman" w:hAnsi="Times New Roman" w:cs="Times New Roman"/>
          <w:b/>
          <w:sz w:val="28"/>
          <w:szCs w:val="28"/>
        </w:rPr>
        <w:t>Извлекаемый об</w:t>
      </w:r>
      <w:r>
        <w:rPr>
          <w:rFonts w:ascii="Times New Roman" w:hAnsi="Times New Roman" w:cs="Times New Roman"/>
          <w:b/>
          <w:sz w:val="28"/>
          <w:szCs w:val="28"/>
        </w:rPr>
        <w:t>ъём.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7673C1" w:rsidRDefault="007673C1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0,25 ЕЭ на 1 мг ципрофлоксацина (ОФС «Бактериальные эндотоксины»).</w:t>
      </w:r>
    </w:p>
    <w:p w:rsidR="006E6B6C" w:rsidRPr="006E6B6C" w:rsidRDefault="006E6B6C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17632F" w:rsidRDefault="00E90AD9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D9">
        <w:rPr>
          <w:rFonts w:ascii="Times New Roman" w:hAnsi="Times New Roman" w:cs="Times New Roman"/>
          <w:b/>
          <w:sz w:val="28"/>
          <w:szCs w:val="28"/>
        </w:rPr>
        <w:t>*</w:t>
      </w:r>
      <w:r w:rsidR="0017632F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17632F">
        <w:rPr>
          <w:rFonts w:ascii="Times New Roman" w:hAnsi="Times New Roman" w:cs="Times New Roman"/>
          <w:sz w:val="28"/>
          <w:szCs w:val="28"/>
        </w:rPr>
        <w:t xml:space="preserve"> Препарат должен быть нетоксичным </w:t>
      </w:r>
      <w:r w:rsidR="00092354">
        <w:rPr>
          <w:rFonts w:ascii="Times New Roman" w:hAnsi="Times New Roman" w:cs="Times New Roman"/>
          <w:sz w:val="28"/>
          <w:szCs w:val="28"/>
        </w:rPr>
        <w:t>(</w:t>
      </w:r>
      <w:r w:rsidR="0017632F">
        <w:rPr>
          <w:rFonts w:ascii="Times New Roman" w:hAnsi="Times New Roman" w:cs="Times New Roman"/>
          <w:sz w:val="28"/>
          <w:szCs w:val="28"/>
        </w:rPr>
        <w:t>ОФС «Аномальная токсичность»).</w:t>
      </w:r>
      <w:r w:rsidR="006E6B6C">
        <w:rPr>
          <w:rFonts w:ascii="Times New Roman" w:hAnsi="Times New Roman" w:cs="Times New Roman"/>
          <w:sz w:val="28"/>
          <w:szCs w:val="28"/>
        </w:rPr>
        <w:t xml:space="preserve"> Тест-доза – 0,5 мл </w:t>
      </w:r>
      <w:r w:rsidR="00572FCE">
        <w:rPr>
          <w:rFonts w:ascii="Times New Roman" w:hAnsi="Times New Roman" w:cs="Times New Roman"/>
          <w:sz w:val="28"/>
          <w:szCs w:val="28"/>
        </w:rPr>
        <w:t>препарата с концентрацией ципрофлоксацина 2 мг/мл</w:t>
      </w:r>
      <w:r w:rsidR="006E6B6C">
        <w:rPr>
          <w:rFonts w:ascii="Times New Roman" w:hAnsi="Times New Roman" w:cs="Times New Roman"/>
          <w:sz w:val="28"/>
          <w:szCs w:val="28"/>
        </w:rPr>
        <w:t xml:space="preserve"> на мышь, внутривенно. Срок наблюдения 48 ч.</w:t>
      </w:r>
    </w:p>
    <w:p w:rsidR="002E6DE4" w:rsidRDefault="00A52F37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5E7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F37" w:rsidRDefault="002E6DE4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Ципрофлоксацин. </w:t>
      </w:r>
      <w:r w:rsidR="00A52F37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120393">
        <w:rPr>
          <w:rFonts w:ascii="Times New Roman" w:hAnsi="Times New Roman" w:cs="Times New Roman"/>
          <w:sz w:val="28"/>
          <w:szCs w:val="28"/>
        </w:rPr>
        <w:t>.</w:t>
      </w:r>
    </w:p>
    <w:p w:rsidR="00120393" w:rsidRDefault="00120393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ципрофлоксацина и испытуемый раствор.</w:t>
      </w:r>
    </w:p>
    <w:p w:rsidR="00120393" w:rsidRDefault="00376F28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1149B3" w:rsidRDefault="001149B3" w:rsidP="007C2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ципрофлоксацина:</w:t>
      </w:r>
    </w:p>
    <w:p w:rsidR="001149B3" w:rsidRDefault="001149B3" w:rsidP="001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63F41">
        <w:rPr>
          <w:rFonts w:ascii="Times New Roman" w:hAnsi="Times New Roman" w:cs="Times New Roman"/>
          <w:i/>
          <w:sz w:val="28"/>
          <w:szCs w:val="28"/>
        </w:rPr>
        <w:t>)</w:t>
      </w:r>
      <w:r w:rsidRPr="0086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ципрофлоксацина должен быть не более 2,5;</w:t>
      </w:r>
    </w:p>
    <w:p w:rsidR="001149B3" w:rsidRDefault="001149B3" w:rsidP="001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ципрофлоксацина должно быть не более 2,0 % (6 определений);</w:t>
      </w:r>
    </w:p>
    <w:p w:rsidR="001149B3" w:rsidRDefault="001149B3" w:rsidP="001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ципрофлоксацина, должна составлять не менее 2500 теоретических тарелок.</w:t>
      </w:r>
    </w:p>
    <w:p w:rsidR="001149B3" w:rsidRDefault="00896219" w:rsidP="007C25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ципрофлоксацина </w:t>
      </w:r>
      <w:r w:rsidRPr="00E455F9">
        <w:rPr>
          <w:rFonts w:ascii="Times New Roman" w:hAnsi="Times New Roman"/>
          <w:sz w:val="28"/>
          <w:szCs w:val="28"/>
        </w:rPr>
        <w:t>C</w:t>
      </w:r>
      <w:r w:rsidRPr="00E455F9">
        <w:rPr>
          <w:rFonts w:ascii="Times New Roman" w:hAnsi="Times New Roman"/>
          <w:sz w:val="28"/>
          <w:szCs w:val="28"/>
          <w:vertAlign w:val="subscript"/>
        </w:rPr>
        <w:t>17</w:t>
      </w:r>
      <w:r w:rsidRPr="00E455F9">
        <w:rPr>
          <w:rFonts w:ascii="Times New Roman" w:hAnsi="Times New Roman"/>
          <w:sz w:val="28"/>
          <w:szCs w:val="28"/>
        </w:rPr>
        <w:t>H</w:t>
      </w:r>
      <w:r w:rsidRPr="00E455F9">
        <w:rPr>
          <w:rFonts w:ascii="Times New Roman" w:hAnsi="Times New Roman"/>
          <w:sz w:val="28"/>
          <w:szCs w:val="28"/>
          <w:vertAlign w:val="subscript"/>
        </w:rPr>
        <w:t>18</w:t>
      </w:r>
      <w:r w:rsidRPr="00E455F9">
        <w:rPr>
          <w:rFonts w:ascii="Times New Roman" w:hAnsi="Times New Roman"/>
          <w:sz w:val="28"/>
          <w:szCs w:val="28"/>
        </w:rPr>
        <w:t>FN</w:t>
      </w:r>
      <w:r w:rsidRPr="00E455F9">
        <w:rPr>
          <w:rFonts w:ascii="Times New Roman" w:hAnsi="Times New Roman"/>
          <w:sz w:val="28"/>
          <w:szCs w:val="28"/>
          <w:vertAlign w:val="subscript"/>
        </w:rPr>
        <w:t>3</w:t>
      </w:r>
      <w:r w:rsidRPr="00E455F9">
        <w:rPr>
          <w:rFonts w:ascii="Times New Roman" w:hAnsi="Times New Roman"/>
          <w:sz w:val="28"/>
          <w:szCs w:val="28"/>
        </w:rPr>
        <w:t>O</w:t>
      </w:r>
      <w:r w:rsidRPr="00E455F9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(Х) вычисляют по формуле:</w:t>
      </w:r>
    </w:p>
    <w:p w:rsidR="006C4DC7" w:rsidRPr="00D92827" w:rsidRDefault="006C4DC7" w:rsidP="005E7B81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P·50·20·5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L·20·10·5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C4DC7" w:rsidRPr="00AB25C7" w:rsidTr="006C4DC7">
        <w:tc>
          <w:tcPr>
            <w:tcW w:w="637" w:type="dxa"/>
          </w:tcPr>
          <w:p w:rsidR="006C4DC7" w:rsidRPr="006C4DC7" w:rsidRDefault="006C4DC7" w:rsidP="005E7B8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4DC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C4DC7" w:rsidRPr="006C4DC7" w:rsidRDefault="006C4DC7" w:rsidP="005E7B81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C4D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C4DC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C4DC7" w:rsidRPr="006C4DC7" w:rsidRDefault="006C4DC7" w:rsidP="005E7B8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4D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C4DC7" w:rsidRPr="006C4DC7" w:rsidRDefault="006C4DC7" w:rsidP="005E7B81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6C4DC7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 w:rsidR="0049104B">
              <w:rPr>
                <w:rStyle w:val="8"/>
                <w:rFonts w:eastAsia="Calibri"/>
                <w:sz w:val="28"/>
                <w:szCs w:val="28"/>
              </w:rPr>
              <w:t xml:space="preserve"> ципрофлоксац</w:t>
            </w:r>
            <w:r>
              <w:rPr>
                <w:rStyle w:val="8"/>
                <w:rFonts w:eastAsia="Calibri"/>
                <w:sz w:val="28"/>
                <w:szCs w:val="28"/>
              </w:rPr>
              <w:t>ина</w:t>
            </w:r>
            <w:r w:rsidRPr="006C4DC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C4DC7" w:rsidRPr="00AB25C7" w:rsidTr="006C4DC7">
        <w:tc>
          <w:tcPr>
            <w:tcW w:w="637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C4D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C4DC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4D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C4DC7" w:rsidRPr="006C4DC7" w:rsidRDefault="006C4DC7" w:rsidP="005E7B81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6C4DC7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ципрофлоксацина</w:t>
            </w:r>
            <w:r w:rsidRPr="006C4DC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ципрофлоксацина</w:t>
            </w:r>
            <w:r w:rsidRPr="006C4DC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C4DC7" w:rsidRPr="00AB25C7" w:rsidTr="006C4DC7">
        <w:tc>
          <w:tcPr>
            <w:tcW w:w="637" w:type="dxa"/>
          </w:tcPr>
          <w:p w:rsidR="006C4DC7" w:rsidRPr="006C4DC7" w:rsidRDefault="006C4DC7" w:rsidP="005E7B8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C4DC7" w:rsidRPr="006C4DC7" w:rsidRDefault="006C4DC7" w:rsidP="005E7B81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6C4D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C4DC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C4DC7" w:rsidRPr="006C4DC7" w:rsidRDefault="006C4DC7" w:rsidP="005E7B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D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C4DC7" w:rsidRPr="006C4DC7" w:rsidRDefault="000152C6" w:rsidP="005E7B8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ципрофлоксацина</w:t>
            </w:r>
            <w:r w:rsidR="006C4DC7" w:rsidRPr="006C4DC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C4DC7" w:rsidRPr="00AB25C7" w:rsidTr="006C4DC7">
        <w:tc>
          <w:tcPr>
            <w:tcW w:w="637" w:type="dxa"/>
          </w:tcPr>
          <w:p w:rsidR="006C4DC7" w:rsidRPr="006C4DC7" w:rsidRDefault="006C4DC7" w:rsidP="005E7B8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C4D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6C4DC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D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C4DC7" w:rsidRPr="006C4DC7" w:rsidRDefault="006C4DC7" w:rsidP="005E7B8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4DC7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мл.</w:t>
            </w:r>
          </w:p>
        </w:tc>
      </w:tr>
      <w:tr w:rsidR="006C4DC7" w:rsidRPr="00AB25C7" w:rsidTr="006C4DC7">
        <w:tc>
          <w:tcPr>
            <w:tcW w:w="637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4D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D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C4DC7" w:rsidRPr="006C4DC7" w:rsidRDefault="000152C6" w:rsidP="005E7B8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содержание ципрофлоксацина в стандартном образце ципрофлоксацина</w:t>
            </w:r>
            <w:proofErr w:type="gramStart"/>
            <w:r w:rsidR="006C4DC7" w:rsidRPr="006C4DC7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6C4DC7" w:rsidRPr="00AB25C7" w:rsidTr="006C4DC7">
        <w:tc>
          <w:tcPr>
            <w:tcW w:w="637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C4D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C4DC7" w:rsidRPr="006C4DC7" w:rsidRDefault="006C4DC7" w:rsidP="005E7B8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D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C4DC7" w:rsidRPr="006C4DC7" w:rsidRDefault="004138E9" w:rsidP="005E7B8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ципрофлоксацина </w:t>
            </w:r>
            <w:r w:rsidR="006C4DC7" w:rsidRPr="006C4DC7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2E6DE4" w:rsidRDefault="002E6DE4" w:rsidP="002E6DE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B458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bidi="ru-RU"/>
        </w:rPr>
        <w:t>Молочная кислота.</w:t>
      </w:r>
      <w:r w:rsidRPr="00863FB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B458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Определение проводят методом ВЭЖХ</w:t>
      </w:r>
      <w:r w:rsidRPr="004F226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(ОФС «Высокоэффективная жидкостная хроматография»).</w:t>
      </w:r>
    </w:p>
    <w:p w:rsidR="002E6DE4" w:rsidRPr="00F22F12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</w:pPr>
      <w:r w:rsidRPr="00B51EA7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0,0025 М раствор серной кислоты.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мерную колбу вместимостью 100 мл помещают 60 мл воды, прибавляют 1,4 мл серной кислоты концентрированной и доводят объем раствора водой до метки. В мерную колбу вместимостью 1 л помещают 10,</w:t>
      </w:r>
      <w:r w:rsidRPr="00F22F1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Pr="00F22F12">
        <w:rPr>
          <w:rFonts w:ascii="Times New Roman" w:hAnsi="Times New Roman" w:cs="Times New Roman"/>
          <w:sz w:val="28"/>
          <w:szCs w:val="28"/>
        </w:rPr>
        <w:t>мл полученного раствор</w:t>
      </w:r>
      <w:r>
        <w:rPr>
          <w:rFonts w:ascii="Times New Roman" w:hAnsi="Times New Roman" w:cs="Times New Roman"/>
          <w:sz w:val="28"/>
          <w:szCs w:val="28"/>
        </w:rPr>
        <w:t>а и доводят объём раствора водой до метки.</w:t>
      </w:r>
    </w:p>
    <w:p w:rsidR="002E6DE4" w:rsidRPr="004F226F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4F226F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Подвижная фаза (ПФ). </w:t>
      </w:r>
      <w:r w:rsidRPr="004F226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Ацетонитрил—0,0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</w:t>
      </w:r>
      <w:r w:rsidRPr="004F226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25 М </w:t>
      </w:r>
      <w:r w:rsidRPr="00B51EA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раствор серной кислоты</w:t>
      </w:r>
      <w:r w:rsidRPr="004F226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50</w:t>
      </w:r>
      <w:r w:rsidRPr="004F226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50</w:t>
      </w:r>
      <w:r w:rsidRPr="004F226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2E6DE4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Испытуемый раствор</w:t>
      </w:r>
      <w:r w:rsidRPr="00E7111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 При необходимости препарат разводя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E7111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водой до получения концентрации </w:t>
      </w:r>
      <w:r w:rsidRPr="004310C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молочной кислоты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около 3,72 мг/мл</w:t>
      </w:r>
      <w:r w:rsidRPr="004F226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2E6DE4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Раствор стандартного образца натрия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лактата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Около 40 мг (точная навеска) стандартного образца натрия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лактата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помещают в мерную колбу вместимостью 10 мл, растворяют в 5 мл воды и доводят объём раствора водой до метки.</w:t>
      </w:r>
    </w:p>
    <w:p w:rsidR="002E6DE4" w:rsidRPr="004F226F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</w:pPr>
      <w:r w:rsidRPr="004F226F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2E6DE4" w:rsidRPr="004F226F" w:rsidTr="001F5229">
        <w:trPr>
          <w:cantSplit/>
        </w:trPr>
        <w:tc>
          <w:tcPr>
            <w:tcW w:w="3369" w:type="dxa"/>
          </w:tcPr>
          <w:p w:rsidR="002E6DE4" w:rsidRPr="004F226F" w:rsidRDefault="002E6DE4" w:rsidP="001F522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Колонка</w:t>
            </w:r>
          </w:p>
        </w:tc>
        <w:tc>
          <w:tcPr>
            <w:tcW w:w="6095" w:type="dxa"/>
          </w:tcPr>
          <w:p w:rsidR="002E6DE4" w:rsidRPr="0032679C" w:rsidRDefault="002E6DE4" w:rsidP="001F522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267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0 × </w:t>
            </w:r>
            <w:r w:rsidRPr="003267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  <w:r w:rsidRPr="003267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 м</w:t>
            </w:r>
            <w:r w:rsidRPr="003267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м, </w:t>
            </w:r>
            <w:proofErr w:type="spellStart"/>
            <w:r w:rsidRPr="003267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катионообменная</w:t>
            </w:r>
            <w:proofErr w:type="spellEnd"/>
            <w:r w:rsidRPr="003267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смола,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  <w:r w:rsidRPr="003267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 мкм;</w:t>
            </w:r>
          </w:p>
        </w:tc>
      </w:tr>
      <w:tr w:rsidR="002E6DE4" w:rsidRPr="004F226F" w:rsidTr="001F5229">
        <w:trPr>
          <w:cantSplit/>
        </w:trPr>
        <w:tc>
          <w:tcPr>
            <w:tcW w:w="3369" w:type="dxa"/>
          </w:tcPr>
          <w:p w:rsidR="002E6DE4" w:rsidRPr="004F226F" w:rsidRDefault="002E6DE4" w:rsidP="001F522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Температура колонки</w:t>
            </w:r>
          </w:p>
        </w:tc>
        <w:tc>
          <w:tcPr>
            <w:tcW w:w="6095" w:type="dxa"/>
          </w:tcPr>
          <w:p w:rsidR="002E6DE4" w:rsidRPr="004F226F" w:rsidRDefault="002E6DE4" w:rsidP="001F522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40</w:t>
            </w:r>
            <w:proofErr w:type="gramStart"/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 °С</w:t>
            </w:r>
            <w:proofErr w:type="gramEnd"/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E6DE4" w:rsidRPr="004F226F" w:rsidTr="001F5229">
        <w:trPr>
          <w:cantSplit/>
        </w:trPr>
        <w:tc>
          <w:tcPr>
            <w:tcW w:w="3369" w:type="dxa"/>
          </w:tcPr>
          <w:p w:rsidR="002E6DE4" w:rsidRPr="004F226F" w:rsidRDefault="002E6DE4" w:rsidP="001F522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Скорость потока</w:t>
            </w:r>
          </w:p>
        </w:tc>
        <w:tc>
          <w:tcPr>
            <w:tcW w:w="6095" w:type="dxa"/>
          </w:tcPr>
          <w:p w:rsidR="002E6DE4" w:rsidRPr="004F226F" w:rsidRDefault="002E6DE4" w:rsidP="001F522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 мл/мин;</w:t>
            </w:r>
          </w:p>
        </w:tc>
      </w:tr>
      <w:tr w:rsidR="002E6DE4" w:rsidRPr="004F226F" w:rsidTr="001F5229">
        <w:trPr>
          <w:cantSplit/>
        </w:trPr>
        <w:tc>
          <w:tcPr>
            <w:tcW w:w="3369" w:type="dxa"/>
          </w:tcPr>
          <w:p w:rsidR="002E6DE4" w:rsidRPr="004F226F" w:rsidRDefault="002E6DE4" w:rsidP="001F522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Детектор</w:t>
            </w:r>
          </w:p>
        </w:tc>
        <w:tc>
          <w:tcPr>
            <w:tcW w:w="6095" w:type="dxa"/>
          </w:tcPr>
          <w:p w:rsidR="002E6DE4" w:rsidRPr="004F226F" w:rsidRDefault="002E6DE4" w:rsidP="001F522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спектрофотометрический, 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8 нм;</w:t>
            </w:r>
          </w:p>
        </w:tc>
      </w:tr>
      <w:tr w:rsidR="002E6DE4" w:rsidRPr="004F226F" w:rsidTr="001F5229">
        <w:trPr>
          <w:cantSplit/>
        </w:trPr>
        <w:tc>
          <w:tcPr>
            <w:tcW w:w="3369" w:type="dxa"/>
          </w:tcPr>
          <w:p w:rsidR="002E6DE4" w:rsidRPr="004F226F" w:rsidRDefault="002E6DE4" w:rsidP="001F522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F2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Объём пробы</w:t>
            </w:r>
          </w:p>
        </w:tc>
        <w:tc>
          <w:tcPr>
            <w:tcW w:w="6095" w:type="dxa"/>
          </w:tcPr>
          <w:p w:rsidR="002E6DE4" w:rsidRPr="004F226F" w:rsidRDefault="002E6DE4" w:rsidP="001F522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20 мкл.</w:t>
            </w:r>
          </w:p>
        </w:tc>
      </w:tr>
    </w:tbl>
    <w:p w:rsidR="002E6DE4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Хроматографируют раствор стандартного образца натрия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лактата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 испытуемый раствор.</w:t>
      </w:r>
    </w:p>
    <w:p w:rsidR="002E6DE4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Пригодность хроматографической системы</w:t>
      </w:r>
    </w:p>
    <w:p w:rsidR="002E6DE4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 хроматограмме раствора стандартного образца натрия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лактата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2E6DE4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фактор асимметрии пика 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bidi="ru-RU"/>
        </w:rPr>
        <w:t>A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bidi="ru-RU"/>
        </w:rPr>
        <w:t>S</w:t>
      </w:r>
      <w:r w:rsidRPr="00A40B6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)</w:t>
      </w:r>
      <w:r w:rsidRPr="00A40B6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молочной кислоты должен быть не более 2,0;</w:t>
      </w:r>
    </w:p>
    <w:p w:rsidR="002E6DE4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относительное стандартное отклонение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площади пика молочной кислоты должно быть не более 2,0 % (6 определений);</w:t>
      </w:r>
    </w:p>
    <w:p w:rsidR="002E6DE4" w:rsidRDefault="002E6DE4" w:rsidP="002E6DE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эффективность хроматографической колонки 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bidi="ru-RU"/>
        </w:rPr>
        <w:t>N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рассчитанная по пику молочной кислоты, должна составлять не менее 3000 теоретических тарелок.</w:t>
      </w:r>
    </w:p>
    <w:p w:rsidR="002E6DE4" w:rsidRPr="003F18E5" w:rsidRDefault="002E6DE4" w:rsidP="002E6DE4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Содержание молочной кислоты C</w:t>
      </w:r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3</w:t>
      </w:r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H</w:t>
      </w:r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6</w:t>
      </w:r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O</w:t>
      </w:r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3</w:t>
      </w:r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препарате </w:t>
      </w:r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процентах от заявленного количества</w:t>
      </w:r>
      <w:proofErr w:type="gramStart"/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Cambria Math" w:cs="Times New Roman"/>
            <w:snapToGrid w:val="0"/>
            <w:sz w:val="28"/>
            <w:szCs w:val="28"/>
            <w:lang w:eastAsia="ru-RU"/>
          </w:rPr>
          <m:t>X</m:t>
        </m:r>
      </m:oMath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proofErr w:type="gramEnd"/>
      <w:r w:rsidRPr="003F1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вычисляют по формуле:</w:t>
      </w:r>
    </w:p>
    <w:p w:rsidR="002E6DE4" w:rsidRPr="003F18E5" w:rsidRDefault="002E6DE4" w:rsidP="002E6DE4">
      <w:pPr>
        <w:keepNext/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eastAsia="ru-RU"/>
            </w:rPr>
            <m:t>X</m:t>
          </m:r>
          <m:r>
            <w:rPr>
              <w:rFonts w:ascii="Cambria Math" w:eastAsia="Calibri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∙P∙F∙90,08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Calibri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L</m:t>
              </m:r>
              <m:r>
                <w:rPr>
                  <w:rFonts w:ascii="Cambria Math" w:eastAsia="Calibri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Calibri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</m:t>
              </m:r>
              <m:r>
                <w:rPr>
                  <w:rFonts w:ascii="Cambria Math" w:eastAsia="Calibri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∙112,07</m:t>
              </m:r>
            </m:den>
          </m:f>
          <m:r>
            <w:rPr>
              <w:rFonts w:ascii="Cambria Math" w:eastAsia="Calibri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∙P∙F∙0,08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Calibri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L</m:t>
              </m:r>
            </m:den>
          </m:f>
          <m:r>
            <w:rPr>
              <w:rFonts w:ascii="Cambria Math" w:eastAsia="Calibri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2E6DE4" w:rsidRPr="003F18E5" w:rsidTr="001F5229">
        <w:trPr>
          <w:cantSplit/>
        </w:trPr>
        <w:tc>
          <w:tcPr>
            <w:tcW w:w="675" w:type="dxa"/>
            <w:shd w:val="clear" w:color="auto" w:fill="auto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  <w:lang w:val="en-US" w:eastAsia="ru-RU"/>
              </w:rPr>
            </w:pPr>
            <w:r w:rsidRPr="003F18E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S</w:t>
            </w: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площадь пика молочной кислоты на хроматограмме испытуемого раствора;</w:t>
            </w:r>
          </w:p>
        </w:tc>
      </w:tr>
      <w:tr w:rsidR="002E6DE4" w:rsidRPr="003F18E5" w:rsidTr="001F5229">
        <w:trPr>
          <w:cantSplit/>
        </w:trPr>
        <w:tc>
          <w:tcPr>
            <w:tcW w:w="675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S</w:t>
            </w: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5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475" w:type="dxa"/>
          </w:tcPr>
          <w:p w:rsidR="002E6DE4" w:rsidRPr="003F18E5" w:rsidRDefault="002E6DE4" w:rsidP="001F5229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молочной кислоты на хроматограмме раствора стандартного образца </w:t>
            </w:r>
            <w:r w:rsidRPr="003F18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натрия </w:t>
            </w:r>
            <w:proofErr w:type="spellStart"/>
            <w:r w:rsidRPr="003F18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лактата</w:t>
            </w:r>
            <w:proofErr w:type="spellEnd"/>
            <w:r w:rsidRPr="003F18E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E6DE4" w:rsidRPr="003F18E5" w:rsidTr="001F5229">
        <w:trPr>
          <w:cantSplit/>
        </w:trPr>
        <w:tc>
          <w:tcPr>
            <w:tcW w:w="675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5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475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position w:val="4"/>
                <w:sz w:val="28"/>
                <w:szCs w:val="28"/>
                <w:lang w:eastAsia="ru-RU"/>
              </w:rPr>
            </w:pPr>
            <w:r w:rsidRPr="003F18E5">
              <w:rPr>
                <w:rFonts w:ascii="Times New Roman" w:eastAsiaTheme="minorEastAsia" w:hAnsi="Times New Roman" w:cs="Times New Roman"/>
                <w:color w:val="000000"/>
                <w:position w:val="4"/>
                <w:sz w:val="28"/>
                <w:szCs w:val="28"/>
                <w:lang w:eastAsia="ru-RU"/>
              </w:rPr>
              <w:t xml:space="preserve">навеска стандартного образца натрия </w:t>
            </w:r>
            <w:proofErr w:type="spellStart"/>
            <w:r w:rsidRPr="003F18E5">
              <w:rPr>
                <w:rFonts w:ascii="Times New Roman" w:eastAsiaTheme="minorEastAsia" w:hAnsi="Times New Roman" w:cs="Times New Roman"/>
                <w:color w:val="000000"/>
                <w:position w:val="4"/>
                <w:sz w:val="28"/>
                <w:szCs w:val="28"/>
                <w:lang w:eastAsia="ru-RU"/>
              </w:rPr>
              <w:t>лактата</w:t>
            </w:r>
            <w:proofErr w:type="spellEnd"/>
            <w:r w:rsidRPr="003F18E5">
              <w:rPr>
                <w:rFonts w:ascii="Times New Roman" w:eastAsiaTheme="minorEastAsia" w:hAnsi="Times New Roman" w:cs="Times New Roman"/>
                <w:color w:val="000000"/>
                <w:position w:val="4"/>
                <w:sz w:val="28"/>
                <w:szCs w:val="28"/>
                <w:lang w:eastAsia="ru-RU"/>
              </w:rPr>
              <w:t>, мг;</w:t>
            </w:r>
          </w:p>
        </w:tc>
      </w:tr>
      <w:tr w:rsidR="002E6DE4" w:rsidRPr="003F18E5" w:rsidTr="001F5229">
        <w:trPr>
          <w:cantSplit/>
        </w:trPr>
        <w:tc>
          <w:tcPr>
            <w:tcW w:w="675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5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475" w:type="dxa"/>
          </w:tcPr>
          <w:p w:rsidR="002E6DE4" w:rsidRPr="003F18E5" w:rsidRDefault="002E6DE4" w:rsidP="001F5229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E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F18E5">
              <w:rPr>
                <w:rFonts w:ascii="Times New Roman" w:eastAsiaTheme="minorEastAsia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3F18E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держание </w:t>
            </w:r>
            <w:r w:rsidRPr="003F18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натрия </w:t>
            </w:r>
            <w:proofErr w:type="spellStart"/>
            <w:r w:rsidRPr="003F18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лактата</w:t>
            </w:r>
            <w:proofErr w:type="spellEnd"/>
            <w:r w:rsidRPr="003F18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F18E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Pr="003F18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натрия </w:t>
            </w:r>
            <w:proofErr w:type="spellStart"/>
            <w:r w:rsidRPr="003F18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лактата</w:t>
            </w:r>
            <w:proofErr w:type="spellEnd"/>
            <w:proofErr w:type="gramStart"/>
            <w:r w:rsidRPr="003F18E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2E6DE4" w:rsidRPr="003F18E5" w:rsidTr="001F5229">
        <w:trPr>
          <w:cantSplit/>
        </w:trPr>
        <w:tc>
          <w:tcPr>
            <w:tcW w:w="675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 w:bidi="ru-RU"/>
              </w:rPr>
            </w:pPr>
            <w:r w:rsidRPr="003F18E5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 w:bidi="ru-RU"/>
              </w:rPr>
              <w:t>F</w:t>
            </w:r>
          </w:p>
        </w:tc>
        <w:tc>
          <w:tcPr>
            <w:tcW w:w="425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–</w:t>
            </w:r>
          </w:p>
        </w:tc>
        <w:tc>
          <w:tcPr>
            <w:tcW w:w="7475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3F18E5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2E6DE4" w:rsidRPr="003F18E5" w:rsidTr="001F5229">
        <w:trPr>
          <w:cantSplit/>
        </w:trPr>
        <w:tc>
          <w:tcPr>
            <w:tcW w:w="675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 w:bidi="ru-RU"/>
              </w:rPr>
            </w:pPr>
            <w:r w:rsidRPr="003F18E5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475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3F18E5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заявленное количество молочной кислоты в препарате, мг/мл;</w:t>
            </w:r>
          </w:p>
        </w:tc>
      </w:tr>
      <w:tr w:rsidR="002E6DE4" w:rsidRPr="003F18E5" w:rsidTr="001F5229">
        <w:trPr>
          <w:cantSplit/>
        </w:trPr>
        <w:tc>
          <w:tcPr>
            <w:tcW w:w="675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bidi="ru-RU"/>
              </w:rPr>
            </w:pPr>
            <w:r w:rsidRPr="003F18E5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bidi="ru-RU"/>
              </w:rPr>
              <w:t>90,08</w:t>
            </w:r>
          </w:p>
        </w:tc>
        <w:tc>
          <w:tcPr>
            <w:tcW w:w="425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475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3F18E5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молекулярная масса молочной кислоты;</w:t>
            </w:r>
          </w:p>
        </w:tc>
      </w:tr>
      <w:tr w:rsidR="002E6DE4" w:rsidRPr="003F18E5" w:rsidTr="001F5229">
        <w:trPr>
          <w:cantSplit/>
        </w:trPr>
        <w:tc>
          <w:tcPr>
            <w:tcW w:w="675" w:type="dxa"/>
          </w:tcPr>
          <w:p w:rsidR="002E6DE4" w:rsidRPr="003F18E5" w:rsidRDefault="002E6DE4" w:rsidP="001F522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bidi="ru-RU"/>
              </w:rPr>
            </w:pPr>
            <w:r w:rsidRPr="003F18E5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bidi="ru-RU"/>
              </w:rPr>
              <w:t>112,07</w:t>
            </w:r>
          </w:p>
        </w:tc>
        <w:tc>
          <w:tcPr>
            <w:tcW w:w="425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475" w:type="dxa"/>
          </w:tcPr>
          <w:p w:rsidR="002E6DE4" w:rsidRPr="003F18E5" w:rsidRDefault="002E6DE4" w:rsidP="001F522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3F18E5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 xml:space="preserve">молекулярная масса </w:t>
            </w:r>
            <w:r w:rsidRPr="003F18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натрия </w:t>
            </w:r>
            <w:proofErr w:type="spellStart"/>
            <w:r w:rsidRPr="003F18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лактата</w:t>
            </w:r>
            <w:proofErr w:type="spellEnd"/>
            <w:r w:rsidRPr="003F18E5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.</w:t>
            </w:r>
          </w:p>
        </w:tc>
      </w:tr>
    </w:tbl>
    <w:p w:rsidR="00D86D00" w:rsidRPr="00E36061" w:rsidRDefault="00FA1E4B" w:rsidP="005E7B8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p w:rsidR="00E90AD9" w:rsidRPr="00E36061" w:rsidRDefault="00E90AD9" w:rsidP="005E7B8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AD9" w:rsidRPr="00E90AD9" w:rsidRDefault="00E90AD9" w:rsidP="005E7B8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D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165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роводят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для</w:t>
      </w:r>
      <w:r w:rsidRPr="003D165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препарат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ов</w:t>
      </w:r>
      <w:r w:rsidRPr="003D165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полимерной упаковке</w:t>
      </w:r>
      <w:r w:rsidR="004F79D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sectPr w:rsidR="00E90AD9" w:rsidRPr="00E90AD9" w:rsidSect="00AD1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72" w:rsidRDefault="005F1F72" w:rsidP="00F378FC">
      <w:pPr>
        <w:spacing w:after="0" w:line="240" w:lineRule="auto"/>
      </w:pPr>
      <w:r>
        <w:separator/>
      </w:r>
    </w:p>
  </w:endnote>
  <w:endnote w:type="continuationSeparator" w:id="0">
    <w:p w:rsidR="005F1F72" w:rsidRDefault="005F1F72" w:rsidP="00F3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5A" w:rsidRDefault="00F544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1715"/>
      <w:docPartObj>
        <w:docPartGallery w:val="Page Numbers (Bottom of Page)"/>
        <w:docPartUnique/>
      </w:docPartObj>
    </w:sdtPr>
    <w:sdtContent>
      <w:p w:rsidR="001F5229" w:rsidRPr="00CD2A3D" w:rsidRDefault="00CF1F4D">
        <w:pPr>
          <w:pStyle w:val="a5"/>
          <w:jc w:val="center"/>
          <w:rPr>
            <w:rFonts w:ascii="Times New Roman" w:hAnsi="Times New Roman" w:cs="Times New Roman"/>
          </w:rPr>
        </w:pPr>
        <w:r w:rsidRPr="00CD2A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5229" w:rsidRPr="00CD2A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2A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445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D2A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5229" w:rsidRDefault="001F52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5A" w:rsidRDefault="00F544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72" w:rsidRDefault="005F1F72" w:rsidP="00F378FC">
      <w:pPr>
        <w:spacing w:after="0" w:line="240" w:lineRule="auto"/>
      </w:pPr>
      <w:r>
        <w:separator/>
      </w:r>
    </w:p>
  </w:footnote>
  <w:footnote w:type="continuationSeparator" w:id="0">
    <w:p w:rsidR="005F1F72" w:rsidRDefault="005F1F72" w:rsidP="00F3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5A" w:rsidRDefault="00F544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5A" w:rsidRDefault="00F544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29" w:rsidRPr="00F5445A" w:rsidRDefault="001F5229" w:rsidP="00F5445A">
    <w:pPr>
      <w:pStyle w:val="a3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78FC"/>
    <w:rsid w:val="000152C6"/>
    <w:rsid w:val="000421FB"/>
    <w:rsid w:val="00090D81"/>
    <w:rsid w:val="00092354"/>
    <w:rsid w:val="000A4DA8"/>
    <w:rsid w:val="000C0FB8"/>
    <w:rsid w:val="000D13F2"/>
    <w:rsid w:val="000D525C"/>
    <w:rsid w:val="00101654"/>
    <w:rsid w:val="001149B3"/>
    <w:rsid w:val="00120393"/>
    <w:rsid w:val="00122CF3"/>
    <w:rsid w:val="00140A88"/>
    <w:rsid w:val="0017632F"/>
    <w:rsid w:val="001F2E1C"/>
    <w:rsid w:val="001F5229"/>
    <w:rsid w:val="00232A75"/>
    <w:rsid w:val="00255019"/>
    <w:rsid w:val="002554B0"/>
    <w:rsid w:val="002956C2"/>
    <w:rsid w:val="002B0FA1"/>
    <w:rsid w:val="002B6533"/>
    <w:rsid w:val="002D2519"/>
    <w:rsid w:val="002E6DE4"/>
    <w:rsid w:val="00346D16"/>
    <w:rsid w:val="00372834"/>
    <w:rsid w:val="00375A20"/>
    <w:rsid w:val="00376F28"/>
    <w:rsid w:val="0037734A"/>
    <w:rsid w:val="00384A9B"/>
    <w:rsid w:val="003B6EEA"/>
    <w:rsid w:val="003F18E5"/>
    <w:rsid w:val="004138E9"/>
    <w:rsid w:val="0049104B"/>
    <w:rsid w:val="0049332B"/>
    <w:rsid w:val="004A54A9"/>
    <w:rsid w:val="004B6FA3"/>
    <w:rsid w:val="004F1AED"/>
    <w:rsid w:val="004F79D9"/>
    <w:rsid w:val="005324AA"/>
    <w:rsid w:val="00544009"/>
    <w:rsid w:val="005519B4"/>
    <w:rsid w:val="00572FCE"/>
    <w:rsid w:val="005B63F2"/>
    <w:rsid w:val="005C1692"/>
    <w:rsid w:val="005D6E1E"/>
    <w:rsid w:val="005E7B81"/>
    <w:rsid w:val="005F13FA"/>
    <w:rsid w:val="005F1F72"/>
    <w:rsid w:val="00612941"/>
    <w:rsid w:val="00634785"/>
    <w:rsid w:val="00635A30"/>
    <w:rsid w:val="006526C4"/>
    <w:rsid w:val="006A454B"/>
    <w:rsid w:val="006C4DC7"/>
    <w:rsid w:val="006D3638"/>
    <w:rsid w:val="006E6B6C"/>
    <w:rsid w:val="006E70AD"/>
    <w:rsid w:val="006F5BD7"/>
    <w:rsid w:val="007254DA"/>
    <w:rsid w:val="0074418A"/>
    <w:rsid w:val="0076646B"/>
    <w:rsid w:val="007673C1"/>
    <w:rsid w:val="007A793E"/>
    <w:rsid w:val="007C2570"/>
    <w:rsid w:val="007C7BF8"/>
    <w:rsid w:val="0081405B"/>
    <w:rsid w:val="0083701E"/>
    <w:rsid w:val="00855A1C"/>
    <w:rsid w:val="00863F41"/>
    <w:rsid w:val="00887C3D"/>
    <w:rsid w:val="0089113B"/>
    <w:rsid w:val="00896219"/>
    <w:rsid w:val="008F6329"/>
    <w:rsid w:val="008F71A3"/>
    <w:rsid w:val="00925291"/>
    <w:rsid w:val="00934A32"/>
    <w:rsid w:val="009509CC"/>
    <w:rsid w:val="00960F65"/>
    <w:rsid w:val="00961C6D"/>
    <w:rsid w:val="00966457"/>
    <w:rsid w:val="00974C59"/>
    <w:rsid w:val="00986E51"/>
    <w:rsid w:val="009B2F5D"/>
    <w:rsid w:val="009C2F28"/>
    <w:rsid w:val="009C7D87"/>
    <w:rsid w:val="00A00AAD"/>
    <w:rsid w:val="00A027ED"/>
    <w:rsid w:val="00A1303A"/>
    <w:rsid w:val="00A22A76"/>
    <w:rsid w:val="00A32BFD"/>
    <w:rsid w:val="00A40B68"/>
    <w:rsid w:val="00A52F37"/>
    <w:rsid w:val="00A91717"/>
    <w:rsid w:val="00AD188F"/>
    <w:rsid w:val="00AE2207"/>
    <w:rsid w:val="00B22A2B"/>
    <w:rsid w:val="00B231B7"/>
    <w:rsid w:val="00B7442A"/>
    <w:rsid w:val="00BF5554"/>
    <w:rsid w:val="00C170A2"/>
    <w:rsid w:val="00C83E82"/>
    <w:rsid w:val="00C94A48"/>
    <w:rsid w:val="00CB775A"/>
    <w:rsid w:val="00CD2A3D"/>
    <w:rsid w:val="00CE0CFC"/>
    <w:rsid w:val="00CF1F4D"/>
    <w:rsid w:val="00D312EF"/>
    <w:rsid w:val="00D35A60"/>
    <w:rsid w:val="00D51F68"/>
    <w:rsid w:val="00D54BA0"/>
    <w:rsid w:val="00D81321"/>
    <w:rsid w:val="00D86D00"/>
    <w:rsid w:val="00D921D8"/>
    <w:rsid w:val="00DA7149"/>
    <w:rsid w:val="00E32BD3"/>
    <w:rsid w:val="00E36061"/>
    <w:rsid w:val="00E57CB5"/>
    <w:rsid w:val="00E90AD9"/>
    <w:rsid w:val="00EE1D06"/>
    <w:rsid w:val="00EE6DF4"/>
    <w:rsid w:val="00F1771D"/>
    <w:rsid w:val="00F22F12"/>
    <w:rsid w:val="00F378FC"/>
    <w:rsid w:val="00F5445A"/>
    <w:rsid w:val="00F6174F"/>
    <w:rsid w:val="00F84DC2"/>
    <w:rsid w:val="00FA1E4B"/>
    <w:rsid w:val="00FA5EF3"/>
    <w:rsid w:val="00FB0726"/>
    <w:rsid w:val="00FD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8FC"/>
  </w:style>
  <w:style w:type="paragraph" w:styleId="a5">
    <w:name w:val="footer"/>
    <w:basedOn w:val="a"/>
    <w:link w:val="a6"/>
    <w:uiPriority w:val="99"/>
    <w:unhideWhenUsed/>
    <w:rsid w:val="00F3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8FC"/>
  </w:style>
  <w:style w:type="paragraph" w:styleId="a7">
    <w:name w:val="Body Text"/>
    <w:basedOn w:val="a"/>
    <w:link w:val="a8"/>
    <w:rsid w:val="00F378F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78F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F378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F378F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3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6C4DC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6C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DC7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A54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54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54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54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54A9"/>
    <w:rPr>
      <w:b/>
      <w:bCs/>
    </w:rPr>
  </w:style>
  <w:style w:type="paragraph" w:styleId="af3">
    <w:name w:val="List Paragraph"/>
    <w:basedOn w:val="a"/>
    <w:uiPriority w:val="34"/>
    <w:qFormat/>
    <w:rsid w:val="00101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Sokil</cp:lastModifiedBy>
  <cp:revision>5</cp:revision>
  <cp:lastPrinted>2019-08-07T06:49:00Z</cp:lastPrinted>
  <dcterms:created xsi:type="dcterms:W3CDTF">2020-07-09T08:18:00Z</dcterms:created>
  <dcterms:modified xsi:type="dcterms:W3CDTF">2020-07-29T05:12:00Z</dcterms:modified>
</cp:coreProperties>
</file>