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center"/>
        <w:rPr>
          <w:rFonts w:ascii="Times New Roman" w:hAnsi="Times New Roman" w:cs="Times New Roman"/>
          <w:b/>
          <w:sz w:val="32"/>
          <w:szCs w:val="28"/>
        </w:rPr>
      </w:pPr>
      <w:r w:rsidRPr="005E58C6">
        <w:rPr>
          <w:rFonts w:ascii="Times New Roman" w:hAnsi="Times New Roman" w:cs="Times New Roman"/>
          <w:b/>
          <w:sz w:val="32"/>
          <w:szCs w:val="28"/>
        </w:rPr>
        <w:t>ГОСУДАРСТВЕННЫЙ ДОКЛАД</w:t>
      </w:r>
    </w:p>
    <w:p w:rsidR="005E58C6" w:rsidRPr="005E58C6" w:rsidRDefault="005E58C6" w:rsidP="005E58C6">
      <w:pPr>
        <w:widowControl w:val="0"/>
        <w:spacing w:after="0" w:line="312" w:lineRule="auto"/>
        <w:ind w:firstLine="709"/>
        <w:jc w:val="center"/>
        <w:rPr>
          <w:rFonts w:ascii="Times New Roman" w:hAnsi="Times New Roman" w:cs="Times New Roman"/>
          <w:b/>
          <w:sz w:val="32"/>
          <w:szCs w:val="28"/>
        </w:rPr>
      </w:pPr>
      <w:r w:rsidRPr="005E58C6">
        <w:rPr>
          <w:rFonts w:ascii="Times New Roman" w:hAnsi="Times New Roman" w:cs="Times New Roman"/>
          <w:b/>
          <w:sz w:val="32"/>
          <w:szCs w:val="28"/>
        </w:rPr>
        <w:t>О РЕАЛИЗАЦИИ ГОСУДАРСТВЕННОЙ ПОЛИТИКИ</w:t>
      </w:r>
    </w:p>
    <w:p w:rsidR="005E58C6" w:rsidRPr="005E58C6" w:rsidRDefault="005E58C6" w:rsidP="005E58C6">
      <w:pPr>
        <w:widowControl w:val="0"/>
        <w:spacing w:after="0" w:line="312" w:lineRule="auto"/>
        <w:ind w:firstLine="709"/>
        <w:jc w:val="center"/>
        <w:rPr>
          <w:rFonts w:ascii="Times New Roman" w:hAnsi="Times New Roman" w:cs="Times New Roman"/>
          <w:b/>
          <w:sz w:val="32"/>
          <w:szCs w:val="28"/>
        </w:rPr>
      </w:pPr>
      <w:r w:rsidRPr="005E58C6">
        <w:rPr>
          <w:rFonts w:ascii="Times New Roman" w:hAnsi="Times New Roman" w:cs="Times New Roman"/>
          <w:b/>
          <w:sz w:val="32"/>
          <w:szCs w:val="28"/>
        </w:rPr>
        <w:t>В СФЕРЕ ОХРАНЫ ЗДОРОВЬЯ ЗА 2018 ГОД</w:t>
      </w:r>
    </w:p>
    <w:p w:rsidR="005E58C6" w:rsidRPr="005E58C6" w:rsidRDefault="005E58C6" w:rsidP="005E58C6">
      <w:pPr>
        <w:widowControl w:val="0"/>
        <w:spacing w:after="0" w:line="312" w:lineRule="auto"/>
        <w:ind w:firstLine="709"/>
        <w:jc w:val="center"/>
        <w:rPr>
          <w:rFonts w:ascii="Times New Roman" w:hAnsi="Times New Roman" w:cs="Times New Roman"/>
          <w:b/>
          <w:sz w:val="32"/>
          <w:szCs w:val="28"/>
        </w:rPr>
      </w:pPr>
    </w:p>
    <w:p w:rsidR="005E58C6" w:rsidRPr="005E58C6" w:rsidRDefault="005E58C6" w:rsidP="005E58C6">
      <w:pPr>
        <w:widowControl w:val="0"/>
        <w:spacing w:after="0" w:line="312" w:lineRule="auto"/>
        <w:ind w:firstLine="709"/>
        <w:jc w:val="center"/>
        <w:rPr>
          <w:rFonts w:ascii="Times New Roman" w:hAnsi="Times New Roman" w:cs="Times New Roman"/>
          <w:b/>
          <w:sz w:val="32"/>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ab/>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tabs>
          <w:tab w:val="left" w:pos="708"/>
          <w:tab w:val="left" w:pos="1416"/>
          <w:tab w:val="left" w:pos="2218"/>
        </w:tabs>
        <w:spacing w:after="0" w:line="312" w:lineRule="auto"/>
        <w:ind w:firstLine="709"/>
        <w:jc w:val="center"/>
        <w:rPr>
          <w:rFonts w:ascii="Times New Roman" w:hAnsi="Times New Roman" w:cs="Times New Roman"/>
          <w:b/>
          <w:sz w:val="28"/>
          <w:szCs w:val="28"/>
        </w:rPr>
      </w:pPr>
      <w:r w:rsidRPr="005E58C6">
        <w:rPr>
          <w:rFonts w:ascii="Times New Roman" w:hAnsi="Times New Roman" w:cs="Times New Roman"/>
          <w:b/>
          <w:sz w:val="28"/>
          <w:szCs w:val="28"/>
        </w:rPr>
        <w:t xml:space="preserve">2019 </w:t>
      </w:r>
      <w:r w:rsidRPr="005E58C6">
        <w:rPr>
          <w:rFonts w:ascii="Times New Roman" w:hAnsi="Times New Roman" w:cs="Times New Roman"/>
          <w:b/>
          <w:sz w:val="28"/>
          <w:szCs w:val="28"/>
        </w:rPr>
        <w:tab/>
        <w:t>год</w:t>
      </w:r>
    </w:p>
    <w:p w:rsidR="005E58C6" w:rsidRPr="005E58C6" w:rsidRDefault="005E58C6" w:rsidP="005E58C6">
      <w:pPr>
        <w:widowControl w:val="0"/>
        <w:spacing w:after="0" w:line="312" w:lineRule="auto"/>
        <w:ind w:firstLine="709"/>
        <w:jc w:val="both"/>
        <w:rPr>
          <w:rFonts w:ascii="Times New Roman" w:hAnsi="Times New Roman" w:cs="Times New Roman"/>
          <w:b/>
          <w:sz w:val="28"/>
          <w:szCs w:val="28"/>
        </w:rPr>
      </w:pPr>
      <w:r w:rsidRPr="005E58C6">
        <w:rPr>
          <w:rFonts w:ascii="Times New Roman" w:hAnsi="Times New Roman" w:cs="Times New Roman"/>
          <w:b/>
          <w:sz w:val="28"/>
          <w:szCs w:val="28"/>
        </w:rPr>
        <w:lastRenderedPageBreak/>
        <w:t>СОДЕРЖАНИЕ</w:t>
      </w:r>
    </w:p>
    <w:tbl>
      <w:tblPr>
        <w:tblW w:w="9961" w:type="dxa"/>
        <w:tblInd w:w="-180" w:type="dxa"/>
        <w:tblLook w:val="01E0"/>
      </w:tblPr>
      <w:tblGrid>
        <w:gridCol w:w="9180"/>
        <w:gridCol w:w="781"/>
      </w:tblGrid>
      <w:tr w:rsidR="005E58C6" w:rsidRPr="005E58C6" w:rsidTr="005E58C6">
        <w:tc>
          <w:tcPr>
            <w:tcW w:w="9180" w:type="dxa"/>
            <w:tcMar>
              <w:top w:w="57" w:type="dxa"/>
              <w:left w:w="0" w:type="dxa"/>
              <w:bottom w:w="57" w:type="dxa"/>
              <w:right w:w="0" w:type="dxa"/>
            </w:tcMar>
            <w:vAlign w:val="center"/>
          </w:tcPr>
          <w:p w:rsidR="009E1FD8" w:rsidRDefault="009E1FD8" w:rsidP="005E58C6">
            <w:pPr>
              <w:spacing w:after="0" w:line="240" w:lineRule="auto"/>
              <w:outlineLvl w:val="0"/>
              <w:rPr>
                <w:rFonts w:ascii="Times New Roman" w:eastAsia="Times New Roman" w:hAnsi="Times New Roman" w:cs="Times New Roman"/>
                <w:sz w:val="28"/>
                <w:szCs w:val="28"/>
                <w:lang w:val="en-US" w:eastAsia="ru-RU"/>
              </w:rPr>
            </w:pPr>
          </w:p>
          <w:p w:rsidR="005E58C6" w:rsidRPr="005E58C6" w:rsidRDefault="005E58C6" w:rsidP="005E58C6">
            <w:pPr>
              <w:spacing w:after="0" w:line="240" w:lineRule="auto"/>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 xml:space="preserve">Введение                                                                                                                      </w:t>
            </w:r>
          </w:p>
        </w:tc>
        <w:tc>
          <w:tcPr>
            <w:tcW w:w="781" w:type="dxa"/>
            <w:tcMar>
              <w:top w:w="57" w:type="dxa"/>
              <w:bottom w:w="57" w:type="dxa"/>
            </w:tcMar>
            <w:vAlign w:val="center"/>
          </w:tcPr>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4</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lang w:eastAsia="ru-RU"/>
              </w:rPr>
              <w:t xml:space="preserve">Раздел 1. </w:t>
            </w:r>
            <w:r w:rsidRPr="005E58C6">
              <w:rPr>
                <w:rFonts w:ascii="Times New Roman" w:eastAsia="Times New Roman" w:hAnsi="Times New Roman" w:cs="Times New Roman"/>
                <w:sz w:val="28"/>
                <w:szCs w:val="28"/>
              </w:rPr>
              <w:t>Основные направления реализации государственной политики в сфере охраны здоровья</w:t>
            </w:r>
          </w:p>
        </w:tc>
        <w:tc>
          <w:tcPr>
            <w:tcW w:w="781" w:type="dxa"/>
            <w:tcMar>
              <w:top w:w="57" w:type="dxa"/>
              <w:bottom w:w="57" w:type="dxa"/>
            </w:tcMar>
            <w:vAlign w:val="center"/>
          </w:tcPr>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F65174" w:rsidP="005E58C6">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spacing w:after="0" w:line="240" w:lineRule="auto"/>
              <w:jc w:val="both"/>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Раздел 2. Основные принятые (разработанные) нормативные правовые акты в сфере охраны здоровья граждан</w:t>
            </w:r>
          </w:p>
        </w:tc>
        <w:tc>
          <w:tcPr>
            <w:tcW w:w="781" w:type="dxa"/>
            <w:tcMar>
              <w:top w:w="57" w:type="dxa"/>
              <w:bottom w:w="57" w:type="dxa"/>
            </w:tcMar>
            <w:vAlign w:val="center"/>
          </w:tcPr>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F65174" w:rsidP="005E58C6">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E58C6" w:rsidRPr="005E58C6" w:rsidTr="005E58C6">
        <w:trPr>
          <w:trHeight w:val="701"/>
        </w:trPr>
        <w:tc>
          <w:tcPr>
            <w:tcW w:w="9180" w:type="dxa"/>
            <w:tcMar>
              <w:top w:w="57" w:type="dxa"/>
              <w:left w:w="0" w:type="dxa"/>
              <w:bottom w:w="57" w:type="dxa"/>
              <w:right w:w="0" w:type="dxa"/>
            </w:tcMar>
            <w:vAlign w:val="center"/>
          </w:tcPr>
          <w:p w:rsidR="005E58C6" w:rsidRPr="005E58C6" w:rsidRDefault="005E58C6" w:rsidP="005E58C6">
            <w:pPr>
              <w:spacing w:after="0" w:line="240" w:lineRule="auto"/>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Раздел 3. Медико-демографические показатели здоровья населения</w:t>
            </w:r>
          </w:p>
        </w:tc>
        <w:tc>
          <w:tcPr>
            <w:tcW w:w="781" w:type="dxa"/>
            <w:tcMar>
              <w:top w:w="57" w:type="dxa"/>
              <w:bottom w:w="57" w:type="dxa"/>
            </w:tcMar>
            <w:vAlign w:val="center"/>
          </w:tcPr>
          <w:p w:rsidR="005E58C6" w:rsidRPr="005E58C6" w:rsidRDefault="005E58C6" w:rsidP="00F65174">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w:t>
            </w:r>
            <w:r w:rsidR="00F65174">
              <w:rPr>
                <w:rFonts w:ascii="Times New Roman" w:eastAsia="Times New Roman" w:hAnsi="Times New Roman" w:cs="Times New Roman"/>
                <w:sz w:val="28"/>
                <w:szCs w:val="28"/>
                <w:lang w:eastAsia="ru-RU"/>
              </w:rPr>
              <w:t>3</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spacing w:after="0" w:line="240" w:lineRule="auto"/>
              <w:jc w:val="both"/>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Раздел 4. Реализация программы государственных гарантий бесплатного оказания гражданам медицинской помощи</w:t>
            </w:r>
          </w:p>
        </w:tc>
        <w:tc>
          <w:tcPr>
            <w:tcW w:w="781" w:type="dxa"/>
            <w:tcMar>
              <w:top w:w="57" w:type="dxa"/>
              <w:bottom w:w="57" w:type="dxa"/>
            </w:tcMar>
            <w:vAlign w:val="center"/>
          </w:tcPr>
          <w:p w:rsidR="005E58C6" w:rsidRPr="005E58C6" w:rsidRDefault="005E58C6" w:rsidP="00F65174">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val="en-US" w:eastAsia="ru-RU"/>
              </w:rPr>
              <w:t>5</w:t>
            </w:r>
            <w:r w:rsidR="00F65174">
              <w:rPr>
                <w:rFonts w:ascii="Times New Roman" w:eastAsia="Times New Roman" w:hAnsi="Times New Roman" w:cs="Times New Roman"/>
                <w:sz w:val="28"/>
                <w:szCs w:val="28"/>
                <w:lang w:eastAsia="ru-RU"/>
              </w:rPr>
              <w:t>2</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spacing w:after="0" w:line="240" w:lineRule="auto"/>
              <w:jc w:val="both"/>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Раздел 5. Модернизация систем здравоохранения и обязательного медицинского страхования</w:t>
            </w:r>
          </w:p>
        </w:tc>
        <w:tc>
          <w:tcPr>
            <w:tcW w:w="781" w:type="dxa"/>
            <w:tcMar>
              <w:top w:w="57" w:type="dxa"/>
              <w:bottom w:w="57" w:type="dxa"/>
            </w:tcMar>
            <w:vAlign w:val="center"/>
          </w:tcPr>
          <w:p w:rsidR="005E58C6" w:rsidRPr="005E58C6" w:rsidRDefault="005E58C6" w:rsidP="00CB4BC3">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6</w:t>
            </w:r>
            <w:r w:rsidR="00CB4BC3">
              <w:rPr>
                <w:rFonts w:ascii="Times New Roman" w:eastAsia="Times New Roman" w:hAnsi="Times New Roman" w:cs="Times New Roman"/>
                <w:sz w:val="28"/>
                <w:szCs w:val="28"/>
                <w:lang w:eastAsia="ru-RU"/>
              </w:rPr>
              <w:t>7</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Раздел 6.</w:t>
            </w:r>
            <w:r w:rsidRPr="005E58C6">
              <w:rPr>
                <w:rFonts w:ascii="Times New Roman" w:eastAsia="Times New Roman" w:hAnsi="Times New Roman" w:cs="Times New Roman"/>
                <w:sz w:val="28"/>
                <w:szCs w:val="28"/>
              </w:rPr>
              <w:t xml:space="preserve"> Реализация государственной программы Российской Федерации «Развитие здравоохранения», в том числе по видам медицинской помощи</w:t>
            </w:r>
          </w:p>
        </w:tc>
        <w:tc>
          <w:tcPr>
            <w:tcW w:w="781" w:type="dxa"/>
            <w:tcMar>
              <w:top w:w="57" w:type="dxa"/>
              <w:bottom w:w="57" w:type="dxa"/>
            </w:tcMar>
            <w:vAlign w:val="center"/>
          </w:tcPr>
          <w:p w:rsidR="005E58C6" w:rsidRPr="005E58C6" w:rsidRDefault="005E58C6" w:rsidP="00AF0C02">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7</w:t>
            </w:r>
            <w:r w:rsidR="00AF0C02">
              <w:rPr>
                <w:rFonts w:ascii="Times New Roman" w:eastAsia="Times New Roman" w:hAnsi="Times New Roman" w:cs="Times New Roman"/>
                <w:sz w:val="28"/>
                <w:szCs w:val="28"/>
                <w:lang w:eastAsia="ru-RU"/>
              </w:rPr>
              <w:t>8</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rPr>
              <w:t>подраздел 6.1 Первичная медико-санитарная помощь. Профилактика заболеваний и формирование здорового образа жизни</w:t>
            </w:r>
          </w:p>
        </w:tc>
        <w:tc>
          <w:tcPr>
            <w:tcW w:w="781" w:type="dxa"/>
            <w:tcMar>
              <w:top w:w="57" w:type="dxa"/>
              <w:bottom w:w="57" w:type="dxa"/>
            </w:tcMar>
            <w:vAlign w:val="center"/>
          </w:tcPr>
          <w:p w:rsidR="005E58C6" w:rsidRPr="005E58C6" w:rsidRDefault="005E58C6" w:rsidP="00AF0C02">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7</w:t>
            </w:r>
            <w:r w:rsidR="00AF0C02">
              <w:rPr>
                <w:rFonts w:ascii="Times New Roman" w:eastAsia="Times New Roman" w:hAnsi="Times New Roman" w:cs="Times New Roman"/>
                <w:sz w:val="28"/>
                <w:szCs w:val="28"/>
                <w:lang w:eastAsia="ru-RU"/>
              </w:rPr>
              <w:t>8</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6.2  Специализированная, в том числе высокотехнологичная, медицинская помощь</w:t>
            </w:r>
          </w:p>
        </w:tc>
        <w:tc>
          <w:tcPr>
            <w:tcW w:w="781" w:type="dxa"/>
            <w:tcMar>
              <w:top w:w="57" w:type="dxa"/>
              <w:bottom w:w="57" w:type="dxa"/>
            </w:tcMar>
            <w:vAlign w:val="center"/>
          </w:tcPr>
          <w:p w:rsidR="005E58C6" w:rsidRPr="005E58C6" w:rsidRDefault="005E58C6" w:rsidP="00AF0C02">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9</w:t>
            </w:r>
            <w:r w:rsidR="00AF0C02">
              <w:rPr>
                <w:rFonts w:ascii="Times New Roman" w:eastAsia="Times New Roman" w:hAnsi="Times New Roman" w:cs="Times New Roman"/>
                <w:sz w:val="28"/>
                <w:szCs w:val="28"/>
                <w:lang w:eastAsia="ru-RU"/>
              </w:rPr>
              <w:t>3</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6.3 Скорая, в том числе скорая специализированная, медицинская помощь</w:t>
            </w:r>
          </w:p>
        </w:tc>
        <w:tc>
          <w:tcPr>
            <w:tcW w:w="781" w:type="dxa"/>
            <w:tcMar>
              <w:top w:w="57" w:type="dxa"/>
              <w:bottom w:w="57" w:type="dxa"/>
            </w:tcMar>
            <w:vAlign w:val="center"/>
          </w:tcPr>
          <w:p w:rsidR="005E58C6" w:rsidRPr="005E58C6" w:rsidRDefault="005E58C6" w:rsidP="00E84091">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w:t>
            </w:r>
            <w:r w:rsidR="00E84091">
              <w:rPr>
                <w:rFonts w:ascii="Times New Roman" w:eastAsia="Times New Roman" w:hAnsi="Times New Roman" w:cs="Times New Roman"/>
                <w:sz w:val="28"/>
                <w:szCs w:val="28"/>
                <w:lang w:eastAsia="ru-RU"/>
              </w:rPr>
              <w:t>11</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6.4 Паллиативная</w:t>
            </w:r>
            <w:r w:rsidRPr="005E58C6">
              <w:rPr>
                <w:rFonts w:ascii="Times New Roman" w:eastAsia="Times New Roman" w:hAnsi="Times New Roman" w:cs="Times New Roman"/>
                <w:sz w:val="28"/>
                <w:szCs w:val="28"/>
                <w:lang w:val="en-US"/>
              </w:rPr>
              <w:t xml:space="preserve"> </w:t>
            </w:r>
            <w:r w:rsidRPr="005E58C6">
              <w:rPr>
                <w:rFonts w:ascii="Times New Roman" w:eastAsia="Times New Roman" w:hAnsi="Times New Roman" w:cs="Times New Roman"/>
                <w:sz w:val="28"/>
                <w:szCs w:val="28"/>
              </w:rPr>
              <w:t>медицинская помощь</w:t>
            </w:r>
          </w:p>
        </w:tc>
        <w:tc>
          <w:tcPr>
            <w:tcW w:w="781" w:type="dxa"/>
            <w:tcMar>
              <w:top w:w="57" w:type="dxa"/>
              <w:bottom w:w="57" w:type="dxa"/>
            </w:tcMar>
            <w:vAlign w:val="center"/>
          </w:tcPr>
          <w:p w:rsidR="005E58C6" w:rsidRPr="005E58C6" w:rsidRDefault="005E58C6" w:rsidP="008E104E">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11</w:t>
            </w:r>
            <w:r w:rsidR="008E104E">
              <w:rPr>
                <w:rFonts w:ascii="Times New Roman" w:eastAsia="Times New Roman" w:hAnsi="Times New Roman" w:cs="Times New Roman"/>
                <w:sz w:val="28"/>
                <w:szCs w:val="28"/>
                <w:lang w:eastAsia="ru-RU"/>
              </w:rPr>
              <w:t>4</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6.5 Медицинская реабилитация и санаторно-курортное лечение</w:t>
            </w:r>
          </w:p>
        </w:tc>
        <w:tc>
          <w:tcPr>
            <w:tcW w:w="781" w:type="dxa"/>
            <w:tcMar>
              <w:top w:w="57" w:type="dxa"/>
              <w:bottom w:w="57" w:type="dxa"/>
            </w:tcMar>
            <w:vAlign w:val="center"/>
          </w:tcPr>
          <w:p w:rsidR="005E58C6" w:rsidRPr="005E58C6" w:rsidRDefault="005E58C6" w:rsidP="00CA3BE5">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w:t>
            </w:r>
            <w:r w:rsidRPr="005E58C6">
              <w:rPr>
                <w:rFonts w:ascii="Times New Roman" w:eastAsia="Times New Roman" w:hAnsi="Times New Roman" w:cs="Times New Roman"/>
                <w:sz w:val="28"/>
                <w:szCs w:val="28"/>
                <w:lang w:val="en-US" w:eastAsia="ru-RU"/>
              </w:rPr>
              <w:t>1</w:t>
            </w:r>
            <w:r w:rsidR="00CA3BE5">
              <w:rPr>
                <w:rFonts w:ascii="Times New Roman" w:eastAsia="Times New Roman" w:hAnsi="Times New Roman" w:cs="Times New Roman"/>
                <w:sz w:val="28"/>
                <w:szCs w:val="28"/>
                <w:lang w:eastAsia="ru-RU"/>
              </w:rPr>
              <w:t>9</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6.6 Инновационные методы диагностики, профилактики и лечения</w:t>
            </w:r>
          </w:p>
        </w:tc>
        <w:tc>
          <w:tcPr>
            <w:tcW w:w="781" w:type="dxa"/>
            <w:tcMar>
              <w:top w:w="57" w:type="dxa"/>
              <w:bottom w:w="57" w:type="dxa"/>
            </w:tcMar>
            <w:vAlign w:val="center"/>
          </w:tcPr>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121</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6.7 Охрана здоровья матери и ребенка</w:t>
            </w:r>
          </w:p>
        </w:tc>
        <w:tc>
          <w:tcPr>
            <w:tcW w:w="781" w:type="dxa"/>
            <w:tcMar>
              <w:top w:w="57" w:type="dxa"/>
              <w:bottom w:w="57" w:type="dxa"/>
            </w:tcMar>
            <w:vAlign w:val="center"/>
          </w:tcPr>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126</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6.8 Кадровое обеспечение системы здравоохранения</w:t>
            </w:r>
          </w:p>
        </w:tc>
        <w:tc>
          <w:tcPr>
            <w:tcW w:w="781" w:type="dxa"/>
            <w:tcMar>
              <w:top w:w="57" w:type="dxa"/>
              <w:bottom w:w="57" w:type="dxa"/>
            </w:tcMar>
            <w:vAlign w:val="center"/>
          </w:tcPr>
          <w:p w:rsidR="005E58C6" w:rsidRPr="005E58C6" w:rsidRDefault="005E58C6" w:rsidP="00CA3BE5">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13</w:t>
            </w:r>
            <w:r w:rsidR="00CA3BE5">
              <w:rPr>
                <w:rFonts w:ascii="Times New Roman" w:eastAsia="Times New Roman" w:hAnsi="Times New Roman" w:cs="Times New Roman"/>
                <w:sz w:val="28"/>
                <w:szCs w:val="28"/>
                <w:lang w:eastAsia="ru-RU"/>
              </w:rPr>
              <w:t>6</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6.9 Развитие международных отношений в сфере охраны здоровья</w:t>
            </w:r>
          </w:p>
        </w:tc>
        <w:tc>
          <w:tcPr>
            <w:tcW w:w="781" w:type="dxa"/>
            <w:tcMar>
              <w:top w:w="57" w:type="dxa"/>
              <w:bottom w:w="57" w:type="dxa"/>
            </w:tcMar>
            <w:vAlign w:val="center"/>
          </w:tcPr>
          <w:p w:rsidR="005E58C6" w:rsidRPr="005E58C6" w:rsidRDefault="005E58C6" w:rsidP="00C25BE5">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14</w:t>
            </w:r>
            <w:r w:rsidR="00C25BE5">
              <w:rPr>
                <w:rFonts w:ascii="Times New Roman" w:eastAsia="Times New Roman" w:hAnsi="Times New Roman" w:cs="Times New Roman"/>
                <w:sz w:val="28"/>
                <w:szCs w:val="28"/>
                <w:lang w:eastAsia="ru-RU"/>
              </w:rPr>
              <w:t>3</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подраздел 6.10 Экспертиза и контрольно-надзорные функции в сфере охраны здоровья</w:t>
            </w:r>
          </w:p>
        </w:tc>
        <w:tc>
          <w:tcPr>
            <w:tcW w:w="781" w:type="dxa"/>
            <w:tcMar>
              <w:top w:w="57" w:type="dxa"/>
              <w:bottom w:w="57" w:type="dxa"/>
            </w:tcMar>
            <w:vAlign w:val="center"/>
          </w:tcPr>
          <w:p w:rsidR="005E58C6" w:rsidRPr="005E58C6" w:rsidRDefault="005E58C6" w:rsidP="00C929AC">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15</w:t>
            </w:r>
            <w:r w:rsidR="00C929AC">
              <w:rPr>
                <w:rFonts w:ascii="Times New Roman" w:eastAsia="Times New Roman" w:hAnsi="Times New Roman" w:cs="Times New Roman"/>
                <w:sz w:val="28"/>
                <w:szCs w:val="28"/>
                <w:lang w:eastAsia="ru-RU"/>
              </w:rPr>
              <w:t>3</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lastRenderedPageBreak/>
              <w:t>подраздел 6.11 Медико-санитарное обеспечение отдельных категорий граждан</w:t>
            </w:r>
          </w:p>
        </w:tc>
        <w:tc>
          <w:tcPr>
            <w:tcW w:w="781" w:type="dxa"/>
            <w:tcMar>
              <w:top w:w="57" w:type="dxa"/>
              <w:bottom w:w="57" w:type="dxa"/>
            </w:tcMar>
            <w:vAlign w:val="center"/>
          </w:tcPr>
          <w:p w:rsidR="005E58C6" w:rsidRPr="005E58C6" w:rsidRDefault="005E58C6" w:rsidP="00EA519B">
            <w:pPr>
              <w:spacing w:after="0" w:line="240" w:lineRule="auto"/>
              <w:jc w:val="center"/>
              <w:outlineLvl w:val="0"/>
              <w:rPr>
                <w:rFonts w:ascii="Times New Roman" w:eastAsia="Times New Roman" w:hAnsi="Times New Roman" w:cs="Times New Roman"/>
                <w:sz w:val="28"/>
                <w:szCs w:val="28"/>
                <w:lang w:eastAsia="ru-RU"/>
              </w:rPr>
            </w:pPr>
            <w:r w:rsidRPr="005E58C6">
              <w:rPr>
                <w:rFonts w:ascii="Times New Roman" w:eastAsia="Times New Roman" w:hAnsi="Times New Roman" w:cs="Times New Roman"/>
                <w:sz w:val="28"/>
                <w:szCs w:val="28"/>
                <w:lang w:eastAsia="ru-RU"/>
              </w:rPr>
              <w:t>1</w:t>
            </w:r>
            <w:r w:rsidR="00EA519B">
              <w:rPr>
                <w:rFonts w:ascii="Times New Roman" w:eastAsia="Times New Roman" w:hAnsi="Times New Roman" w:cs="Times New Roman"/>
                <w:sz w:val="28"/>
                <w:szCs w:val="28"/>
                <w:lang w:eastAsia="ru-RU"/>
              </w:rPr>
              <w:t>58</w:t>
            </w:r>
          </w:p>
        </w:tc>
      </w:tr>
      <w:tr w:rsidR="005E58C6" w:rsidRPr="005E58C6" w:rsidTr="005E58C6">
        <w:trPr>
          <w:trHeight w:val="454"/>
        </w:trPr>
        <w:tc>
          <w:tcPr>
            <w:tcW w:w="9180" w:type="dxa"/>
            <w:tcMar>
              <w:top w:w="57" w:type="dxa"/>
              <w:left w:w="0" w:type="dxa"/>
              <w:bottom w:w="57" w:type="dxa"/>
              <w:right w:w="0" w:type="dxa"/>
            </w:tcMar>
            <w:vAlign w:val="center"/>
          </w:tcPr>
          <w:p w:rsidR="005E58C6" w:rsidRPr="00FD5DE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lang w:eastAsia="ru-RU"/>
              </w:rPr>
              <w:t>Раздел 7.  Санитарно-эпидемиологическое благополучие населения</w:t>
            </w:r>
            <w:r w:rsidR="009E1FD8" w:rsidRPr="00FD5DE6">
              <w:rPr>
                <w:rFonts w:ascii="Times New Roman" w:eastAsia="Times New Roman" w:hAnsi="Times New Roman" w:cs="Times New Roman"/>
                <w:sz w:val="28"/>
                <w:szCs w:val="28"/>
                <w:lang w:eastAsia="ru-RU"/>
              </w:rPr>
              <w:t xml:space="preserve">               </w:t>
            </w:r>
          </w:p>
        </w:tc>
        <w:tc>
          <w:tcPr>
            <w:tcW w:w="781" w:type="dxa"/>
            <w:tcMar>
              <w:top w:w="57" w:type="dxa"/>
              <w:bottom w:w="57" w:type="dxa"/>
            </w:tcMar>
            <w:vAlign w:val="center"/>
          </w:tcPr>
          <w:p w:rsidR="005E58C6" w:rsidRPr="009C5CF7" w:rsidRDefault="009E1FD8" w:rsidP="005E58C6">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163</w:t>
            </w:r>
            <w:r w:rsidR="00571B4E">
              <w:rPr>
                <w:rFonts w:ascii="Times New Roman" w:eastAsia="Times New Roman" w:hAnsi="Times New Roman" w:cs="Times New Roman"/>
                <w:sz w:val="28"/>
                <w:szCs w:val="28"/>
                <w:lang w:eastAsia="ru-RU"/>
              </w:rPr>
              <w:t xml:space="preserve"> </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Раздел 8. Обеспечение населения лекарственными препаратами и медицинскими изделиями</w:t>
            </w:r>
          </w:p>
        </w:tc>
        <w:tc>
          <w:tcPr>
            <w:tcW w:w="781" w:type="dxa"/>
            <w:tcMar>
              <w:top w:w="57" w:type="dxa"/>
              <w:bottom w:w="57" w:type="dxa"/>
            </w:tcMar>
            <w:vAlign w:val="center"/>
          </w:tcPr>
          <w:p w:rsidR="005E58C6" w:rsidRPr="009E1FD8" w:rsidRDefault="005E58C6" w:rsidP="0027264D">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1</w:t>
            </w:r>
            <w:r w:rsidR="008E7BBB">
              <w:rPr>
                <w:rFonts w:ascii="Times New Roman" w:eastAsia="Times New Roman" w:hAnsi="Times New Roman" w:cs="Times New Roman"/>
                <w:sz w:val="28"/>
                <w:szCs w:val="28"/>
                <w:lang w:eastAsia="ru-RU"/>
              </w:rPr>
              <w:t>6</w:t>
            </w:r>
            <w:r w:rsidR="009E1FD8">
              <w:rPr>
                <w:rFonts w:ascii="Times New Roman" w:eastAsia="Times New Roman" w:hAnsi="Times New Roman" w:cs="Times New Roman"/>
                <w:sz w:val="28"/>
                <w:szCs w:val="28"/>
                <w:lang w:val="en-US" w:eastAsia="ru-RU"/>
              </w:rPr>
              <w:t>9</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Раздел 9. Информатизация здравоохранения</w:t>
            </w:r>
          </w:p>
        </w:tc>
        <w:tc>
          <w:tcPr>
            <w:tcW w:w="781" w:type="dxa"/>
            <w:tcMar>
              <w:top w:w="57" w:type="dxa"/>
              <w:bottom w:w="57" w:type="dxa"/>
            </w:tcMar>
            <w:vAlign w:val="center"/>
          </w:tcPr>
          <w:p w:rsidR="005E58C6" w:rsidRPr="009E1FD8" w:rsidRDefault="005E58C6" w:rsidP="009E1FD8">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1</w:t>
            </w:r>
            <w:r w:rsidR="009E1FD8">
              <w:rPr>
                <w:rFonts w:ascii="Times New Roman" w:eastAsia="Times New Roman" w:hAnsi="Times New Roman" w:cs="Times New Roman"/>
                <w:sz w:val="28"/>
                <w:szCs w:val="28"/>
                <w:lang w:val="en-US" w:eastAsia="ru-RU"/>
              </w:rPr>
              <w:t>78</w:t>
            </w:r>
          </w:p>
        </w:tc>
      </w:tr>
      <w:tr w:rsidR="005E58C6" w:rsidRPr="005E58C6" w:rsidTr="005E58C6">
        <w:trPr>
          <w:trHeight w:val="454"/>
        </w:trPr>
        <w:tc>
          <w:tcPr>
            <w:tcW w:w="9180" w:type="dxa"/>
            <w:tcMar>
              <w:top w:w="57" w:type="dxa"/>
              <w:left w:w="0" w:type="dxa"/>
              <w:bottom w:w="57" w:type="dxa"/>
              <w:right w:w="0" w:type="dxa"/>
            </w:tcMar>
            <w:vAlign w:val="center"/>
          </w:tcPr>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Раздел 10. Реализация государственной политики в сфере охраны здоровья, предусмотренной иными поручениями Президента Российской Федерации и Правительства Российской Федерации, а также реализация мероприятий иных федеральных целевых программ и государственных программ Российской Федерации, оказывающих влияние на достижение целей и задач государственной политики в сфере охраны здоровья</w:t>
            </w:r>
          </w:p>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p>
          <w:p w:rsidR="005E58C6" w:rsidRPr="005E58C6" w:rsidRDefault="005E58C6" w:rsidP="005E58C6">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E58C6">
              <w:rPr>
                <w:rFonts w:ascii="Times New Roman" w:eastAsia="Times New Roman" w:hAnsi="Times New Roman" w:cs="Times New Roman"/>
                <w:sz w:val="28"/>
                <w:szCs w:val="28"/>
              </w:rPr>
              <w:t xml:space="preserve">Заключение                                                                                                                  </w:t>
            </w:r>
          </w:p>
        </w:tc>
        <w:tc>
          <w:tcPr>
            <w:tcW w:w="781" w:type="dxa"/>
            <w:tcMar>
              <w:top w:w="57" w:type="dxa"/>
              <w:bottom w:w="57" w:type="dxa"/>
            </w:tcMar>
            <w:vAlign w:val="center"/>
          </w:tcPr>
          <w:p w:rsidR="005E58C6" w:rsidRPr="009E1FD8" w:rsidRDefault="005E58C6" w:rsidP="005E58C6">
            <w:pPr>
              <w:spacing w:after="0" w:line="240" w:lineRule="auto"/>
              <w:jc w:val="center"/>
              <w:outlineLvl w:val="0"/>
              <w:rPr>
                <w:rFonts w:ascii="Times New Roman" w:eastAsia="Times New Roman" w:hAnsi="Times New Roman" w:cs="Times New Roman"/>
                <w:sz w:val="28"/>
                <w:szCs w:val="28"/>
                <w:lang w:val="en-US" w:eastAsia="ru-RU"/>
              </w:rPr>
            </w:pPr>
            <w:r w:rsidRPr="005E58C6">
              <w:rPr>
                <w:rFonts w:ascii="Times New Roman" w:eastAsia="Times New Roman" w:hAnsi="Times New Roman" w:cs="Times New Roman"/>
                <w:sz w:val="28"/>
                <w:szCs w:val="28"/>
                <w:lang w:eastAsia="ru-RU"/>
              </w:rPr>
              <w:t>1</w:t>
            </w:r>
            <w:r w:rsidR="009E1FD8">
              <w:rPr>
                <w:rFonts w:ascii="Times New Roman" w:eastAsia="Times New Roman" w:hAnsi="Times New Roman" w:cs="Times New Roman"/>
                <w:sz w:val="28"/>
                <w:szCs w:val="28"/>
                <w:lang w:val="en-US" w:eastAsia="ru-RU"/>
              </w:rPr>
              <w:t>81</w:t>
            </w: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Pr="005E58C6" w:rsidRDefault="005E58C6" w:rsidP="005E58C6">
            <w:pPr>
              <w:spacing w:after="0" w:line="240" w:lineRule="auto"/>
              <w:jc w:val="center"/>
              <w:outlineLvl w:val="0"/>
              <w:rPr>
                <w:rFonts w:ascii="Times New Roman" w:eastAsia="Times New Roman" w:hAnsi="Times New Roman" w:cs="Times New Roman"/>
                <w:sz w:val="28"/>
                <w:szCs w:val="28"/>
                <w:lang w:eastAsia="ru-RU"/>
              </w:rPr>
            </w:pPr>
          </w:p>
          <w:p w:rsidR="005E58C6" w:rsidRDefault="009E1FD8" w:rsidP="005E58C6">
            <w:pPr>
              <w:spacing w:after="0" w:line="240" w:lineRule="auto"/>
              <w:jc w:val="center"/>
              <w:outlineLvl w:val="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195</w:t>
            </w:r>
          </w:p>
          <w:p w:rsidR="009E1FD8" w:rsidRPr="009E1FD8" w:rsidRDefault="009E1FD8" w:rsidP="005E58C6">
            <w:pPr>
              <w:spacing w:after="0" w:line="240" w:lineRule="auto"/>
              <w:jc w:val="center"/>
              <w:outlineLvl w:val="0"/>
              <w:rPr>
                <w:rFonts w:ascii="Times New Roman" w:eastAsia="Times New Roman" w:hAnsi="Times New Roman" w:cs="Times New Roman"/>
                <w:sz w:val="28"/>
                <w:szCs w:val="28"/>
                <w:lang w:val="en-US" w:eastAsia="ru-RU"/>
              </w:rPr>
            </w:pPr>
          </w:p>
        </w:tc>
      </w:tr>
    </w:tbl>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pPr>
        <w:rPr>
          <w:rFonts w:ascii="Times New Roman" w:hAnsi="Times New Roman" w:cs="Times New Roman"/>
          <w:sz w:val="28"/>
          <w:szCs w:val="28"/>
        </w:rPr>
      </w:pPr>
      <w:r>
        <w:rPr>
          <w:rFonts w:ascii="Times New Roman" w:hAnsi="Times New Roman" w:cs="Times New Roman"/>
          <w:sz w:val="28"/>
          <w:szCs w:val="28"/>
        </w:rPr>
        <w:br w:type="page"/>
      </w:r>
    </w:p>
    <w:p w:rsidR="005E58C6" w:rsidRPr="005E58C6" w:rsidRDefault="005E58C6" w:rsidP="005E58C6">
      <w:pPr>
        <w:widowControl w:val="0"/>
        <w:spacing w:after="0" w:line="312" w:lineRule="auto"/>
        <w:ind w:firstLine="709"/>
        <w:jc w:val="both"/>
        <w:rPr>
          <w:rFonts w:ascii="Times New Roman" w:hAnsi="Times New Roman" w:cs="Times New Roman"/>
          <w:b/>
          <w:sz w:val="28"/>
          <w:szCs w:val="28"/>
        </w:rPr>
      </w:pPr>
      <w:r w:rsidRPr="005E58C6">
        <w:rPr>
          <w:rFonts w:ascii="Times New Roman" w:hAnsi="Times New Roman" w:cs="Times New Roman"/>
          <w:b/>
          <w:sz w:val="28"/>
          <w:szCs w:val="28"/>
        </w:rPr>
        <w:lastRenderedPageBreak/>
        <w:t>Введение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Основная цель развития отрасли здравоохранения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повышение качества и доступности оказания медицинской помощи населению.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Главным результатом усилий и действий государственных органов исполнительной власти на всех уровнях является реальное влияние на состояние здоровья россиян и исполнение целевых показателей в сфере охраны здоровья граждан.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Государственный доклад о реализации политики в сфере охраны здоровья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доклад) подготовлен в соответствии с постановлением Правительства Российской Федерации от 2 августа 2014 г. </w:t>
      </w:r>
      <w:r>
        <w:rPr>
          <w:rFonts w:ascii="Times New Roman" w:hAnsi="Times New Roman" w:cs="Times New Roman"/>
          <w:sz w:val="28"/>
          <w:szCs w:val="28"/>
        </w:rPr>
        <w:t>№ </w:t>
      </w:r>
      <w:r w:rsidRPr="005E58C6">
        <w:rPr>
          <w:rFonts w:ascii="Times New Roman" w:hAnsi="Times New Roman" w:cs="Times New Roman"/>
          <w:sz w:val="28"/>
          <w:szCs w:val="28"/>
        </w:rPr>
        <w:t>766, в целях проведения анализа обеспечения реализации прав граждан на охрану здоровья и получения в полном объеме своевременной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Доклад представляет собой систематизированный свод аналитической информации о состоянии здоровья населения Российской Федерации и системы здравоохранения, результатах оценки и прогноза изменений в сфере охраны здоровья, качестве и доступности медицинской помощи населению и об организационных и финансово-экономических мерах по охране и укреплению здоровья населения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Структура доклада включает следующую информацию: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 количественных и качественных показателях (индикаторах) в абсолютном или относительном выражении, характеризующих реализацию мер государственной политики в сфере охраны здоровья, представленных в формах федерального и отраслевого статистического наблюдения, за отчетный год;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 основных проблемах в сфере охраны здоровья граждан и системы здравоохранения и о тенденциях их изменения за отчетный год;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 принятых в отчетном году федеральных законах, нормативных правовых актах Президента Российской Федерации, Правительства Российской Федерации и федеральных органов исполнительной власти, а также о мерах по обеспечению прав граждан на охрану здоровья, принятых в отчетном году. </w:t>
      </w:r>
    </w:p>
    <w:p w:rsid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Доклад подготовлен Минздравом России с участием Федеральной службы по надзору в сфере здравоохранения, Федерального медико-биологического агентства, Федеральной службы по надзору в сфере защиты </w:t>
      </w:r>
      <w:r>
        <w:rPr>
          <w:rFonts w:ascii="Times New Roman" w:hAnsi="Times New Roman" w:cs="Times New Roman"/>
          <w:sz w:val="28"/>
          <w:szCs w:val="28"/>
        </w:rPr>
        <w:lastRenderedPageBreak/>
        <w:t xml:space="preserve">прав потребителей </w:t>
      </w:r>
      <w:r w:rsidRPr="005E58C6">
        <w:rPr>
          <w:rFonts w:ascii="Times New Roman" w:hAnsi="Times New Roman" w:cs="Times New Roman"/>
          <w:sz w:val="28"/>
          <w:szCs w:val="28"/>
        </w:rPr>
        <w:t>и благополучия человека, Федерального фонда обязательного медицинского страхования.</w:t>
      </w:r>
    </w:p>
    <w:p w:rsidR="005E58C6" w:rsidRDefault="005E58C6">
      <w:pPr>
        <w:rPr>
          <w:rFonts w:ascii="Times New Roman" w:hAnsi="Times New Roman" w:cs="Times New Roman"/>
          <w:sz w:val="28"/>
          <w:szCs w:val="28"/>
        </w:rPr>
      </w:pPr>
      <w:r>
        <w:rPr>
          <w:rFonts w:ascii="Times New Roman" w:hAnsi="Times New Roman" w:cs="Times New Roman"/>
          <w:sz w:val="28"/>
          <w:szCs w:val="28"/>
        </w:rPr>
        <w:br w:type="page"/>
      </w:r>
    </w:p>
    <w:p w:rsidR="005E58C6" w:rsidRPr="005E58C6" w:rsidRDefault="005E58C6" w:rsidP="005E58C6">
      <w:pPr>
        <w:widowControl w:val="0"/>
        <w:spacing w:after="0" w:line="312" w:lineRule="auto"/>
        <w:ind w:firstLine="709"/>
        <w:jc w:val="both"/>
        <w:rPr>
          <w:rFonts w:ascii="Times New Roman" w:hAnsi="Times New Roman" w:cs="Times New Roman"/>
          <w:b/>
          <w:sz w:val="28"/>
          <w:szCs w:val="28"/>
        </w:rPr>
      </w:pPr>
      <w:r w:rsidRPr="005E58C6">
        <w:rPr>
          <w:rFonts w:ascii="Times New Roman" w:hAnsi="Times New Roman" w:cs="Times New Roman"/>
          <w:b/>
          <w:sz w:val="28"/>
          <w:szCs w:val="28"/>
        </w:rPr>
        <w:lastRenderedPageBreak/>
        <w:t>Раздел 1. Основные направления реализации государственной политики в сфере охраны здоровья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Цели и задачи деятельности Министерства здравоохранения Российской Федерации на 2018 год определены:</w:t>
      </w:r>
    </w:p>
    <w:p w:rsidR="005E58C6" w:rsidRPr="005E58C6" w:rsidRDefault="005E58C6" w:rsidP="009B11FC">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основными положениями Послания Президента Российской Федерации Федеральному Собранию Российской Федерации </w:t>
      </w:r>
      <w:r w:rsidR="009B11FC" w:rsidRPr="007D3F54">
        <w:rPr>
          <w:rFonts w:ascii="Times New Roman" w:hAnsi="Times New Roman" w:cs="Times New Roman"/>
          <w:sz w:val="28"/>
          <w:szCs w:val="28"/>
        </w:rPr>
        <w:t xml:space="preserve"> </w:t>
      </w:r>
      <w:r w:rsidR="009B11FC">
        <w:rPr>
          <w:rFonts w:ascii="Times New Roman" w:hAnsi="Times New Roman" w:cs="Times New Roman"/>
          <w:sz w:val="28"/>
          <w:szCs w:val="28"/>
        </w:rPr>
        <w:t xml:space="preserve"> от 1 марта</w:t>
      </w:r>
      <w:r w:rsidRPr="005E58C6">
        <w:rPr>
          <w:rFonts w:ascii="Times New Roman" w:hAnsi="Times New Roman" w:cs="Times New Roman"/>
          <w:sz w:val="28"/>
          <w:szCs w:val="28"/>
        </w:rPr>
        <w:t xml:space="preserve">  2018 года;</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58C6" w:rsidRPr="005E58C6">
        <w:rPr>
          <w:rFonts w:ascii="Times New Roman" w:hAnsi="Times New Roman" w:cs="Times New Roman"/>
          <w:sz w:val="28"/>
          <w:szCs w:val="28"/>
        </w:rPr>
        <w:t xml:space="preserve">онцепцией демографической политики Российской Федерации на период до 2025 года, утвержденной Указом Президента Российской Федерации от 9 октября 2007 г.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1351;</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указами Президента Российской Федерации от 7 мая 2012 г. </w:t>
      </w:r>
      <w:r>
        <w:rPr>
          <w:rFonts w:ascii="Times New Roman" w:hAnsi="Times New Roman" w:cs="Times New Roman"/>
          <w:sz w:val="28"/>
          <w:szCs w:val="28"/>
        </w:rPr>
        <w:t>№ </w:t>
      </w:r>
      <w:r w:rsidRPr="005E58C6">
        <w:rPr>
          <w:rFonts w:ascii="Times New Roman" w:hAnsi="Times New Roman" w:cs="Times New Roman"/>
          <w:sz w:val="28"/>
          <w:szCs w:val="28"/>
        </w:rPr>
        <w:t xml:space="preserve">596 </w:t>
      </w:r>
      <w:r>
        <w:rPr>
          <w:rFonts w:ascii="Times New Roman" w:hAnsi="Times New Roman" w:cs="Times New Roman"/>
          <w:sz w:val="28"/>
          <w:szCs w:val="28"/>
        </w:rPr>
        <w:t xml:space="preserve">   </w:t>
      </w:r>
      <w:r w:rsidRPr="005E58C6">
        <w:rPr>
          <w:rFonts w:ascii="Times New Roman" w:hAnsi="Times New Roman" w:cs="Times New Roman"/>
          <w:sz w:val="28"/>
          <w:szCs w:val="28"/>
        </w:rPr>
        <w:t xml:space="preserve">«О долгосрочной государственной экономической политике», </w:t>
      </w:r>
      <w:r>
        <w:rPr>
          <w:rFonts w:ascii="Times New Roman" w:hAnsi="Times New Roman" w:cs="Times New Roman"/>
          <w:sz w:val="28"/>
          <w:szCs w:val="28"/>
        </w:rPr>
        <w:t>№ </w:t>
      </w:r>
      <w:r w:rsidRPr="005E58C6">
        <w:rPr>
          <w:rFonts w:ascii="Times New Roman" w:hAnsi="Times New Roman" w:cs="Times New Roman"/>
          <w:sz w:val="28"/>
          <w:szCs w:val="28"/>
        </w:rPr>
        <w:t xml:space="preserve">597 </w:t>
      </w:r>
      <w:r>
        <w:rPr>
          <w:rFonts w:ascii="Times New Roman" w:hAnsi="Times New Roman" w:cs="Times New Roman"/>
          <w:sz w:val="28"/>
          <w:szCs w:val="28"/>
        </w:rPr>
        <w:t xml:space="preserve">                 </w:t>
      </w:r>
      <w:r w:rsidRPr="005E58C6">
        <w:rPr>
          <w:rFonts w:ascii="Times New Roman" w:hAnsi="Times New Roman" w:cs="Times New Roman"/>
          <w:sz w:val="28"/>
          <w:szCs w:val="28"/>
        </w:rPr>
        <w:t>«О мероприятиях по реализации государственной социальн</w:t>
      </w:r>
      <w:r>
        <w:rPr>
          <w:rFonts w:ascii="Times New Roman" w:hAnsi="Times New Roman" w:cs="Times New Roman"/>
          <w:sz w:val="28"/>
          <w:szCs w:val="28"/>
        </w:rPr>
        <w:t>ой политики», № </w:t>
      </w:r>
      <w:r w:rsidRPr="005E58C6">
        <w:rPr>
          <w:rFonts w:ascii="Times New Roman" w:hAnsi="Times New Roman" w:cs="Times New Roman"/>
          <w:sz w:val="28"/>
          <w:szCs w:val="28"/>
        </w:rPr>
        <w:t xml:space="preserve">598 «О совершенствовании государственной политики в сфере здравоохранения», </w:t>
      </w:r>
      <w:r>
        <w:rPr>
          <w:rFonts w:ascii="Times New Roman" w:hAnsi="Times New Roman" w:cs="Times New Roman"/>
          <w:sz w:val="28"/>
          <w:szCs w:val="28"/>
        </w:rPr>
        <w:t>№ </w:t>
      </w:r>
      <w:r w:rsidRPr="005E58C6">
        <w:rPr>
          <w:rFonts w:ascii="Times New Roman" w:hAnsi="Times New Roman" w:cs="Times New Roman"/>
          <w:sz w:val="28"/>
          <w:szCs w:val="28"/>
        </w:rPr>
        <w:t xml:space="preserve">606 «О мерах по реализации демографической политики Российской Федерации», от 7 мая 2018 г. </w:t>
      </w:r>
      <w:r>
        <w:rPr>
          <w:rFonts w:ascii="Times New Roman" w:hAnsi="Times New Roman" w:cs="Times New Roman"/>
          <w:sz w:val="28"/>
          <w:szCs w:val="28"/>
        </w:rPr>
        <w:t>№ </w:t>
      </w:r>
      <w:r w:rsidRPr="005E58C6">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58C6" w:rsidRPr="005E58C6">
        <w:rPr>
          <w:rFonts w:ascii="Times New Roman" w:hAnsi="Times New Roman" w:cs="Times New Roman"/>
          <w:sz w:val="28"/>
          <w:szCs w:val="28"/>
        </w:rPr>
        <w:t xml:space="preserve">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1662-р;</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 xml:space="preserve">тратегией инновационного развития Российской Федерации на период до 2020 года, утвержденной распоряжением Правительства Российской Федерации от 8 декабря 2011 г.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2227-р;</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 xml:space="preserve">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 года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2580-р;</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 xml:space="preserve">тратегией лекарственного обеспечения населения Российской Федерации до 2025 года, утвержденной приказом Министерства здравоохранения Российской Федерации от 13 февраля 2013 г.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66;</w:t>
      </w:r>
    </w:p>
    <w:p w:rsidR="005E58C6" w:rsidRPr="005E58C6" w:rsidRDefault="007D3F54"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Прогнозом</w:t>
      </w:r>
      <w:r w:rsidRPr="007D3F54">
        <w:rPr>
          <w:rFonts w:ascii="Times New Roman" w:hAnsi="Times New Roman" w:cs="Times New Roman"/>
          <w:sz w:val="28"/>
          <w:szCs w:val="28"/>
        </w:rPr>
        <w:t xml:space="preserve"> </w:t>
      </w:r>
      <w:r w:rsidR="005E58C6" w:rsidRPr="005E58C6">
        <w:rPr>
          <w:rFonts w:ascii="Times New Roman" w:hAnsi="Times New Roman" w:cs="Times New Roman"/>
          <w:sz w:val="28"/>
          <w:szCs w:val="28"/>
        </w:rPr>
        <w:t xml:space="preserve"> социально-экономического развития Российской Федерации на период до 20</w:t>
      </w:r>
      <w:r w:rsidRPr="007D3F54">
        <w:rPr>
          <w:rFonts w:ascii="Times New Roman" w:hAnsi="Times New Roman" w:cs="Times New Roman"/>
          <w:sz w:val="28"/>
          <w:szCs w:val="28"/>
        </w:rPr>
        <w:t>24</w:t>
      </w:r>
      <w:r w:rsidR="005E58C6" w:rsidRPr="005E58C6">
        <w:rPr>
          <w:rFonts w:ascii="Times New Roman" w:hAnsi="Times New Roman" w:cs="Times New Roman"/>
          <w:sz w:val="28"/>
          <w:szCs w:val="28"/>
        </w:rPr>
        <w:t xml:space="preserve"> года</w:t>
      </w:r>
      <w:r w:rsidR="005E58C6" w:rsidRPr="007D3F54">
        <w:rPr>
          <w:rFonts w:ascii="Times New Roman" w:hAnsi="Times New Roman" w:cs="Times New Roman"/>
          <w:sz w:val="28"/>
          <w:szCs w:val="28"/>
        </w:rPr>
        <w:t xml:space="preserve">, утвержденным </w:t>
      </w:r>
      <w:r w:rsidRPr="007D3F54">
        <w:rPr>
          <w:rFonts w:ascii="Times New Roman" w:hAnsi="Times New Roman" w:cs="Times New Roman"/>
          <w:sz w:val="28"/>
          <w:szCs w:val="28"/>
        </w:rPr>
        <w:t xml:space="preserve">на заседании </w:t>
      </w:r>
      <w:r w:rsidR="005E58C6" w:rsidRPr="007D3F54">
        <w:rPr>
          <w:rFonts w:ascii="Times New Roman" w:hAnsi="Times New Roman" w:cs="Times New Roman"/>
          <w:sz w:val="28"/>
          <w:szCs w:val="28"/>
        </w:rPr>
        <w:t xml:space="preserve">Правительства Российской Федерации </w:t>
      </w:r>
      <w:r w:rsidRPr="007D3F54">
        <w:rPr>
          <w:rFonts w:ascii="Times New Roman" w:hAnsi="Times New Roman" w:cs="Times New Roman"/>
          <w:sz w:val="28"/>
          <w:szCs w:val="28"/>
        </w:rPr>
        <w:t>20</w:t>
      </w:r>
      <w:r w:rsidR="005E58C6" w:rsidRPr="007D3F54">
        <w:rPr>
          <w:rFonts w:ascii="Times New Roman" w:hAnsi="Times New Roman" w:cs="Times New Roman"/>
          <w:sz w:val="28"/>
          <w:szCs w:val="28"/>
        </w:rPr>
        <w:t xml:space="preserve"> </w:t>
      </w:r>
      <w:r w:rsidRPr="007D3F54">
        <w:rPr>
          <w:rFonts w:ascii="Times New Roman" w:hAnsi="Times New Roman" w:cs="Times New Roman"/>
          <w:sz w:val="28"/>
          <w:szCs w:val="28"/>
        </w:rPr>
        <w:t>сентября</w:t>
      </w:r>
      <w:r w:rsidR="005E58C6" w:rsidRPr="005E58C6">
        <w:rPr>
          <w:rFonts w:ascii="Times New Roman" w:hAnsi="Times New Roman" w:cs="Times New Roman"/>
          <w:sz w:val="28"/>
          <w:szCs w:val="28"/>
        </w:rPr>
        <w:t xml:space="preserve"> 201</w:t>
      </w:r>
      <w:r>
        <w:rPr>
          <w:rFonts w:ascii="Times New Roman" w:hAnsi="Times New Roman" w:cs="Times New Roman"/>
          <w:sz w:val="28"/>
          <w:szCs w:val="28"/>
        </w:rPr>
        <w:t>8</w:t>
      </w:r>
      <w:r w:rsidR="005E58C6" w:rsidRPr="005E58C6">
        <w:rPr>
          <w:rFonts w:ascii="Times New Roman" w:hAnsi="Times New Roman" w:cs="Times New Roman"/>
          <w:sz w:val="28"/>
          <w:szCs w:val="28"/>
        </w:rPr>
        <w:t xml:space="preserve"> г.</w:t>
      </w:r>
      <w:r>
        <w:rPr>
          <w:rFonts w:ascii="Times New Roman" w:hAnsi="Times New Roman" w:cs="Times New Roman"/>
          <w:sz w:val="28"/>
          <w:szCs w:val="28"/>
        </w:rPr>
        <w:t xml:space="preserve"> (протокол № 26)</w:t>
      </w:r>
      <w:r w:rsidR="005E58C6"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комплексом мер по обеспечению системы здравоохранения Российской Федерации медицинскими кадрами до 2018 года, утвержденным </w:t>
      </w:r>
      <w:r w:rsidRPr="005E58C6">
        <w:rPr>
          <w:rFonts w:ascii="Times New Roman" w:hAnsi="Times New Roman" w:cs="Times New Roman"/>
          <w:sz w:val="28"/>
          <w:szCs w:val="28"/>
        </w:rPr>
        <w:lastRenderedPageBreak/>
        <w:t xml:space="preserve">распоряжением Правительства Российской Федерации от 15 апреля 2013 г. </w:t>
      </w:r>
      <w:r>
        <w:rPr>
          <w:rFonts w:ascii="Times New Roman" w:hAnsi="Times New Roman" w:cs="Times New Roman"/>
          <w:sz w:val="28"/>
          <w:szCs w:val="28"/>
        </w:rPr>
        <w:t>№ </w:t>
      </w:r>
      <w:r w:rsidRPr="005E58C6">
        <w:rPr>
          <w:rFonts w:ascii="Times New Roman" w:hAnsi="Times New Roman" w:cs="Times New Roman"/>
          <w:sz w:val="28"/>
          <w:szCs w:val="28"/>
        </w:rPr>
        <w:t>614-р;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государственной стратегией противодействия распространению ВИЧ-инфекции в Российской Федерации на период до 2020 года и дальнейшую перспективу, утвержденной распоряжением Правительства Российской Федерации от 20 октября 2016 г. </w:t>
      </w:r>
      <w:r>
        <w:rPr>
          <w:rFonts w:ascii="Times New Roman" w:hAnsi="Times New Roman" w:cs="Times New Roman"/>
          <w:sz w:val="28"/>
          <w:szCs w:val="28"/>
        </w:rPr>
        <w:t>№ </w:t>
      </w:r>
      <w:r w:rsidRPr="005E58C6">
        <w:rPr>
          <w:rFonts w:ascii="Times New Roman" w:hAnsi="Times New Roman" w:cs="Times New Roman"/>
          <w:sz w:val="28"/>
          <w:szCs w:val="28"/>
        </w:rPr>
        <w:t>2203-р;</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тратегией предупреждения распространения антимикробной резистентности в Российской Федерации на период до 2030 года, утвержденной распоряжением Правитель</w:t>
      </w:r>
      <w:r w:rsidR="005E58C6">
        <w:rPr>
          <w:rFonts w:ascii="Times New Roman" w:hAnsi="Times New Roman" w:cs="Times New Roman"/>
          <w:sz w:val="28"/>
          <w:szCs w:val="28"/>
        </w:rPr>
        <w:t>ства Российской Федерации от 25 </w:t>
      </w:r>
      <w:r w:rsidR="005E58C6" w:rsidRPr="005E58C6">
        <w:rPr>
          <w:rFonts w:ascii="Times New Roman" w:hAnsi="Times New Roman" w:cs="Times New Roman"/>
          <w:sz w:val="28"/>
          <w:szCs w:val="28"/>
        </w:rPr>
        <w:t xml:space="preserve">сентября 2017 г.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2045-р;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государственной программой Российской Федерации «Развитие здравоохранения», утвержденной постановлением Правительства Российской Федерации от 26 декабря 2017 г. </w:t>
      </w:r>
      <w:r>
        <w:rPr>
          <w:rFonts w:ascii="Times New Roman" w:hAnsi="Times New Roman" w:cs="Times New Roman"/>
          <w:sz w:val="28"/>
          <w:szCs w:val="28"/>
        </w:rPr>
        <w:t>№ </w:t>
      </w:r>
      <w:r w:rsidRPr="005E58C6">
        <w:rPr>
          <w:rFonts w:ascii="Times New Roman" w:hAnsi="Times New Roman" w:cs="Times New Roman"/>
          <w:sz w:val="28"/>
          <w:szCs w:val="28"/>
        </w:rPr>
        <w:t>1640;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основными направлениями деятельности Правительства Российской Федерации на период до 2024 года, утвержденными Председателем Правительства Российской Федерации 29 сентября 2018 г.; </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 xml:space="preserve">тратегией развития санаторно-курортного комплекса Российской Федерации, утвержденной распоряжением Правительства Российской от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26 ноября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2581-р </w:t>
      </w:r>
    </w:p>
    <w:p w:rsidR="005E58C6" w:rsidRPr="005F2F28" w:rsidRDefault="005E58C6" w:rsidP="005F2F28">
      <w:pPr>
        <w:widowControl w:val="0"/>
        <w:spacing w:after="0" w:line="312" w:lineRule="auto"/>
        <w:ind w:firstLine="709"/>
        <w:jc w:val="both"/>
        <w:rPr>
          <w:rFonts w:ascii="Times New Roman" w:hAnsi="Times New Roman" w:cs="Times New Roman"/>
          <w:b/>
          <w:sz w:val="28"/>
          <w:szCs w:val="28"/>
        </w:rPr>
      </w:pPr>
      <w:r w:rsidRPr="005E58C6">
        <w:rPr>
          <w:rFonts w:ascii="Times New Roman" w:hAnsi="Times New Roman" w:cs="Times New Roman"/>
          <w:b/>
          <w:sz w:val="28"/>
          <w:szCs w:val="28"/>
        </w:rPr>
        <w:t>Основные приоритетные направления деятельности Министерства здравоохранения Российской Федерации на 2018 год</w:t>
      </w:r>
      <w:r w:rsidR="005F2F28">
        <w:rPr>
          <w:rFonts w:ascii="Times New Roman" w:hAnsi="Times New Roman" w:cs="Times New Roman"/>
          <w:b/>
          <w:sz w:val="28"/>
          <w:szCs w:val="28"/>
        </w:rPr>
        <w:t xml:space="preserve"> </w:t>
      </w:r>
      <w:r w:rsidR="005F2F28">
        <w:rPr>
          <w:rFonts w:ascii="Times New Roman" w:hAnsi="Times New Roman" w:cs="Times New Roman"/>
          <w:sz w:val="28"/>
          <w:szCs w:val="28"/>
        </w:rPr>
        <w:t>о</w:t>
      </w:r>
      <w:r w:rsidRPr="005E58C6">
        <w:rPr>
          <w:rFonts w:ascii="Times New Roman" w:hAnsi="Times New Roman" w:cs="Times New Roman"/>
          <w:sz w:val="28"/>
          <w:szCs w:val="28"/>
        </w:rPr>
        <w:t>пределены Указом Президента Российской Федерации от 7 мая 2018</w:t>
      </w:r>
      <w:r w:rsidR="005F2F28">
        <w:rPr>
          <w:rFonts w:ascii="Times New Roman" w:hAnsi="Times New Roman" w:cs="Times New Roman"/>
          <w:sz w:val="28"/>
          <w:szCs w:val="28"/>
        </w:rPr>
        <w:t xml:space="preserve"> г.</w:t>
      </w:r>
      <w:r w:rsidRPr="005E58C6">
        <w:rPr>
          <w:rFonts w:ascii="Times New Roman" w:hAnsi="Times New Roman" w:cs="Times New Roman"/>
          <w:sz w:val="28"/>
          <w:szCs w:val="28"/>
        </w:rPr>
        <w:t xml:space="preserve"> </w:t>
      </w:r>
      <w:r>
        <w:rPr>
          <w:rFonts w:ascii="Times New Roman" w:hAnsi="Times New Roman" w:cs="Times New Roman"/>
          <w:sz w:val="28"/>
          <w:szCs w:val="28"/>
        </w:rPr>
        <w:t>№ </w:t>
      </w:r>
      <w:r w:rsidRPr="005E58C6">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Указ </w:t>
      </w:r>
      <w:r>
        <w:rPr>
          <w:rFonts w:ascii="Times New Roman" w:hAnsi="Times New Roman" w:cs="Times New Roman"/>
          <w:sz w:val="28"/>
          <w:szCs w:val="28"/>
        </w:rPr>
        <w:t>№ </w:t>
      </w:r>
      <w:r w:rsidRPr="005E58C6">
        <w:rPr>
          <w:rFonts w:ascii="Times New Roman" w:hAnsi="Times New Roman" w:cs="Times New Roman"/>
          <w:sz w:val="28"/>
          <w:szCs w:val="28"/>
        </w:rPr>
        <w:t>204):</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обеспечение устойчивого роста численности населения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повышение ожидаемой продолжительности жизни до 78 лет                               (в 2030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до 80 лет).</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Во исполнение Указа </w:t>
      </w:r>
      <w:r>
        <w:rPr>
          <w:rFonts w:ascii="Times New Roman" w:hAnsi="Times New Roman" w:cs="Times New Roman"/>
          <w:sz w:val="28"/>
          <w:szCs w:val="28"/>
        </w:rPr>
        <w:t>№ </w:t>
      </w:r>
      <w:r w:rsidRPr="005E58C6">
        <w:rPr>
          <w:rFonts w:ascii="Times New Roman" w:hAnsi="Times New Roman" w:cs="Times New Roman"/>
          <w:sz w:val="28"/>
          <w:szCs w:val="28"/>
        </w:rPr>
        <w:t>204 Минздравом России разработан национальный проект «Здравоохранение», утвержденный 24 декабря                  2018 года на Президиуме Совета при Президенте Российской Федерации по стратегическому развитию и национальн</w:t>
      </w:r>
      <w:r>
        <w:rPr>
          <w:rFonts w:ascii="Times New Roman" w:hAnsi="Times New Roman" w:cs="Times New Roman"/>
          <w:sz w:val="28"/>
          <w:szCs w:val="28"/>
        </w:rPr>
        <w:t>ым проектам, который содержит 8 </w:t>
      </w:r>
      <w:r w:rsidRPr="005E58C6">
        <w:rPr>
          <w:rFonts w:ascii="Times New Roman" w:hAnsi="Times New Roman" w:cs="Times New Roman"/>
          <w:sz w:val="28"/>
          <w:szCs w:val="28"/>
        </w:rPr>
        <w:t xml:space="preserve">федеральных проектов: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«Развитие системы оказания первичной медико-санитарной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«Борьба с сердечно-сосудистыми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«Борьба с онкологическими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«Обеспечение медицинских организаций системы здравоохранения квалифицированными кадрами»;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«Завершение формирования сети национальных медицинских исследовательских центров, внедрение инновационных медицинских технологий, включая систему ранней диагностики и дистанционный мониторинг состояния здоровья пациентов, внедрение клинических рекомендаций и протоколов лечения»;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«Развитие экспорта медицинских услуг».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Национальным проектом «Здравоохранение» установлены целевые показатели до 2024 года: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смертности населения трудоспособного возраста (до                     350 случаев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смертности от  болезней системы кровообращения (до                          450 случаев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смертности от новообразований, в том числе от злокачественных (до 185 случаев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младенческой смертности (до 4,5 случаев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детей).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Субъектами Российской Федерации разработаны, согласованы с Минздравом России и утверждены региональные составляющие национального проекта в соответствии с паспортами федеральных проектов, которые содержат планируемые значения показателей, объемов финансового обеспечения, задачи, планируемые результаты, контрольные точки и мероприятия.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Кроме того, приоритетным направлением деятельности Министерства здравоохранения Российской Федерации в 2018 году являлось повышение доступности и качества медицинской помощи больным с онкологическими заболеваниями в Российской Федерации и  было направлено на:    </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w:t>
      </w:r>
      <w:r w:rsidR="005E58C6" w:rsidRPr="005E58C6">
        <w:rPr>
          <w:rFonts w:ascii="Times New Roman" w:hAnsi="Times New Roman" w:cs="Times New Roman"/>
          <w:sz w:val="28"/>
          <w:szCs w:val="28"/>
        </w:rPr>
        <w:t xml:space="preserve">правового регулирования организации </w:t>
      </w:r>
      <w:r w:rsidR="005E58C6" w:rsidRPr="005E58C6">
        <w:rPr>
          <w:rFonts w:ascii="Times New Roman" w:hAnsi="Times New Roman" w:cs="Times New Roman"/>
          <w:sz w:val="28"/>
          <w:szCs w:val="28"/>
        </w:rPr>
        <w:lastRenderedPageBreak/>
        <w:t>медицинской помощи больным с онкологическими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раннее выявление онкологических заболеваний;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информатизацию онкологической службы;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укрепление кадрового потенциала онкологической службы.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7D3F54" w:rsidRDefault="005E58C6" w:rsidP="005E58C6">
      <w:pPr>
        <w:widowControl w:val="0"/>
        <w:spacing w:after="0" w:line="312" w:lineRule="auto"/>
        <w:ind w:firstLine="709"/>
        <w:jc w:val="both"/>
        <w:rPr>
          <w:rFonts w:ascii="Times New Roman" w:hAnsi="Times New Roman" w:cs="Times New Roman"/>
          <w:sz w:val="28"/>
          <w:szCs w:val="28"/>
        </w:rPr>
      </w:pPr>
    </w:p>
    <w:p w:rsidR="002E25BD" w:rsidRPr="007D3F54" w:rsidRDefault="002E25BD"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1849D6" w:rsidRDefault="005E58C6" w:rsidP="005E58C6">
      <w:pPr>
        <w:widowControl w:val="0"/>
        <w:spacing w:after="0" w:line="312" w:lineRule="auto"/>
        <w:ind w:firstLine="709"/>
        <w:jc w:val="both"/>
        <w:rPr>
          <w:rFonts w:ascii="Times New Roman" w:hAnsi="Times New Roman" w:cs="Times New Roman"/>
          <w:sz w:val="28"/>
          <w:szCs w:val="28"/>
        </w:rPr>
      </w:pPr>
    </w:p>
    <w:p w:rsidR="001849D6" w:rsidRPr="001849D6" w:rsidRDefault="001849D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b/>
          <w:sz w:val="28"/>
          <w:szCs w:val="28"/>
        </w:rPr>
      </w:pPr>
      <w:r w:rsidRPr="005E58C6">
        <w:rPr>
          <w:rFonts w:ascii="Times New Roman" w:hAnsi="Times New Roman" w:cs="Times New Roman"/>
          <w:b/>
          <w:sz w:val="28"/>
          <w:szCs w:val="28"/>
        </w:rPr>
        <w:lastRenderedPageBreak/>
        <w:t>Раздел 2. Основные принятые (разработанные) нормативные правовые акты в сфере охраны здоровья граждан</w:t>
      </w:r>
    </w:p>
    <w:p w:rsidR="005E58C6" w:rsidRPr="005E58C6" w:rsidRDefault="005F2F28"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w:t>
      </w:r>
      <w:r w:rsidR="005E58C6" w:rsidRPr="005E58C6">
        <w:rPr>
          <w:rFonts w:ascii="Times New Roman" w:hAnsi="Times New Roman" w:cs="Times New Roman"/>
          <w:sz w:val="28"/>
          <w:szCs w:val="28"/>
        </w:rPr>
        <w:t xml:space="preserve"> </w:t>
      </w:r>
      <w:r>
        <w:rPr>
          <w:rFonts w:ascii="Times New Roman" w:hAnsi="Times New Roman" w:cs="Times New Roman"/>
          <w:sz w:val="28"/>
          <w:szCs w:val="28"/>
        </w:rPr>
        <w:t xml:space="preserve"> принято</w:t>
      </w:r>
      <w:r w:rsidR="005E58C6" w:rsidRPr="005E58C6">
        <w:rPr>
          <w:rFonts w:ascii="Times New Roman" w:hAnsi="Times New Roman" w:cs="Times New Roman"/>
          <w:sz w:val="28"/>
          <w:szCs w:val="28"/>
        </w:rPr>
        <w:t xml:space="preserve"> 17 федеральных законов</w:t>
      </w:r>
      <w:r w:rsidR="00757202">
        <w:rPr>
          <w:rFonts w:ascii="Times New Roman" w:hAnsi="Times New Roman" w:cs="Times New Roman"/>
          <w:sz w:val="28"/>
          <w:szCs w:val="28"/>
        </w:rPr>
        <w:t xml:space="preserve"> в сфере охраны здоровья</w:t>
      </w:r>
      <w:r w:rsidR="005E58C6" w:rsidRPr="005E58C6">
        <w:rPr>
          <w:rFonts w:ascii="Times New Roman" w:hAnsi="Times New Roman" w:cs="Times New Roman"/>
          <w:sz w:val="28"/>
          <w:szCs w:val="28"/>
        </w:rPr>
        <w:t xml:space="preserve">, в том числе: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3 апреля 2018 г. </w:t>
      </w:r>
      <w:r>
        <w:rPr>
          <w:rFonts w:ascii="Times New Roman" w:hAnsi="Times New Roman" w:cs="Times New Roman"/>
          <w:sz w:val="28"/>
          <w:szCs w:val="28"/>
        </w:rPr>
        <w:t>№ </w:t>
      </w:r>
      <w:r w:rsidRPr="005E58C6">
        <w:rPr>
          <w:rFonts w:ascii="Times New Roman" w:hAnsi="Times New Roman" w:cs="Times New Roman"/>
          <w:sz w:val="28"/>
          <w:szCs w:val="28"/>
        </w:rPr>
        <w:t>63-ФЗ «О внесении изменений в статьи 5 и 8 Федерального закона «О концессионных соглашениях»;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2E25BD">
        <w:rPr>
          <w:rFonts w:ascii="Times New Roman" w:hAnsi="Times New Roman" w:cs="Times New Roman"/>
          <w:sz w:val="28"/>
          <w:szCs w:val="28"/>
        </w:rPr>
        <w:t>Федеральный закон от 4 июня 2018 г. № 140-ФЗ «О внесении изменений в Федеральный закон «Об обращении лекарственных средств»;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29 июля 2018 г. </w:t>
      </w:r>
      <w:r>
        <w:rPr>
          <w:rFonts w:ascii="Times New Roman" w:hAnsi="Times New Roman" w:cs="Times New Roman"/>
          <w:sz w:val="28"/>
          <w:szCs w:val="28"/>
        </w:rPr>
        <w:t>№ </w:t>
      </w:r>
      <w:r w:rsidRPr="005E58C6">
        <w:rPr>
          <w:rFonts w:ascii="Times New Roman" w:hAnsi="Times New Roman" w:cs="Times New Roman"/>
          <w:sz w:val="28"/>
          <w:szCs w:val="28"/>
        </w:rPr>
        <w:t>268-ФЗ «О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«Об индивидуальном (персонифицированном) учете в системе обязательного пенсионного страхования»;</w:t>
      </w:r>
    </w:p>
    <w:p w:rsidR="005E58C6" w:rsidRPr="002E25BD" w:rsidRDefault="005E58C6" w:rsidP="005E58C6">
      <w:pPr>
        <w:widowControl w:val="0"/>
        <w:spacing w:after="0" w:line="312" w:lineRule="auto"/>
        <w:ind w:firstLine="709"/>
        <w:jc w:val="both"/>
        <w:rPr>
          <w:rFonts w:ascii="Times New Roman" w:hAnsi="Times New Roman" w:cs="Times New Roman"/>
          <w:sz w:val="28"/>
          <w:szCs w:val="28"/>
        </w:rPr>
      </w:pPr>
      <w:r w:rsidRPr="002E25BD">
        <w:rPr>
          <w:rFonts w:ascii="Times New Roman" w:hAnsi="Times New Roman" w:cs="Times New Roman"/>
          <w:sz w:val="28"/>
          <w:szCs w:val="28"/>
        </w:rPr>
        <w:t>Федеральный закон от 3 августа 2018 г. № 299-ФЗ «О внесении изменений в Федеральный закон «Об основах охраны здоровья граждан в Российской Федерации» (в части финансового обеспечения лечения редких (орфанных) заболеваний);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2E25BD">
        <w:rPr>
          <w:rFonts w:ascii="Times New Roman" w:hAnsi="Times New Roman" w:cs="Times New Roman"/>
          <w:sz w:val="28"/>
          <w:szCs w:val="28"/>
        </w:rPr>
        <w:t xml:space="preserve"> Федеральный закон от 3 августа 2018 г. № 314-ФЗ «О внесении изменений в Федеральный закон «О предупреждении распространения туберкулеза 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3 августа 2018 г. </w:t>
      </w:r>
      <w:r>
        <w:rPr>
          <w:rFonts w:ascii="Times New Roman" w:hAnsi="Times New Roman" w:cs="Times New Roman"/>
          <w:sz w:val="28"/>
          <w:szCs w:val="28"/>
        </w:rPr>
        <w:t>№ </w:t>
      </w:r>
      <w:r w:rsidRPr="005E58C6">
        <w:rPr>
          <w:rFonts w:ascii="Times New Roman" w:hAnsi="Times New Roman" w:cs="Times New Roman"/>
          <w:sz w:val="28"/>
          <w:szCs w:val="28"/>
        </w:rPr>
        <w:t>323-ФЗ «О внесении изменений в отдельные законодательные акты Российской Федерации по вопросу обращения биомедицинских клеточных продуктов»;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28 ноября 2018 г. </w:t>
      </w:r>
      <w:r>
        <w:rPr>
          <w:rFonts w:ascii="Times New Roman" w:hAnsi="Times New Roman" w:cs="Times New Roman"/>
          <w:sz w:val="28"/>
          <w:szCs w:val="28"/>
        </w:rPr>
        <w:t>№ </w:t>
      </w:r>
      <w:r w:rsidRPr="005E58C6">
        <w:rPr>
          <w:rFonts w:ascii="Times New Roman" w:hAnsi="Times New Roman" w:cs="Times New Roman"/>
          <w:sz w:val="28"/>
          <w:szCs w:val="28"/>
        </w:rPr>
        <w:t>437-ФЗ «О внесении изменений в Федеральный закон «Об обязательном медицинском страховании 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28 ноября 2018 г. </w:t>
      </w:r>
      <w:r>
        <w:rPr>
          <w:rFonts w:ascii="Times New Roman" w:hAnsi="Times New Roman" w:cs="Times New Roman"/>
          <w:sz w:val="28"/>
          <w:szCs w:val="28"/>
        </w:rPr>
        <w:t>№ </w:t>
      </w:r>
      <w:r w:rsidRPr="005E58C6">
        <w:rPr>
          <w:rFonts w:ascii="Times New Roman" w:hAnsi="Times New Roman" w:cs="Times New Roman"/>
          <w:sz w:val="28"/>
          <w:szCs w:val="28"/>
        </w:rPr>
        <w:t>438-ФЗ «О внесении изменений в Федеральный закон «О размере и порядке расчета тарифа страхового взноса на обязательное медицинское страхование неработающего населения» в части определения коэффициента дифференциации и коэффициента удорожания медицинских услуг»;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28 ноября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449-ФЗ «О внесении изменений в отдельные законодательные акты Российской Федерации по вопросу ввода в гражданский оборот лекарственных препаратов для </w:t>
      </w:r>
      <w:r w:rsidRPr="005E58C6">
        <w:rPr>
          <w:rFonts w:ascii="Times New Roman" w:hAnsi="Times New Roman" w:cs="Times New Roman"/>
          <w:sz w:val="28"/>
          <w:szCs w:val="28"/>
        </w:rPr>
        <w:lastRenderedPageBreak/>
        <w:t>медицинского применения»;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25 декабря 2018 г. </w:t>
      </w:r>
      <w:r>
        <w:rPr>
          <w:rFonts w:ascii="Times New Roman" w:hAnsi="Times New Roman" w:cs="Times New Roman"/>
          <w:sz w:val="28"/>
          <w:szCs w:val="28"/>
        </w:rPr>
        <w:t>№ </w:t>
      </w:r>
      <w:r w:rsidRPr="005E58C6">
        <w:rPr>
          <w:rFonts w:ascii="Times New Roman" w:hAnsi="Times New Roman" w:cs="Times New Roman"/>
          <w:sz w:val="28"/>
          <w:szCs w:val="28"/>
        </w:rPr>
        <w:t>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27 декабря 2018 г. </w:t>
      </w:r>
      <w:r>
        <w:rPr>
          <w:rFonts w:ascii="Times New Roman" w:hAnsi="Times New Roman" w:cs="Times New Roman"/>
          <w:sz w:val="28"/>
          <w:szCs w:val="28"/>
        </w:rPr>
        <w:t>№ </w:t>
      </w:r>
      <w:r w:rsidRPr="005E58C6">
        <w:rPr>
          <w:rFonts w:ascii="Times New Roman" w:hAnsi="Times New Roman" w:cs="Times New Roman"/>
          <w:sz w:val="28"/>
          <w:szCs w:val="28"/>
        </w:rPr>
        <w:t>511-ФЗ «О внесении изменений в отдельные законодательные акты Российской Федерации» (в части предоставления Росздравнадзору права на проведение мероприятий по контролю в виде контрольной закупки).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Правительством Российской Федерации принято более 40 постановлений, разработанных Минздравом России, в числе которых: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постановление Правительства Российской Федерации от 23 января 2018</w:t>
      </w:r>
      <w:r w:rsidR="00757202">
        <w:rPr>
          <w:rFonts w:ascii="Times New Roman" w:hAnsi="Times New Roman" w:cs="Times New Roman"/>
          <w:sz w:val="28"/>
          <w:szCs w:val="28"/>
        </w:rPr>
        <w:t xml:space="preserve"> г.</w:t>
      </w:r>
      <w:r w:rsidRPr="005E58C6">
        <w:rPr>
          <w:rFonts w:ascii="Times New Roman" w:hAnsi="Times New Roman" w:cs="Times New Roman"/>
          <w:sz w:val="28"/>
          <w:szCs w:val="28"/>
        </w:rPr>
        <w:t xml:space="preserve"> </w:t>
      </w:r>
      <w:r>
        <w:rPr>
          <w:rFonts w:ascii="Times New Roman" w:hAnsi="Times New Roman" w:cs="Times New Roman"/>
          <w:sz w:val="28"/>
          <w:szCs w:val="28"/>
        </w:rPr>
        <w:t>№ </w:t>
      </w:r>
      <w:r w:rsidRPr="005E58C6">
        <w:rPr>
          <w:rFonts w:ascii="Times New Roman" w:hAnsi="Times New Roman" w:cs="Times New Roman"/>
          <w:sz w:val="28"/>
          <w:szCs w:val="28"/>
        </w:rPr>
        <w:t>49 «Об утверждении Правил реализации биомедицинских клеточных продуктов»;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постановление Правительства Росси</w:t>
      </w:r>
      <w:r>
        <w:rPr>
          <w:rFonts w:ascii="Times New Roman" w:hAnsi="Times New Roman" w:cs="Times New Roman"/>
          <w:sz w:val="28"/>
          <w:szCs w:val="28"/>
        </w:rPr>
        <w:t>йской Федерации от 6 марта 2018 </w:t>
      </w:r>
      <w:r w:rsidRPr="005E58C6">
        <w:rPr>
          <w:rFonts w:ascii="Times New Roman" w:hAnsi="Times New Roman" w:cs="Times New Roman"/>
          <w:sz w:val="28"/>
          <w:szCs w:val="28"/>
        </w:rPr>
        <w:t xml:space="preserve">г. </w:t>
      </w:r>
      <w:r>
        <w:rPr>
          <w:rFonts w:ascii="Times New Roman" w:hAnsi="Times New Roman" w:cs="Times New Roman"/>
          <w:sz w:val="28"/>
          <w:szCs w:val="28"/>
        </w:rPr>
        <w:t>№ </w:t>
      </w:r>
      <w:r w:rsidRPr="005E58C6">
        <w:rPr>
          <w:rFonts w:ascii="Times New Roman" w:hAnsi="Times New Roman" w:cs="Times New Roman"/>
          <w:sz w:val="28"/>
          <w:szCs w:val="28"/>
        </w:rPr>
        <w:t>230 «О проведении эксперимента по оценке гражданами удовлетворенности качеством работы медицинских организаций посредством Единого портала государственных и муниципальных услуг»;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17 марта  2018 г. </w:t>
      </w:r>
      <w:r>
        <w:rPr>
          <w:rFonts w:ascii="Times New Roman" w:hAnsi="Times New Roman" w:cs="Times New Roman"/>
          <w:sz w:val="28"/>
          <w:szCs w:val="28"/>
        </w:rPr>
        <w:t>№ </w:t>
      </w:r>
      <w:r w:rsidRPr="005E58C6">
        <w:rPr>
          <w:rFonts w:ascii="Times New Roman" w:hAnsi="Times New Roman" w:cs="Times New Roman"/>
          <w:sz w:val="28"/>
          <w:szCs w:val="28"/>
        </w:rPr>
        <w:t>292 «Об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12 апреля 2018 г. </w:t>
      </w:r>
      <w:r>
        <w:rPr>
          <w:rFonts w:ascii="Times New Roman" w:hAnsi="Times New Roman" w:cs="Times New Roman"/>
          <w:sz w:val="28"/>
          <w:szCs w:val="28"/>
        </w:rPr>
        <w:t>№ </w:t>
      </w:r>
      <w:r w:rsidRPr="005E58C6">
        <w:rPr>
          <w:rFonts w:ascii="Times New Roman" w:hAnsi="Times New Roman" w:cs="Times New Roman"/>
          <w:sz w:val="28"/>
          <w:szCs w:val="28"/>
        </w:rPr>
        <w:t>446 «Об утверждении Правил предоставления и распределения иных межбюджетных трансфертов, предоставляемых из резервного фонда Правительства Российской Федерации бюджетам субъектов Российской Федерации в целях внедрения в 2018 году медицинских информационных систем, соответствующих устанавливаемым Министерством здравоохранения Российской Федерации требованиям, в медицинских организациях государственной и муниципальной систем здравоохранения, оказывающих первичную медико-санитарную помощь»;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12 апреля 2018 г. </w:t>
      </w:r>
      <w:r>
        <w:rPr>
          <w:rFonts w:ascii="Times New Roman" w:hAnsi="Times New Roman" w:cs="Times New Roman"/>
          <w:sz w:val="28"/>
          <w:szCs w:val="28"/>
        </w:rPr>
        <w:t>№ </w:t>
      </w:r>
      <w:r w:rsidRPr="005E58C6">
        <w:rPr>
          <w:rFonts w:ascii="Times New Roman" w:hAnsi="Times New Roman" w:cs="Times New Roman"/>
          <w:sz w:val="28"/>
          <w:szCs w:val="28"/>
        </w:rPr>
        <w:t xml:space="preserve">447 «Об утверждении Правил взаимодействия иных </w:t>
      </w:r>
      <w:r w:rsidRPr="005E58C6">
        <w:rPr>
          <w:rFonts w:ascii="Times New Roman" w:hAnsi="Times New Roman" w:cs="Times New Roman"/>
          <w:sz w:val="28"/>
          <w:szCs w:val="28"/>
        </w:rPr>
        <w:lastRenderedPageBreak/>
        <w:t>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21 апреля 2018 г. </w:t>
      </w:r>
      <w:r>
        <w:rPr>
          <w:rFonts w:ascii="Times New Roman" w:hAnsi="Times New Roman" w:cs="Times New Roman"/>
          <w:sz w:val="28"/>
          <w:szCs w:val="28"/>
        </w:rPr>
        <w:t>№ </w:t>
      </w:r>
      <w:r w:rsidRPr="005E58C6">
        <w:rPr>
          <w:rFonts w:ascii="Times New Roman" w:hAnsi="Times New Roman" w:cs="Times New Roman"/>
          <w:sz w:val="28"/>
          <w:szCs w:val="28"/>
        </w:rPr>
        <w:t>480 «Об утверждении Правил вывоза из Российской Федерации биологического материала,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5 мая 2018 г. </w:t>
      </w:r>
      <w:r>
        <w:rPr>
          <w:rFonts w:ascii="Times New Roman" w:hAnsi="Times New Roman" w:cs="Times New Roman"/>
          <w:sz w:val="28"/>
          <w:szCs w:val="28"/>
        </w:rPr>
        <w:t>№ </w:t>
      </w:r>
      <w:r w:rsidRPr="005E58C6">
        <w:rPr>
          <w:rFonts w:ascii="Times New Roman" w:hAnsi="Times New Roman" w:cs="Times New Roman"/>
          <w:sz w:val="28"/>
          <w:szCs w:val="28"/>
        </w:rPr>
        <w:t>555 «О единой государственной информационной системе в сфере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14 декабря 2018 г. </w:t>
      </w:r>
      <w:r>
        <w:rPr>
          <w:rFonts w:ascii="Times New Roman" w:hAnsi="Times New Roman" w:cs="Times New Roman"/>
          <w:sz w:val="28"/>
          <w:szCs w:val="28"/>
        </w:rPr>
        <w:t>№ </w:t>
      </w:r>
      <w:r w:rsidRPr="005E58C6">
        <w:rPr>
          <w:rFonts w:ascii="Times New Roman" w:hAnsi="Times New Roman" w:cs="Times New Roman"/>
          <w:sz w:val="28"/>
          <w:szCs w:val="28"/>
        </w:rPr>
        <w:t>1556 «Об утверждении Положения о системе мониторинга движения лекарственных препаратов для медицинского применения».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издано более 90 приказов Минздрава России</w:t>
      </w:r>
      <w:r w:rsidR="00757202">
        <w:rPr>
          <w:rFonts w:ascii="Times New Roman" w:hAnsi="Times New Roman" w:cs="Times New Roman"/>
          <w:sz w:val="28"/>
          <w:szCs w:val="28"/>
        </w:rPr>
        <w:t xml:space="preserve"> нормативного характера.</w:t>
      </w: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757202" w:rsidRDefault="00757202" w:rsidP="005E58C6">
      <w:pPr>
        <w:widowControl w:val="0"/>
        <w:spacing w:after="0" w:line="312" w:lineRule="auto"/>
        <w:ind w:firstLine="709"/>
        <w:jc w:val="both"/>
        <w:rPr>
          <w:rFonts w:ascii="Times New Roman" w:hAnsi="Times New Roman" w:cs="Times New Roman"/>
          <w:sz w:val="28"/>
          <w:szCs w:val="28"/>
        </w:rPr>
      </w:pPr>
    </w:p>
    <w:p w:rsidR="00757202" w:rsidRDefault="00757202" w:rsidP="005E58C6">
      <w:pPr>
        <w:widowControl w:val="0"/>
        <w:spacing w:after="0" w:line="312" w:lineRule="auto"/>
        <w:ind w:firstLine="709"/>
        <w:jc w:val="both"/>
        <w:rPr>
          <w:rFonts w:ascii="Times New Roman" w:hAnsi="Times New Roman" w:cs="Times New Roman"/>
          <w:sz w:val="28"/>
          <w:szCs w:val="28"/>
        </w:rPr>
      </w:pPr>
    </w:p>
    <w:p w:rsidR="00757202" w:rsidRDefault="00757202" w:rsidP="005E58C6">
      <w:pPr>
        <w:widowControl w:val="0"/>
        <w:spacing w:after="0" w:line="312" w:lineRule="auto"/>
        <w:ind w:firstLine="709"/>
        <w:jc w:val="both"/>
        <w:rPr>
          <w:rFonts w:ascii="Times New Roman" w:hAnsi="Times New Roman" w:cs="Times New Roman"/>
          <w:sz w:val="28"/>
          <w:szCs w:val="28"/>
        </w:rPr>
      </w:pPr>
    </w:p>
    <w:p w:rsidR="00757202" w:rsidRDefault="00757202" w:rsidP="005E58C6">
      <w:pPr>
        <w:widowControl w:val="0"/>
        <w:spacing w:after="0" w:line="312" w:lineRule="auto"/>
        <w:ind w:firstLine="709"/>
        <w:jc w:val="both"/>
        <w:rPr>
          <w:rFonts w:ascii="Times New Roman" w:hAnsi="Times New Roman" w:cs="Times New Roman"/>
          <w:sz w:val="28"/>
          <w:szCs w:val="28"/>
        </w:rPr>
      </w:pPr>
    </w:p>
    <w:p w:rsidR="00757202" w:rsidRDefault="00757202" w:rsidP="005E58C6">
      <w:pPr>
        <w:widowControl w:val="0"/>
        <w:spacing w:after="0" w:line="312" w:lineRule="auto"/>
        <w:ind w:firstLine="709"/>
        <w:jc w:val="both"/>
        <w:rPr>
          <w:rFonts w:ascii="Times New Roman" w:hAnsi="Times New Roman" w:cs="Times New Roman"/>
          <w:sz w:val="28"/>
          <w:szCs w:val="28"/>
        </w:rPr>
      </w:pPr>
    </w:p>
    <w:p w:rsidR="00757202" w:rsidRPr="005E58C6" w:rsidRDefault="00757202" w:rsidP="005E58C6">
      <w:pPr>
        <w:widowControl w:val="0"/>
        <w:spacing w:after="0" w:line="312" w:lineRule="auto"/>
        <w:ind w:firstLine="709"/>
        <w:jc w:val="both"/>
        <w:rPr>
          <w:rFonts w:ascii="Times New Roman" w:hAnsi="Times New Roman" w:cs="Times New Roman"/>
          <w:sz w:val="28"/>
          <w:szCs w:val="28"/>
        </w:rPr>
      </w:pPr>
    </w:p>
    <w:p w:rsidR="005E58C6" w:rsidRPr="007D3F54"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b/>
          <w:sz w:val="28"/>
          <w:szCs w:val="28"/>
        </w:rPr>
      </w:pPr>
      <w:r w:rsidRPr="005E58C6">
        <w:rPr>
          <w:rFonts w:ascii="Times New Roman" w:hAnsi="Times New Roman" w:cs="Times New Roman"/>
          <w:b/>
          <w:sz w:val="28"/>
          <w:szCs w:val="28"/>
        </w:rPr>
        <w:lastRenderedPageBreak/>
        <w:t>Раздел 3. Медико-демографические показатели здоровья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оценке Росстата численность постоянного населения Российской Федерации на 1 января 2019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146,8 млн. человек. В 2018 году за счет роста естественной убыли и снижения миграционного прироста численность населения снизилась на 99,7 тыс. человек или на 0,1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2012–2017 годы рост численности населения был обусловлен миграционным приростом, превышающим естественную убыль.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январь-декабрь 2018 года зафиксирована естественная убыль 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218,4 тыс. человек (за аналогичный период 2017 год естественная убыль</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134,5 тыс. человек). Показатель естественной убыли населения за 12 месяцев 2018 года составил 1,5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 в аналогичном периоде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0,9.</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Естественный прирост населения наблюдается в 21 субъекте Российской Федерации, наиболее существенный в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16,0,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12,8,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11,6,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10,7,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8,7.  </w:t>
      </w:r>
    </w:p>
    <w:p w:rsidR="005E58C6" w:rsidRPr="007D3F54" w:rsidRDefault="005E58C6" w:rsidP="002E25BD">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связи с продолжающимся сокращением численности женщин активного репродуктивного возраста, показатель рождаемости снизился на 5,2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11,5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 (рис. 3.1.).</w:t>
      </w:r>
    </w:p>
    <w:p w:rsidR="005E58C6" w:rsidRPr="005E58C6" w:rsidRDefault="005E58C6" w:rsidP="005E58C6">
      <w:pPr>
        <w:widowControl w:val="0"/>
        <w:spacing w:after="0" w:line="312" w:lineRule="auto"/>
        <w:jc w:val="both"/>
        <w:rPr>
          <w:rFonts w:ascii="Times New Roman" w:hAnsi="Times New Roman" w:cs="Times New Roman"/>
          <w:sz w:val="28"/>
          <w:szCs w:val="28"/>
        </w:rPr>
      </w:pPr>
      <w:r w:rsidRPr="005E58C6">
        <w:rPr>
          <w:rFonts w:ascii="Times New Roman" w:hAnsi="Times New Roman" w:cs="Times New Roman"/>
          <w:noProof/>
          <w:sz w:val="28"/>
          <w:szCs w:val="28"/>
          <w:highlight w:val="lightGray"/>
          <w:lang w:eastAsia="ru-RU"/>
        </w:rPr>
        <w:drawing>
          <wp:inline distT="0" distB="0" distL="0" distR="0">
            <wp:extent cx="5940425" cy="2754120"/>
            <wp:effectExtent l="19050" t="0" r="22225" b="813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i/>
          <w:sz w:val="28"/>
          <w:szCs w:val="28"/>
        </w:rPr>
        <w:t xml:space="preserve">Рис. 3.1. Динамика рождаемости и смертности (на </w:t>
      </w:r>
      <w:r w:rsidR="00051685">
        <w:rPr>
          <w:rFonts w:ascii="Times New Roman" w:hAnsi="Times New Roman" w:cs="Times New Roman"/>
          <w:i/>
          <w:sz w:val="28"/>
          <w:szCs w:val="28"/>
        </w:rPr>
        <w:t>1 000</w:t>
      </w:r>
      <w:r w:rsidRPr="005E58C6">
        <w:rPr>
          <w:rFonts w:ascii="Times New Roman" w:hAnsi="Times New Roman" w:cs="Times New Roman"/>
          <w:i/>
          <w:sz w:val="28"/>
          <w:szCs w:val="28"/>
        </w:rPr>
        <w:t xml:space="preserve"> 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12 месяцев 2018 года родилось 1 599 316 человек, что на 90 568 человек меньше (на 5,4</w:t>
      </w:r>
      <w:r w:rsidR="00000709">
        <w:rPr>
          <w:rFonts w:ascii="Times New Roman" w:hAnsi="Times New Roman" w:cs="Times New Roman"/>
          <w:sz w:val="28"/>
          <w:szCs w:val="28"/>
        </w:rPr>
        <w:t> %</w:t>
      </w:r>
      <w:r w:rsidRPr="005E58C6">
        <w:rPr>
          <w:rFonts w:ascii="Times New Roman" w:hAnsi="Times New Roman" w:cs="Times New Roman"/>
          <w:sz w:val="28"/>
          <w:szCs w:val="28"/>
        </w:rPr>
        <w:t>), чем за аналогичный период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1 689 884 человека.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Снижение рождаемости отмечено в 83 субъектах Российской Федерации. Наибольшее снижение рождаемости зарегистрировано  в Магаданской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11,9</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Коми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11,3</w:t>
      </w:r>
      <w:r w:rsidR="00000709">
        <w:rPr>
          <w:rFonts w:ascii="Times New Roman" w:hAnsi="Times New Roman" w:cs="Times New Roman"/>
          <w:sz w:val="28"/>
          <w:szCs w:val="28"/>
        </w:rPr>
        <w:t> %</w:t>
      </w:r>
      <w:r w:rsidRPr="005E58C6">
        <w:rPr>
          <w:rFonts w:ascii="Times New Roman" w:hAnsi="Times New Roman" w:cs="Times New Roman"/>
          <w:sz w:val="28"/>
          <w:szCs w:val="28"/>
        </w:rPr>
        <w:t>,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10,5</w:t>
      </w:r>
      <w:r w:rsidR="00000709">
        <w:rPr>
          <w:rFonts w:ascii="Times New Roman" w:hAnsi="Times New Roman" w:cs="Times New Roman"/>
          <w:sz w:val="28"/>
          <w:szCs w:val="28"/>
        </w:rPr>
        <w:t> %</w:t>
      </w:r>
      <w:r w:rsidRPr="005E58C6">
        <w:rPr>
          <w:rFonts w:ascii="Times New Roman" w:hAnsi="Times New Roman" w:cs="Times New Roman"/>
          <w:sz w:val="28"/>
          <w:szCs w:val="28"/>
        </w:rPr>
        <w:t>, Ставропольском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w:t>
      </w:r>
      <w:r w:rsidR="00000709">
        <w:rPr>
          <w:rFonts w:ascii="Times New Roman" w:hAnsi="Times New Roman" w:cs="Times New Roman"/>
          <w:sz w:val="28"/>
          <w:szCs w:val="28"/>
        </w:rPr>
        <w:t> %</w:t>
      </w:r>
      <w:r w:rsidRPr="005E58C6">
        <w:rPr>
          <w:rFonts w:ascii="Times New Roman" w:hAnsi="Times New Roman" w:cs="Times New Roman"/>
          <w:sz w:val="28"/>
          <w:szCs w:val="28"/>
        </w:rPr>
        <w:t>, Костромской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9,3</w:t>
      </w:r>
      <w:r w:rsidR="00000709">
        <w:rPr>
          <w:rFonts w:ascii="Times New Roman" w:hAnsi="Times New Roman" w:cs="Times New Roman"/>
          <w:sz w:val="28"/>
          <w:szCs w:val="28"/>
        </w:rPr>
        <w:t> %</w:t>
      </w:r>
      <w:r w:rsidRPr="005E58C6">
        <w:rPr>
          <w:rFonts w:ascii="Times New Roman" w:hAnsi="Times New Roman" w:cs="Times New Roman"/>
          <w:sz w:val="28"/>
          <w:szCs w:val="28"/>
        </w:rPr>
        <w:t>. Рост рождаемости отмечается в 2 субъектах Российской Федерации: Республике Калмыкия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0,9</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Северная Осетия–Алания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рождаемости отмечены в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20,4;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20,2;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15,8;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15,5; Республике Алтай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15,2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рождаемости отмечены в Ленинградской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7,7, Тамбовской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8,0, Республике Мордовия, Смоленской и Тульской областях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8,3, Пензенской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8,6, Ивановской и Саратовской областях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9,0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Показатель </w:t>
      </w:r>
      <w:r w:rsidRPr="00051685">
        <w:rPr>
          <w:rFonts w:ascii="Times New Roman" w:hAnsi="Times New Roman" w:cs="Times New Roman"/>
          <w:b/>
          <w:sz w:val="28"/>
          <w:szCs w:val="28"/>
        </w:rPr>
        <w:t>младенческой смертности</w:t>
      </w:r>
      <w:r w:rsidRPr="005E58C6">
        <w:rPr>
          <w:rFonts w:ascii="Times New Roman" w:hAnsi="Times New Roman" w:cs="Times New Roman"/>
          <w:sz w:val="28"/>
          <w:szCs w:val="28"/>
        </w:rPr>
        <w:t xml:space="preserve"> снизился на 7,3</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w:t>
      </w:r>
      <w:r w:rsidRPr="005E58C6">
        <w:rPr>
          <w:rFonts w:ascii="Times New Roman" w:hAnsi="Times New Roman" w:cs="Times New Roman"/>
          <w:sz w:val="28"/>
          <w:szCs w:val="28"/>
        </w:rPr>
        <w:t xml:space="preserve">c 5,5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2017 году до  5,1  в 2018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январь-декабрь  2018 года по сравнению с 2017 годом число детей, умерших в возрасте до 1 года, снизилось на 15,0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на 1 395 детей) и составило   8 171 ребенка,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9 566 детей).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показателя </w:t>
      </w:r>
      <w:r w:rsidRPr="00051685">
        <w:rPr>
          <w:rFonts w:ascii="Times New Roman" w:hAnsi="Times New Roman" w:cs="Times New Roman"/>
          <w:sz w:val="28"/>
          <w:szCs w:val="28"/>
        </w:rPr>
        <w:t>младенческой смертности</w:t>
      </w:r>
      <w:r w:rsidRPr="005E58C6">
        <w:rPr>
          <w:rFonts w:ascii="Times New Roman" w:hAnsi="Times New Roman" w:cs="Times New Roman"/>
          <w:sz w:val="28"/>
          <w:szCs w:val="28"/>
        </w:rPr>
        <w:t xml:space="preserve"> отмечается в 54 субъектах Российской Федерации, наиболее существенное в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4,4 раза, Брянской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2,1 раза, Ярославской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47,5</w:t>
      </w:r>
      <w:r w:rsidR="00000709">
        <w:rPr>
          <w:rFonts w:ascii="Times New Roman" w:hAnsi="Times New Roman" w:cs="Times New Roman"/>
          <w:sz w:val="28"/>
          <w:szCs w:val="28"/>
        </w:rPr>
        <w:t> %</w:t>
      </w:r>
      <w:r w:rsidRPr="005E58C6">
        <w:rPr>
          <w:rFonts w:ascii="Times New Roman" w:hAnsi="Times New Roman" w:cs="Times New Roman"/>
          <w:sz w:val="28"/>
          <w:szCs w:val="28"/>
        </w:rPr>
        <w:t>, в Республике Адыгея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44,8</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40,4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показателя младенческой смертности отмечается в 27 субъектах Российской Федерации, наиболее существенный в Тамбовской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1,5 раза (с 2,4 до 3,7), Курганской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41,3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4,6 до 6,5), Республике Марий Эл</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32,6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4,3 до 5,7), Республике Калмыкия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31,3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4,8 до 6,3), Забайкальском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24,6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5,7 до 7,1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4 субъектах Российской Федерации показатель младенческой смертности не изменился (Воронежской, Московской, Тюменской, Новосибирской областях). </w:t>
      </w:r>
    </w:p>
    <w:p w:rsidR="005E58C6" w:rsidRPr="005E58C6" w:rsidRDefault="005E58C6" w:rsidP="0005168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младенческой смертности отмечаются 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11,1;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9,5; </w:t>
      </w:r>
      <w:r w:rsidRPr="005E58C6">
        <w:rPr>
          <w:rFonts w:ascii="Times New Roman" w:hAnsi="Times New Roman" w:cs="Times New Roman"/>
          <w:sz w:val="28"/>
          <w:szCs w:val="28"/>
        </w:rPr>
        <w:lastRenderedPageBreak/>
        <w:t>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9,4;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8,3; Республике Алтай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7,5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младенческой смертности отмечены в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 Сахалинской области, Ханты–Мансийском автономном округе и г. Севастополе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2,8, Ярославской и Ленинградской областях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 Республике Мордовия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 Магаданской и Ивановской областях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3,4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смертности населения не изменился</w:t>
      </w:r>
      <w:r w:rsidR="00051685">
        <w:rPr>
          <w:rFonts w:ascii="Times New Roman" w:hAnsi="Times New Roman" w:cs="Times New Roman"/>
          <w:sz w:val="28"/>
          <w:szCs w:val="28"/>
        </w:rPr>
        <w:t xml:space="preserve"> – 12,4 на 1 000</w:t>
      </w:r>
      <w:r w:rsidRPr="005E58C6">
        <w:rPr>
          <w:rFonts w:ascii="Times New Roman" w:hAnsi="Times New Roman" w:cs="Times New Roman"/>
          <w:sz w:val="28"/>
          <w:szCs w:val="28"/>
        </w:rPr>
        <w:t xml:space="preserve">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январь-декабрь 2018 года умерло 1</w:t>
      </w:r>
      <w:r w:rsidR="00051685">
        <w:rPr>
          <w:rFonts w:ascii="Times New Roman" w:hAnsi="Times New Roman" w:cs="Times New Roman"/>
          <w:sz w:val="28"/>
          <w:szCs w:val="28"/>
        </w:rPr>
        <w:t> </w:t>
      </w:r>
      <w:r w:rsidRPr="005E58C6">
        <w:rPr>
          <w:rFonts w:ascii="Times New Roman" w:hAnsi="Times New Roman" w:cs="Times New Roman"/>
          <w:sz w:val="28"/>
          <w:szCs w:val="28"/>
        </w:rPr>
        <w:t>817</w:t>
      </w:r>
      <w:r w:rsidR="00051685">
        <w:rPr>
          <w:rFonts w:ascii="Times New Roman" w:hAnsi="Times New Roman" w:cs="Times New Roman"/>
          <w:sz w:val="28"/>
          <w:szCs w:val="28"/>
        </w:rPr>
        <w:t> </w:t>
      </w:r>
      <w:r w:rsidRPr="005E58C6">
        <w:rPr>
          <w:rFonts w:ascii="Times New Roman" w:hAnsi="Times New Roman" w:cs="Times New Roman"/>
          <w:sz w:val="28"/>
          <w:szCs w:val="28"/>
        </w:rPr>
        <w:t>710 человек, что на 6</w:t>
      </w:r>
      <w:r w:rsidR="00051685">
        <w:rPr>
          <w:rFonts w:ascii="Times New Roman" w:hAnsi="Times New Roman" w:cs="Times New Roman"/>
          <w:sz w:val="28"/>
          <w:szCs w:val="28"/>
        </w:rPr>
        <w:t> </w:t>
      </w:r>
      <w:r w:rsidRPr="005E58C6">
        <w:rPr>
          <w:rFonts w:ascii="Times New Roman" w:hAnsi="Times New Roman" w:cs="Times New Roman"/>
          <w:sz w:val="28"/>
          <w:szCs w:val="28"/>
        </w:rPr>
        <w:t>630 чел</w:t>
      </w:r>
      <w:r w:rsidR="00051685">
        <w:rPr>
          <w:rFonts w:ascii="Times New Roman" w:hAnsi="Times New Roman" w:cs="Times New Roman"/>
          <w:sz w:val="28"/>
          <w:szCs w:val="28"/>
        </w:rPr>
        <w:t xml:space="preserve">овек </w:t>
      </w:r>
      <w:r w:rsidRPr="005E58C6">
        <w:rPr>
          <w:rFonts w:ascii="Times New Roman" w:hAnsi="Times New Roman" w:cs="Times New Roman"/>
          <w:sz w:val="28"/>
          <w:szCs w:val="28"/>
        </w:rPr>
        <w:t>или на 0,4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меньше, чем за аналогичный период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1 824 340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январе-декабре 2018 года снижение показателя смертности отмечается в 39 субъектах Российской Федерации, наиболее существенное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8,7</w:t>
      </w:r>
      <w:r w:rsidR="00000709">
        <w:rPr>
          <w:rFonts w:ascii="Times New Roman" w:hAnsi="Times New Roman" w:cs="Times New Roman"/>
          <w:sz w:val="28"/>
          <w:szCs w:val="28"/>
        </w:rPr>
        <w:t> %</w:t>
      </w:r>
      <w:r w:rsidRPr="005E58C6">
        <w:rPr>
          <w:rFonts w:ascii="Times New Roman" w:hAnsi="Times New Roman" w:cs="Times New Roman"/>
          <w:sz w:val="28"/>
          <w:szCs w:val="28"/>
        </w:rPr>
        <w:t>,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8,2</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6,3</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5,9</w:t>
      </w:r>
      <w:r w:rsidR="00000709">
        <w:rPr>
          <w:rFonts w:ascii="Times New Roman" w:hAnsi="Times New Roman" w:cs="Times New Roman"/>
          <w:sz w:val="28"/>
          <w:szCs w:val="28"/>
        </w:rPr>
        <w:t> %</w:t>
      </w:r>
      <w:r w:rsidRPr="005E58C6">
        <w:rPr>
          <w:rFonts w:ascii="Times New Roman" w:hAnsi="Times New Roman" w:cs="Times New Roman"/>
          <w:sz w:val="28"/>
          <w:szCs w:val="28"/>
        </w:rPr>
        <w:t>, Карачаево-Черкесской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показателя смертности отмечается в 32 субъектах Российской Федерации, наиболее существенный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22,0</w:t>
      </w:r>
      <w:r w:rsidR="00000709">
        <w:rPr>
          <w:rFonts w:ascii="Times New Roman" w:hAnsi="Times New Roman" w:cs="Times New Roman"/>
          <w:sz w:val="28"/>
          <w:szCs w:val="28"/>
        </w:rPr>
        <w:t> %</w:t>
      </w:r>
      <w:r w:rsidRPr="005E58C6">
        <w:rPr>
          <w:rFonts w:ascii="Times New Roman" w:hAnsi="Times New Roman" w:cs="Times New Roman"/>
          <w:sz w:val="28"/>
          <w:szCs w:val="28"/>
        </w:rPr>
        <w:t>,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5,9</w:t>
      </w:r>
      <w:r w:rsidR="00000709">
        <w:rPr>
          <w:rFonts w:ascii="Times New Roman" w:hAnsi="Times New Roman" w:cs="Times New Roman"/>
          <w:sz w:val="28"/>
          <w:szCs w:val="28"/>
        </w:rPr>
        <w:t> %</w:t>
      </w:r>
      <w:r w:rsidRPr="005E58C6">
        <w:rPr>
          <w:rFonts w:ascii="Times New Roman" w:hAnsi="Times New Roman" w:cs="Times New Roman"/>
          <w:sz w:val="28"/>
          <w:szCs w:val="28"/>
        </w:rPr>
        <w:t>, Забайкальском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5,2</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5,0</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Алтай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w:t>
      </w:r>
      <w:r w:rsidR="00000709">
        <w:rPr>
          <w:rFonts w:ascii="Times New Roman" w:hAnsi="Times New Roman" w:cs="Times New Roman"/>
          <w:sz w:val="28"/>
          <w:szCs w:val="28"/>
        </w:rPr>
        <w:t> %</w:t>
      </w:r>
      <w:r w:rsidRPr="005E58C6">
        <w:rPr>
          <w:rFonts w:ascii="Times New Roman" w:hAnsi="Times New Roman" w:cs="Times New Roman"/>
          <w:sz w:val="28"/>
          <w:szCs w:val="28"/>
        </w:rPr>
        <w:t>. В 14 субъектах Российской Федерации показатель смертности не изменился.</w:t>
      </w:r>
    </w:p>
    <w:p w:rsidR="005E58C6" w:rsidRPr="005E58C6" w:rsidRDefault="005E58C6" w:rsidP="0005168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отмечены в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4,2,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4,7,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4,8, Ханты-Мансийском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6,2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отмечались: в Тверской и Псковской областях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16,8, Новгородской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16,5, Тульской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16,2, Ивановской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16,0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структуре причин смерти первое место занимают болезни системы кровообращения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46,3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573,6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1,9</w:t>
      </w:r>
      <w:r w:rsidR="00000709">
        <w:rPr>
          <w:rFonts w:ascii="Times New Roman" w:hAnsi="Times New Roman" w:cs="Times New Roman"/>
          <w:sz w:val="28"/>
          <w:szCs w:val="28"/>
        </w:rPr>
        <w:t> %</w:t>
      </w:r>
      <w:r w:rsidRPr="005E58C6">
        <w:rPr>
          <w:rFonts w:ascii="Times New Roman" w:hAnsi="Times New Roman" w:cs="Times New Roman"/>
          <w:sz w:val="28"/>
          <w:szCs w:val="28"/>
        </w:rPr>
        <w:t>), на втором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новообразования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196,7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0,1</w:t>
      </w:r>
      <w:r w:rsidR="00000709">
        <w:rPr>
          <w:rFonts w:ascii="Times New Roman" w:hAnsi="Times New Roman" w:cs="Times New Roman"/>
          <w:sz w:val="28"/>
          <w:szCs w:val="28"/>
        </w:rPr>
        <w:t> %</w:t>
      </w:r>
      <w:r w:rsidRPr="005E58C6">
        <w:rPr>
          <w:rFonts w:ascii="Times New Roman" w:hAnsi="Times New Roman" w:cs="Times New Roman"/>
          <w:sz w:val="28"/>
          <w:szCs w:val="28"/>
        </w:rPr>
        <w:t>), на третьем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внешние причины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89,4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5,5</w:t>
      </w:r>
      <w:r w:rsidR="00000709">
        <w:rPr>
          <w:rFonts w:ascii="Times New Roman" w:hAnsi="Times New Roman" w:cs="Times New Roman"/>
          <w:sz w:val="28"/>
          <w:szCs w:val="28"/>
        </w:rPr>
        <w:t> %</w:t>
      </w:r>
      <w:r w:rsidRPr="005E58C6">
        <w:rPr>
          <w:rFonts w:ascii="Times New Roman" w:hAnsi="Times New Roman" w:cs="Times New Roman"/>
          <w:sz w:val="28"/>
          <w:szCs w:val="28"/>
        </w:rPr>
        <w:t>), далее следуют болезни нервной системы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76,8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(рост на 12,3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органов пищеварения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63,4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(рост на 1,6</w:t>
      </w:r>
      <w:r w:rsidR="00000709">
        <w:rPr>
          <w:rFonts w:ascii="Times New Roman" w:hAnsi="Times New Roman" w:cs="Times New Roman"/>
          <w:sz w:val="28"/>
          <w:szCs w:val="28"/>
        </w:rPr>
        <w:t> %</w:t>
      </w:r>
      <w:r w:rsidRPr="005E58C6">
        <w:rPr>
          <w:rFonts w:ascii="Times New Roman" w:hAnsi="Times New Roman" w:cs="Times New Roman"/>
          <w:sz w:val="28"/>
          <w:szCs w:val="28"/>
        </w:rPr>
        <w:t>),  болезни органов дыхания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40,7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1,5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Смертность от </w:t>
      </w:r>
      <w:r w:rsidRPr="00051685">
        <w:rPr>
          <w:rFonts w:ascii="Times New Roman" w:hAnsi="Times New Roman" w:cs="Times New Roman"/>
          <w:b/>
          <w:sz w:val="28"/>
          <w:szCs w:val="28"/>
        </w:rPr>
        <w:t>туберкулеза</w:t>
      </w:r>
      <w:r w:rsidRPr="005E58C6">
        <w:rPr>
          <w:rFonts w:ascii="Times New Roman" w:hAnsi="Times New Roman" w:cs="Times New Roman"/>
          <w:sz w:val="28"/>
          <w:szCs w:val="28"/>
        </w:rPr>
        <w:t xml:space="preserve"> за январь-декабрь 2018 года составила 6,2</w:t>
      </w:r>
      <w:r w:rsidR="00051685">
        <w:rPr>
          <w:rFonts w:ascii="Times New Roman" w:hAnsi="Times New Roman" w:cs="Times New Roman"/>
          <w:sz w:val="28"/>
          <w:szCs w:val="28"/>
        </w:rPr>
        <w:t> </w:t>
      </w:r>
      <w:r w:rsidRPr="005E58C6">
        <w:rPr>
          <w:rFonts w:ascii="Times New Roman" w:hAnsi="Times New Roman" w:cs="Times New Roman"/>
          <w:sz w:val="28"/>
          <w:szCs w:val="28"/>
        </w:rPr>
        <w:t xml:space="preserve">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17,3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аналогичным периодом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смертности от туберкулеза отмечается в 66 субъектах Российской Федерации, наиболее существенное в Карачаево-Черкесской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4,8 раза, Костромской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4,6 раза, Рязанской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2,8 раза,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2,1 раза. В Ненецком автономном округе в январе–декабре 2018 года показатель равен нулю (в январе-декабре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смертности от туберкулеза отмечается в 16 субъектах Российской Федерации, наиболее существенный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Республике Марий Эл</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45,9</w:t>
      </w:r>
      <w:r w:rsidR="00000709">
        <w:rPr>
          <w:rFonts w:ascii="Times New Roman" w:hAnsi="Times New Roman" w:cs="Times New Roman"/>
          <w:sz w:val="28"/>
          <w:szCs w:val="28"/>
        </w:rPr>
        <w:t> %</w:t>
      </w:r>
      <w:r w:rsidRPr="005E58C6">
        <w:rPr>
          <w:rFonts w:ascii="Times New Roman" w:hAnsi="Times New Roman" w:cs="Times New Roman"/>
          <w:sz w:val="28"/>
          <w:szCs w:val="28"/>
        </w:rPr>
        <w:t>, Пензенской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39,3</w:t>
      </w:r>
      <w:r w:rsidR="00000709">
        <w:rPr>
          <w:rFonts w:ascii="Times New Roman" w:hAnsi="Times New Roman" w:cs="Times New Roman"/>
          <w:sz w:val="28"/>
          <w:szCs w:val="28"/>
        </w:rPr>
        <w:t> %</w:t>
      </w:r>
      <w:r w:rsidRPr="005E58C6">
        <w:rPr>
          <w:rFonts w:ascii="Times New Roman" w:hAnsi="Times New Roman" w:cs="Times New Roman"/>
          <w:sz w:val="28"/>
          <w:szCs w:val="28"/>
        </w:rPr>
        <w:t>,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35,1</w:t>
      </w:r>
      <w:r w:rsidR="00000709">
        <w:rPr>
          <w:rFonts w:ascii="Times New Roman" w:hAnsi="Times New Roman" w:cs="Times New Roman"/>
          <w:sz w:val="28"/>
          <w:szCs w:val="28"/>
        </w:rPr>
        <w:t> %</w:t>
      </w:r>
      <w:r w:rsidRPr="005E58C6">
        <w:rPr>
          <w:rFonts w:ascii="Times New Roman" w:hAnsi="Times New Roman" w:cs="Times New Roman"/>
          <w:sz w:val="28"/>
          <w:szCs w:val="28"/>
        </w:rPr>
        <w:t>, Липецкой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26,7</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Мордовия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14,8</w:t>
      </w:r>
      <w:r w:rsidR="00000709">
        <w:rPr>
          <w:rFonts w:ascii="Times New Roman" w:hAnsi="Times New Roman" w:cs="Times New Roman"/>
          <w:sz w:val="28"/>
          <w:szCs w:val="28"/>
        </w:rPr>
        <w:t> %</w:t>
      </w:r>
      <w:r w:rsidRPr="005E58C6">
        <w:rPr>
          <w:rFonts w:ascii="Times New Roman" w:hAnsi="Times New Roman" w:cs="Times New Roman"/>
          <w:sz w:val="28"/>
          <w:szCs w:val="28"/>
        </w:rPr>
        <w:t>. В 3 субъектах Российской Федерации показатель смертности от туберкулеза не изменился  (Саратовская область, республики Алтай и Чувашия).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 туберкулеза отмечены в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40,8;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20,4; Приморском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19,1; Курганской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18,6; Алтайском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18,2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туберкулеза отмечены в Карачаево-Черкесской Республике и Рязанской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0,4, Костромской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0,5, Белгородской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0,6,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0,8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в Ненецком автономном округе  смертность от туберкулеза не отмечена.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Смертность от </w:t>
      </w:r>
      <w:r w:rsidRPr="00051685">
        <w:rPr>
          <w:rFonts w:ascii="Times New Roman" w:hAnsi="Times New Roman" w:cs="Times New Roman"/>
          <w:b/>
          <w:sz w:val="28"/>
          <w:szCs w:val="28"/>
        </w:rPr>
        <w:t xml:space="preserve">новообразований </w:t>
      </w:r>
      <w:r w:rsidRPr="005E58C6">
        <w:rPr>
          <w:rFonts w:ascii="Times New Roman" w:hAnsi="Times New Roman" w:cs="Times New Roman"/>
          <w:sz w:val="28"/>
          <w:szCs w:val="28"/>
        </w:rPr>
        <w:t xml:space="preserve">за январь-декабрь 2018 года составила 196,7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0,1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аналогичным периодом 2017 года -  196,9).</w:t>
      </w:r>
    </w:p>
    <w:p w:rsidR="005E58C6" w:rsidRPr="005E58C6" w:rsidRDefault="005E58C6" w:rsidP="0005168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показателя смертности от новообразований отмечается в </w:t>
      </w:r>
      <w:r w:rsidR="00051685">
        <w:rPr>
          <w:rFonts w:ascii="Times New Roman" w:hAnsi="Times New Roman" w:cs="Times New Roman"/>
          <w:sz w:val="28"/>
          <w:szCs w:val="28"/>
        </w:rPr>
        <w:t>40 </w:t>
      </w:r>
      <w:r w:rsidRPr="005E58C6">
        <w:rPr>
          <w:rFonts w:ascii="Times New Roman" w:hAnsi="Times New Roman" w:cs="Times New Roman"/>
          <w:sz w:val="28"/>
          <w:szCs w:val="28"/>
        </w:rPr>
        <w:t>субъектах Российской Федерации, наиболее существенное в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19,7</w:t>
      </w:r>
      <w:r w:rsidR="00000709">
        <w:rPr>
          <w:rFonts w:ascii="Times New Roman" w:hAnsi="Times New Roman" w:cs="Times New Roman"/>
          <w:sz w:val="28"/>
          <w:szCs w:val="28"/>
        </w:rPr>
        <w:t> %</w:t>
      </w:r>
      <w:r w:rsidRPr="005E58C6">
        <w:rPr>
          <w:rFonts w:ascii="Times New Roman" w:hAnsi="Times New Roman" w:cs="Times New Roman"/>
          <w:sz w:val="28"/>
          <w:szCs w:val="28"/>
        </w:rPr>
        <w:t>,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18,2</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Калмыкия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15,1</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Хакасия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13,8</w:t>
      </w:r>
      <w:r w:rsidR="00000709">
        <w:rPr>
          <w:rFonts w:ascii="Times New Roman" w:hAnsi="Times New Roman" w:cs="Times New Roman"/>
          <w:sz w:val="28"/>
          <w:szCs w:val="28"/>
        </w:rPr>
        <w:t> %</w:t>
      </w:r>
      <w:r w:rsidRPr="005E58C6">
        <w:rPr>
          <w:rFonts w:ascii="Times New Roman" w:hAnsi="Times New Roman" w:cs="Times New Roman"/>
          <w:sz w:val="28"/>
          <w:szCs w:val="28"/>
        </w:rPr>
        <w:t>, Магаданской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Рост показателя смертности от новообразований </w:t>
      </w:r>
      <w:r w:rsidRPr="005E58C6">
        <w:rPr>
          <w:rFonts w:ascii="Times New Roman" w:hAnsi="Times New Roman" w:cs="Times New Roman"/>
          <w:sz w:val="28"/>
          <w:szCs w:val="28"/>
        </w:rPr>
        <w:lastRenderedPageBreak/>
        <w:t>отмечается в 45 субъектах Российской Федерации, наиболее существенный в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26,9</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24,1</w:t>
      </w:r>
      <w:r w:rsidR="00000709">
        <w:rPr>
          <w:rFonts w:ascii="Times New Roman" w:hAnsi="Times New Roman" w:cs="Times New Roman"/>
          <w:sz w:val="28"/>
          <w:szCs w:val="28"/>
        </w:rPr>
        <w:t> %</w:t>
      </w:r>
      <w:r w:rsidRPr="005E58C6">
        <w:rPr>
          <w:rFonts w:ascii="Times New Roman" w:hAnsi="Times New Roman" w:cs="Times New Roman"/>
          <w:sz w:val="28"/>
          <w:szCs w:val="28"/>
        </w:rPr>
        <w:t>, Красноярском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20,6</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12,4</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 новообразований отмечаются в Орловской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266,1; Тульской области</w:t>
      </w:r>
      <w:r w:rsidR="00051685">
        <w:rPr>
          <w:rFonts w:ascii="Times New Roman" w:hAnsi="Times New Roman" w:cs="Times New Roman"/>
          <w:sz w:val="28"/>
          <w:szCs w:val="28"/>
        </w:rPr>
        <w:t xml:space="preserve"> – 263,7; в г. </w:t>
      </w:r>
      <w:r w:rsidRPr="005E58C6">
        <w:rPr>
          <w:rFonts w:ascii="Times New Roman" w:hAnsi="Times New Roman" w:cs="Times New Roman"/>
          <w:sz w:val="28"/>
          <w:szCs w:val="28"/>
        </w:rPr>
        <w:t>Севастополе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255,0; Курганской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251,7; Тверской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249,9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новообразований отмечены в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51,7,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68,1,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74,7,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85,0,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109,9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Смертность от </w:t>
      </w:r>
      <w:r w:rsidRPr="00051685">
        <w:rPr>
          <w:rFonts w:ascii="Times New Roman" w:hAnsi="Times New Roman" w:cs="Times New Roman"/>
          <w:b/>
          <w:sz w:val="28"/>
          <w:szCs w:val="28"/>
        </w:rPr>
        <w:t>болезней системы кровообращения</w:t>
      </w:r>
      <w:r w:rsidRPr="005E58C6">
        <w:rPr>
          <w:rFonts w:ascii="Times New Roman" w:hAnsi="Times New Roman" w:cs="Times New Roman"/>
          <w:sz w:val="28"/>
          <w:szCs w:val="28"/>
        </w:rPr>
        <w:t xml:space="preserve"> за январь-декабрь 2018 года составила 573,6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1,9</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w:t>
      </w:r>
      <w:r w:rsidRPr="005E58C6">
        <w:rPr>
          <w:rFonts w:ascii="Times New Roman" w:hAnsi="Times New Roman" w:cs="Times New Roman"/>
          <w:sz w:val="28"/>
          <w:szCs w:val="28"/>
        </w:rPr>
        <w:t>по сравнению с аналогичным периодом 2017 года -  584,7).</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показателя смертности от болезней системы кровообращения отмечается в 48 субъектах Российской Федерации, наиболее существенное в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24,2</w:t>
      </w:r>
      <w:r w:rsidR="00000709">
        <w:rPr>
          <w:rFonts w:ascii="Times New Roman" w:hAnsi="Times New Roman" w:cs="Times New Roman"/>
          <w:sz w:val="28"/>
          <w:szCs w:val="28"/>
        </w:rPr>
        <w:t> %</w:t>
      </w:r>
      <w:r w:rsidRPr="005E58C6">
        <w:rPr>
          <w:rFonts w:ascii="Times New Roman" w:hAnsi="Times New Roman" w:cs="Times New Roman"/>
          <w:sz w:val="28"/>
          <w:szCs w:val="28"/>
        </w:rPr>
        <w:t>, Тверской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17,1</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Крым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17,0</w:t>
      </w:r>
      <w:r w:rsidR="00000709">
        <w:rPr>
          <w:rFonts w:ascii="Times New Roman" w:hAnsi="Times New Roman" w:cs="Times New Roman"/>
          <w:sz w:val="28"/>
          <w:szCs w:val="28"/>
        </w:rPr>
        <w:t> %</w:t>
      </w:r>
      <w:r w:rsidRPr="005E58C6">
        <w:rPr>
          <w:rFonts w:ascii="Times New Roman" w:hAnsi="Times New Roman" w:cs="Times New Roman"/>
          <w:sz w:val="28"/>
          <w:szCs w:val="28"/>
        </w:rPr>
        <w:t>, Рязанской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15,7</w:t>
      </w:r>
      <w:r w:rsidR="00000709">
        <w:rPr>
          <w:rFonts w:ascii="Times New Roman" w:hAnsi="Times New Roman" w:cs="Times New Roman"/>
          <w:sz w:val="28"/>
          <w:szCs w:val="28"/>
        </w:rPr>
        <w:t> %</w:t>
      </w:r>
      <w:r w:rsidRPr="005E58C6">
        <w:rPr>
          <w:rFonts w:ascii="Times New Roman" w:hAnsi="Times New Roman" w:cs="Times New Roman"/>
          <w:sz w:val="28"/>
          <w:szCs w:val="28"/>
        </w:rPr>
        <w:t>,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14,0</w:t>
      </w:r>
      <w:r w:rsidR="00000709">
        <w:rPr>
          <w:rFonts w:ascii="Times New Roman" w:hAnsi="Times New Roman" w:cs="Times New Roman"/>
          <w:sz w:val="28"/>
          <w:szCs w:val="28"/>
        </w:rPr>
        <w:t> %</w:t>
      </w:r>
      <w:r w:rsidRPr="005E58C6">
        <w:rPr>
          <w:rFonts w:ascii="Times New Roman" w:hAnsi="Times New Roman" w:cs="Times New Roman"/>
          <w:sz w:val="28"/>
          <w:szCs w:val="28"/>
        </w:rPr>
        <w:t>. Рост смертности от болезней системы кровообращения отмечается в 37 субъектах Российской Федерации, наиболее существенный 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17,0</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16,1</w:t>
      </w:r>
      <w:r w:rsidR="00000709">
        <w:rPr>
          <w:rFonts w:ascii="Times New Roman" w:hAnsi="Times New Roman" w:cs="Times New Roman"/>
          <w:sz w:val="28"/>
          <w:szCs w:val="28"/>
        </w:rPr>
        <w:t> %</w:t>
      </w:r>
      <w:r w:rsidRPr="005E58C6">
        <w:rPr>
          <w:rFonts w:ascii="Times New Roman" w:hAnsi="Times New Roman" w:cs="Times New Roman"/>
          <w:sz w:val="28"/>
          <w:szCs w:val="28"/>
        </w:rPr>
        <w:t>, Красноярском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15,8</w:t>
      </w:r>
      <w:r w:rsidR="00000709">
        <w:rPr>
          <w:rFonts w:ascii="Times New Roman" w:hAnsi="Times New Roman" w:cs="Times New Roman"/>
          <w:sz w:val="28"/>
          <w:szCs w:val="28"/>
        </w:rPr>
        <w:t> %</w:t>
      </w:r>
      <w:r w:rsidRPr="005E58C6">
        <w:rPr>
          <w:rFonts w:ascii="Times New Roman" w:hAnsi="Times New Roman" w:cs="Times New Roman"/>
          <w:sz w:val="28"/>
          <w:szCs w:val="28"/>
        </w:rPr>
        <w:t>, Амурской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13,7</w:t>
      </w:r>
      <w:r w:rsidR="00000709">
        <w:rPr>
          <w:rFonts w:ascii="Times New Roman" w:hAnsi="Times New Roman" w:cs="Times New Roman"/>
          <w:sz w:val="28"/>
          <w:szCs w:val="28"/>
        </w:rPr>
        <w:t> %</w:t>
      </w:r>
      <w:r w:rsidRPr="005E58C6">
        <w:rPr>
          <w:rFonts w:ascii="Times New Roman" w:hAnsi="Times New Roman" w:cs="Times New Roman"/>
          <w:sz w:val="28"/>
          <w:szCs w:val="28"/>
        </w:rPr>
        <w:t>, 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 болезней системы кровообращения отмечаются в Псковской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1 031,3; Орловской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910,6; Новгородской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895,3; Владимирской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804,1;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766,1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болезней системы кровообращения отмечены в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132,1,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192,8,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196,3,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201,0, Ханты-Мансийском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254,9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Смертность от </w:t>
      </w:r>
      <w:r w:rsidRPr="00051685">
        <w:rPr>
          <w:rFonts w:ascii="Times New Roman" w:hAnsi="Times New Roman" w:cs="Times New Roman"/>
          <w:b/>
          <w:sz w:val="28"/>
          <w:szCs w:val="28"/>
        </w:rPr>
        <w:t>болезней органов дыхания</w:t>
      </w:r>
      <w:r w:rsidRPr="005E58C6">
        <w:rPr>
          <w:rFonts w:ascii="Times New Roman" w:hAnsi="Times New Roman" w:cs="Times New Roman"/>
          <w:sz w:val="28"/>
          <w:szCs w:val="28"/>
        </w:rPr>
        <w:t xml:space="preserve"> за январь-декабрь 2018 года составила 40,7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1,5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w:t>
      </w:r>
      <w:r w:rsidRPr="005E58C6">
        <w:rPr>
          <w:rFonts w:ascii="Times New Roman" w:hAnsi="Times New Roman" w:cs="Times New Roman"/>
          <w:sz w:val="28"/>
          <w:szCs w:val="28"/>
        </w:rPr>
        <w:lastRenderedPageBreak/>
        <w:t>аналогичным периодом 2017 года -  41,3).</w:t>
      </w:r>
    </w:p>
    <w:p w:rsidR="005E58C6" w:rsidRPr="005E58C6" w:rsidRDefault="005E58C6" w:rsidP="0005168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показателя смертности от болезней органов дыхания отмечается в 42 субъектах Российской Федерации, наиболее существенное в г</w:t>
      </w:r>
      <w:r w:rsidR="00051685">
        <w:rPr>
          <w:rFonts w:ascii="Times New Roman" w:hAnsi="Times New Roman" w:cs="Times New Roman"/>
          <w:sz w:val="28"/>
          <w:szCs w:val="28"/>
        </w:rPr>
        <w:t>. </w:t>
      </w:r>
      <w:r w:rsidRPr="005E58C6">
        <w:rPr>
          <w:rFonts w:ascii="Times New Roman" w:hAnsi="Times New Roman" w:cs="Times New Roman"/>
          <w:sz w:val="28"/>
          <w:szCs w:val="28"/>
        </w:rPr>
        <w:t>Санкт-Петербурге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24,9</w:t>
      </w:r>
      <w:r w:rsidR="00000709">
        <w:rPr>
          <w:rFonts w:ascii="Times New Roman" w:hAnsi="Times New Roman" w:cs="Times New Roman"/>
          <w:sz w:val="28"/>
          <w:szCs w:val="28"/>
        </w:rPr>
        <w:t> %</w:t>
      </w:r>
      <w:r w:rsidRPr="005E58C6">
        <w:rPr>
          <w:rFonts w:ascii="Times New Roman" w:hAnsi="Times New Roman" w:cs="Times New Roman"/>
          <w:sz w:val="28"/>
          <w:szCs w:val="28"/>
        </w:rPr>
        <w:t>, в Московской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23,0</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22,0</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Хакасия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21,4</w:t>
      </w:r>
      <w:r w:rsidR="00000709">
        <w:rPr>
          <w:rFonts w:ascii="Times New Roman" w:hAnsi="Times New Roman" w:cs="Times New Roman"/>
          <w:sz w:val="28"/>
          <w:szCs w:val="28"/>
        </w:rPr>
        <w:t> %</w:t>
      </w:r>
      <w:r w:rsidRPr="005E58C6">
        <w:rPr>
          <w:rFonts w:ascii="Times New Roman" w:hAnsi="Times New Roman" w:cs="Times New Roman"/>
          <w:sz w:val="28"/>
          <w:szCs w:val="28"/>
        </w:rPr>
        <w:t>, Курганской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смертности от болезней органов дыхания отмечается в 41 субъекте Российской Федерации, наиболее существенный в Республике Крым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43,1</w:t>
      </w:r>
      <w:r w:rsidR="00000709">
        <w:rPr>
          <w:rFonts w:ascii="Times New Roman" w:hAnsi="Times New Roman" w:cs="Times New Roman"/>
          <w:sz w:val="28"/>
          <w:szCs w:val="28"/>
        </w:rPr>
        <w:t> %</w:t>
      </w:r>
      <w:r w:rsidRPr="005E58C6">
        <w:rPr>
          <w:rFonts w:ascii="Times New Roman" w:hAnsi="Times New Roman" w:cs="Times New Roman"/>
          <w:sz w:val="28"/>
          <w:szCs w:val="28"/>
        </w:rPr>
        <w:t>, Камчатском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38,6</w:t>
      </w:r>
      <w:r w:rsidR="00000709">
        <w:rPr>
          <w:rFonts w:ascii="Times New Roman" w:hAnsi="Times New Roman" w:cs="Times New Roman"/>
          <w:sz w:val="28"/>
          <w:szCs w:val="28"/>
        </w:rPr>
        <w:t> %</w:t>
      </w:r>
      <w:r w:rsidRPr="005E58C6">
        <w:rPr>
          <w:rFonts w:ascii="Times New Roman" w:hAnsi="Times New Roman" w:cs="Times New Roman"/>
          <w:sz w:val="28"/>
          <w:szCs w:val="28"/>
        </w:rPr>
        <w:t>, Новгородской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32,8</w:t>
      </w:r>
      <w:r w:rsidR="00000709">
        <w:rPr>
          <w:rFonts w:ascii="Times New Roman" w:hAnsi="Times New Roman" w:cs="Times New Roman"/>
          <w:sz w:val="28"/>
          <w:szCs w:val="28"/>
        </w:rPr>
        <w:t> %</w:t>
      </w:r>
      <w:r w:rsidRPr="005E58C6">
        <w:rPr>
          <w:rFonts w:ascii="Times New Roman" w:hAnsi="Times New Roman" w:cs="Times New Roman"/>
          <w:sz w:val="28"/>
          <w:szCs w:val="28"/>
        </w:rPr>
        <w:t>, Ульяновской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32,1</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26,6</w:t>
      </w:r>
      <w:r w:rsidR="00000709">
        <w:rPr>
          <w:rFonts w:ascii="Times New Roman" w:hAnsi="Times New Roman" w:cs="Times New Roman"/>
          <w:sz w:val="28"/>
          <w:szCs w:val="28"/>
        </w:rPr>
        <w:t> %</w:t>
      </w:r>
      <w:r w:rsidRPr="005E58C6">
        <w:rPr>
          <w:rFonts w:ascii="Times New Roman" w:hAnsi="Times New Roman" w:cs="Times New Roman"/>
          <w:sz w:val="28"/>
          <w:szCs w:val="28"/>
        </w:rPr>
        <w:t>. В 2 субъектах Российской Федерации показатель смертности от болезней органов дыхания не изменился.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 болезней органов дыхания отмечаются в Забайкальском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83,7; Тульской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75,2; Курской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70,2; Псковской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69,4; Курганской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68,9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болезней органов дыхания отмечены в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3,7,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6,3,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16,8,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18,8, Ханты-Мансийском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19,4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Смертность от  </w:t>
      </w:r>
      <w:r w:rsidRPr="00051685">
        <w:rPr>
          <w:rFonts w:ascii="Times New Roman" w:hAnsi="Times New Roman" w:cs="Times New Roman"/>
          <w:b/>
          <w:sz w:val="28"/>
          <w:szCs w:val="28"/>
        </w:rPr>
        <w:t>внешних причин</w:t>
      </w:r>
      <w:r w:rsidRPr="005E58C6">
        <w:rPr>
          <w:rFonts w:ascii="Times New Roman" w:hAnsi="Times New Roman" w:cs="Times New Roman"/>
          <w:sz w:val="28"/>
          <w:szCs w:val="28"/>
        </w:rPr>
        <w:t xml:space="preserve"> за январь-декабрь 2018 года составила 89,4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5,5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аналогичным периодом 2017 года </w:t>
      </w:r>
      <w:r w:rsidR="00051685">
        <w:rPr>
          <w:rFonts w:ascii="Times New Roman" w:hAnsi="Times New Roman" w:cs="Times New Roman"/>
          <w:sz w:val="28"/>
          <w:szCs w:val="28"/>
        </w:rPr>
        <w:t>–</w:t>
      </w:r>
      <w:r w:rsidRPr="005E58C6">
        <w:rPr>
          <w:rFonts w:ascii="Times New Roman" w:hAnsi="Times New Roman" w:cs="Times New Roman"/>
          <w:sz w:val="28"/>
          <w:szCs w:val="28"/>
        </w:rPr>
        <w:t xml:space="preserve"> 94,6).</w:t>
      </w:r>
    </w:p>
    <w:p w:rsidR="005E58C6" w:rsidRPr="005E58C6" w:rsidRDefault="005E58C6" w:rsidP="0005168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показателя смертности от внешних причин отмечается в 61 субъекте Российской Федерации, наибольшее: в  Воронежской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38,9</w:t>
      </w:r>
      <w:r w:rsidR="00000709">
        <w:rPr>
          <w:rFonts w:ascii="Times New Roman" w:hAnsi="Times New Roman" w:cs="Times New Roman"/>
          <w:sz w:val="28"/>
          <w:szCs w:val="28"/>
        </w:rPr>
        <w:t> %</w:t>
      </w:r>
      <w:r w:rsidRPr="005E58C6">
        <w:rPr>
          <w:rFonts w:ascii="Times New Roman" w:hAnsi="Times New Roman" w:cs="Times New Roman"/>
          <w:sz w:val="28"/>
          <w:szCs w:val="28"/>
        </w:rPr>
        <w:t>,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25,5</w:t>
      </w:r>
      <w:r w:rsidR="00000709">
        <w:rPr>
          <w:rFonts w:ascii="Times New Roman" w:hAnsi="Times New Roman" w:cs="Times New Roman"/>
          <w:sz w:val="28"/>
          <w:szCs w:val="28"/>
        </w:rPr>
        <w:t> %</w:t>
      </w:r>
      <w:r w:rsidRPr="005E58C6">
        <w:rPr>
          <w:rFonts w:ascii="Times New Roman" w:hAnsi="Times New Roman" w:cs="Times New Roman"/>
          <w:sz w:val="28"/>
          <w:szCs w:val="28"/>
        </w:rPr>
        <w:t>, 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24,7</w:t>
      </w:r>
      <w:r w:rsidR="00000709">
        <w:rPr>
          <w:rFonts w:ascii="Times New Roman" w:hAnsi="Times New Roman" w:cs="Times New Roman"/>
          <w:sz w:val="28"/>
          <w:szCs w:val="28"/>
        </w:rPr>
        <w:t> %</w:t>
      </w:r>
      <w:r w:rsidRPr="005E58C6">
        <w:rPr>
          <w:rFonts w:ascii="Times New Roman" w:hAnsi="Times New Roman" w:cs="Times New Roman"/>
          <w:sz w:val="28"/>
          <w:szCs w:val="28"/>
        </w:rPr>
        <w:t>, в Республике Хакасия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24,3</w:t>
      </w:r>
      <w:r w:rsidR="00000709">
        <w:rPr>
          <w:rFonts w:ascii="Times New Roman" w:hAnsi="Times New Roman" w:cs="Times New Roman"/>
          <w:sz w:val="28"/>
          <w:szCs w:val="28"/>
        </w:rPr>
        <w:t> %</w:t>
      </w:r>
      <w:r w:rsidRPr="005E58C6">
        <w:rPr>
          <w:rFonts w:ascii="Times New Roman" w:hAnsi="Times New Roman" w:cs="Times New Roman"/>
          <w:sz w:val="28"/>
          <w:szCs w:val="28"/>
        </w:rPr>
        <w:t>, Рязанской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показателя смертности от внешних причин отмечается в 23 субъектах Российской Федерации, наиболее существенный 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23,9</w:t>
      </w:r>
      <w:r w:rsidR="00000709">
        <w:rPr>
          <w:rFonts w:ascii="Times New Roman" w:hAnsi="Times New Roman" w:cs="Times New Roman"/>
          <w:sz w:val="28"/>
          <w:szCs w:val="28"/>
        </w:rPr>
        <w:t> %</w:t>
      </w:r>
      <w:r w:rsidRPr="005E58C6">
        <w:rPr>
          <w:rFonts w:ascii="Times New Roman" w:hAnsi="Times New Roman" w:cs="Times New Roman"/>
          <w:sz w:val="28"/>
          <w:szCs w:val="28"/>
        </w:rPr>
        <w:t>, Красноярском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11,0</w:t>
      </w:r>
      <w:r w:rsidR="00000709">
        <w:rPr>
          <w:rFonts w:ascii="Times New Roman" w:hAnsi="Times New Roman" w:cs="Times New Roman"/>
          <w:sz w:val="28"/>
          <w:szCs w:val="28"/>
        </w:rPr>
        <w:t> %</w:t>
      </w:r>
      <w:r w:rsidRPr="005E58C6">
        <w:rPr>
          <w:rFonts w:ascii="Times New Roman" w:hAnsi="Times New Roman" w:cs="Times New Roman"/>
          <w:sz w:val="28"/>
          <w:szCs w:val="28"/>
        </w:rPr>
        <w:t>,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9,4</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7,0</w:t>
      </w:r>
      <w:r w:rsidR="00000709">
        <w:rPr>
          <w:rFonts w:ascii="Times New Roman" w:hAnsi="Times New Roman" w:cs="Times New Roman"/>
          <w:sz w:val="28"/>
          <w:szCs w:val="28"/>
        </w:rPr>
        <w:t> %</w:t>
      </w:r>
      <w:r w:rsidRPr="005E58C6">
        <w:rPr>
          <w:rFonts w:ascii="Times New Roman" w:hAnsi="Times New Roman" w:cs="Times New Roman"/>
          <w:sz w:val="28"/>
          <w:szCs w:val="28"/>
        </w:rPr>
        <w:t>, г. Севастополе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6,8</w:t>
      </w:r>
      <w:r w:rsidR="00000709">
        <w:rPr>
          <w:rFonts w:ascii="Times New Roman" w:hAnsi="Times New Roman" w:cs="Times New Roman"/>
          <w:sz w:val="28"/>
          <w:szCs w:val="28"/>
        </w:rPr>
        <w:t> %</w:t>
      </w:r>
      <w:r w:rsidRPr="005E58C6">
        <w:rPr>
          <w:rFonts w:ascii="Times New Roman" w:hAnsi="Times New Roman" w:cs="Times New Roman"/>
          <w:sz w:val="28"/>
          <w:szCs w:val="28"/>
        </w:rPr>
        <w:t>. В Тамбовской области показатель смертности от внешних причин не изменился.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Наиболее высокие показатели смертности от внешних причин </w:t>
      </w:r>
      <w:r w:rsidRPr="005E58C6">
        <w:rPr>
          <w:rFonts w:ascii="Times New Roman" w:hAnsi="Times New Roman" w:cs="Times New Roman"/>
          <w:sz w:val="28"/>
          <w:szCs w:val="28"/>
        </w:rPr>
        <w:lastRenderedPageBreak/>
        <w:t>отмечаются 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275,4;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202,1; Амурской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191,6;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169,1; Забайкальском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154,7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внешних причин отмечены в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16,4,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21,2,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33,7, г. Москве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47,0,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50,2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Смертность от </w:t>
      </w:r>
      <w:r w:rsidRPr="00051685">
        <w:rPr>
          <w:rFonts w:ascii="Times New Roman" w:hAnsi="Times New Roman" w:cs="Times New Roman"/>
          <w:b/>
          <w:sz w:val="28"/>
          <w:szCs w:val="28"/>
        </w:rPr>
        <w:t>дорожно-транспортных происшествий</w:t>
      </w:r>
      <w:r w:rsidR="00051685">
        <w:rPr>
          <w:rFonts w:ascii="Times New Roman" w:hAnsi="Times New Roman" w:cs="Times New Roman"/>
          <w:sz w:val="28"/>
          <w:szCs w:val="28"/>
        </w:rPr>
        <w:t xml:space="preserve"> </w:t>
      </w:r>
      <w:r w:rsidRPr="005E58C6">
        <w:rPr>
          <w:rFonts w:ascii="Times New Roman" w:hAnsi="Times New Roman" w:cs="Times New Roman"/>
          <w:sz w:val="28"/>
          <w:szCs w:val="28"/>
        </w:rPr>
        <w:t xml:space="preserve">за январь-декабрь 2018 года составила 9,7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на 4,0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аналогичным периодом 2017 года -  10,1).</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смертности от дорожно-транспортных происшествий отмечается в 47 субъектах Российской Федерации, наиболее существенное в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56,7</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Хакасия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49,6</w:t>
      </w:r>
      <w:r w:rsidR="00000709">
        <w:rPr>
          <w:rFonts w:ascii="Times New Roman" w:hAnsi="Times New Roman" w:cs="Times New Roman"/>
          <w:sz w:val="28"/>
          <w:szCs w:val="28"/>
        </w:rPr>
        <w:t> %</w:t>
      </w:r>
      <w:r w:rsidRPr="005E58C6">
        <w:rPr>
          <w:rFonts w:ascii="Times New Roman" w:hAnsi="Times New Roman" w:cs="Times New Roman"/>
          <w:sz w:val="28"/>
          <w:szCs w:val="28"/>
        </w:rPr>
        <w:t>, Камчатском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35,4</w:t>
      </w:r>
      <w:r w:rsidR="00000709">
        <w:rPr>
          <w:rFonts w:ascii="Times New Roman" w:hAnsi="Times New Roman" w:cs="Times New Roman"/>
          <w:sz w:val="28"/>
          <w:szCs w:val="28"/>
        </w:rPr>
        <w:t> %</w:t>
      </w:r>
      <w:r w:rsidRPr="005E58C6">
        <w:rPr>
          <w:rFonts w:ascii="Times New Roman" w:hAnsi="Times New Roman" w:cs="Times New Roman"/>
          <w:sz w:val="28"/>
          <w:szCs w:val="28"/>
        </w:rPr>
        <w:t>, г. Севастополе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31,1</w:t>
      </w:r>
      <w:r w:rsidR="00000709">
        <w:rPr>
          <w:rFonts w:ascii="Times New Roman" w:hAnsi="Times New Roman" w:cs="Times New Roman"/>
          <w:sz w:val="28"/>
          <w:szCs w:val="28"/>
        </w:rPr>
        <w:t> %</w:t>
      </w:r>
      <w:r w:rsidRPr="005E58C6">
        <w:rPr>
          <w:rFonts w:ascii="Times New Roman" w:hAnsi="Times New Roman" w:cs="Times New Roman"/>
          <w:sz w:val="28"/>
          <w:szCs w:val="28"/>
        </w:rPr>
        <w:t>, Ханты-Мансийском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Рост смертности от дорожно-транспортных происшествий отмечается в 36 субъектах Российской Федерации, наиболее существенный в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195,7</w:t>
      </w:r>
      <w:r w:rsidR="00000709">
        <w:rPr>
          <w:rFonts w:ascii="Times New Roman" w:hAnsi="Times New Roman" w:cs="Times New Roman"/>
          <w:sz w:val="28"/>
          <w:szCs w:val="28"/>
        </w:rPr>
        <w:t> %</w:t>
      </w:r>
      <w:r w:rsidRPr="005E58C6">
        <w:rPr>
          <w:rFonts w:ascii="Times New Roman" w:hAnsi="Times New Roman" w:cs="Times New Roman"/>
          <w:sz w:val="28"/>
          <w:szCs w:val="28"/>
        </w:rPr>
        <w:t>, Магаданской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85,4</w:t>
      </w:r>
      <w:r w:rsidR="00000709">
        <w:rPr>
          <w:rFonts w:ascii="Times New Roman" w:hAnsi="Times New Roman" w:cs="Times New Roman"/>
          <w:sz w:val="28"/>
          <w:szCs w:val="28"/>
        </w:rPr>
        <w:t> %</w:t>
      </w:r>
      <w:r w:rsidRPr="005E58C6">
        <w:rPr>
          <w:rFonts w:ascii="Times New Roman" w:hAnsi="Times New Roman" w:cs="Times New Roman"/>
          <w:sz w:val="28"/>
          <w:szCs w:val="28"/>
        </w:rPr>
        <w:t>, Смоленской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56,6</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52,5</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41,8</w:t>
      </w:r>
      <w:r w:rsidR="00000709">
        <w:rPr>
          <w:rFonts w:ascii="Times New Roman" w:hAnsi="Times New Roman" w:cs="Times New Roman"/>
          <w:sz w:val="28"/>
          <w:szCs w:val="28"/>
        </w:rPr>
        <w:t> %</w:t>
      </w:r>
      <w:r w:rsidRPr="005E58C6">
        <w:rPr>
          <w:rFonts w:ascii="Times New Roman" w:hAnsi="Times New Roman" w:cs="Times New Roman"/>
          <w:sz w:val="28"/>
          <w:szCs w:val="28"/>
        </w:rPr>
        <w:t>. В 2 субъектах Российской Федерации показатель смертности от дорожно-транспортных происшествий не изменился (в Хабаровском и Краснодарском краях).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 дорожно-транспортных происшествий отмечаются в Карачаево-Черкесской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20,8; Республике Адыгея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20,1; Республике Калмыкия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20,0;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17,6;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17,3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дорожно-транспортных происшествий отмечены в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2,7, в г. Москве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 в Республике Ингушетия и Томской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4,9, Омской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 Ростовской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051685"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Смертность от</w:t>
      </w:r>
      <w:r w:rsidR="005E58C6" w:rsidRPr="005E58C6">
        <w:rPr>
          <w:rFonts w:ascii="Times New Roman" w:hAnsi="Times New Roman" w:cs="Times New Roman"/>
          <w:sz w:val="28"/>
          <w:szCs w:val="28"/>
        </w:rPr>
        <w:t xml:space="preserve"> </w:t>
      </w:r>
      <w:r w:rsidR="005E58C6" w:rsidRPr="00051685">
        <w:rPr>
          <w:rFonts w:ascii="Times New Roman" w:hAnsi="Times New Roman" w:cs="Times New Roman"/>
          <w:b/>
          <w:sz w:val="28"/>
          <w:szCs w:val="28"/>
        </w:rPr>
        <w:t>болезней органов пищеварения</w:t>
      </w:r>
      <w:r>
        <w:rPr>
          <w:rFonts w:ascii="Times New Roman" w:hAnsi="Times New Roman" w:cs="Times New Roman"/>
          <w:sz w:val="28"/>
          <w:szCs w:val="28"/>
        </w:rPr>
        <w:t xml:space="preserve"> </w:t>
      </w:r>
      <w:r w:rsidR="005E58C6" w:rsidRPr="005E58C6">
        <w:rPr>
          <w:rFonts w:ascii="Times New Roman" w:hAnsi="Times New Roman" w:cs="Times New Roman"/>
          <w:sz w:val="28"/>
          <w:szCs w:val="28"/>
        </w:rPr>
        <w:t xml:space="preserve">за январь-декабрь 2018 года составила 63,4 на </w:t>
      </w:r>
      <w:r w:rsidR="00FA027B">
        <w:rPr>
          <w:rFonts w:ascii="Times New Roman" w:hAnsi="Times New Roman" w:cs="Times New Roman"/>
          <w:sz w:val="28"/>
          <w:szCs w:val="28"/>
        </w:rPr>
        <w:t xml:space="preserve">100 тыс. </w:t>
      </w:r>
      <w:r w:rsidR="005E58C6" w:rsidRPr="005E58C6">
        <w:rPr>
          <w:rFonts w:ascii="Times New Roman" w:hAnsi="Times New Roman" w:cs="Times New Roman"/>
          <w:sz w:val="28"/>
          <w:szCs w:val="28"/>
        </w:rPr>
        <w:t>населения (рост на 1,6</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xml:space="preserve">  по сравнению с аналогичным периодом 2017 года -  62,4).</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показателей смертности от болезней органов пищеварения отмечается в 34 субъектах Российской Федерации, наиболее существенное в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18,6</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12,4</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10,9</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Северная Осетия-Алания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показателей смертности от болезней органов пищеварения отмечается в 51 субъекте Российской Федерации, наиболее существенный 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48,0</w:t>
      </w:r>
      <w:r w:rsidR="00000709">
        <w:rPr>
          <w:rFonts w:ascii="Times New Roman" w:hAnsi="Times New Roman" w:cs="Times New Roman"/>
          <w:sz w:val="28"/>
          <w:szCs w:val="28"/>
        </w:rPr>
        <w:t> %</w:t>
      </w:r>
      <w:r w:rsidRPr="005E58C6">
        <w:rPr>
          <w:rFonts w:ascii="Times New Roman" w:hAnsi="Times New Roman" w:cs="Times New Roman"/>
          <w:sz w:val="28"/>
          <w:szCs w:val="28"/>
        </w:rPr>
        <w:t>, Тульской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31,6</w:t>
      </w:r>
      <w:r w:rsidR="00000709">
        <w:rPr>
          <w:rFonts w:ascii="Times New Roman" w:hAnsi="Times New Roman" w:cs="Times New Roman"/>
          <w:sz w:val="28"/>
          <w:szCs w:val="28"/>
        </w:rPr>
        <w:t> %</w:t>
      </w:r>
      <w:r w:rsidRPr="005E58C6">
        <w:rPr>
          <w:rFonts w:ascii="Times New Roman" w:hAnsi="Times New Roman" w:cs="Times New Roman"/>
          <w:sz w:val="28"/>
          <w:szCs w:val="28"/>
        </w:rPr>
        <w:t>, Камчатском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19,0</w:t>
      </w:r>
      <w:r w:rsidR="00000709">
        <w:rPr>
          <w:rFonts w:ascii="Times New Roman" w:hAnsi="Times New Roman" w:cs="Times New Roman"/>
          <w:sz w:val="28"/>
          <w:szCs w:val="28"/>
        </w:rPr>
        <w:t> %</w:t>
      </w:r>
      <w:r w:rsidRPr="005E58C6">
        <w:rPr>
          <w:rFonts w:ascii="Times New Roman" w:hAnsi="Times New Roman" w:cs="Times New Roman"/>
          <w:sz w:val="28"/>
          <w:szCs w:val="28"/>
        </w:rPr>
        <w:t>,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18,6</w:t>
      </w:r>
      <w:r w:rsidR="00000709">
        <w:rPr>
          <w:rFonts w:ascii="Times New Roman" w:hAnsi="Times New Roman" w:cs="Times New Roman"/>
          <w:sz w:val="28"/>
          <w:szCs w:val="28"/>
        </w:rPr>
        <w:t> %</w:t>
      </w:r>
      <w:r w:rsidRPr="005E58C6">
        <w:rPr>
          <w:rFonts w:ascii="Times New Roman" w:hAnsi="Times New Roman" w:cs="Times New Roman"/>
          <w:sz w:val="28"/>
          <w:szCs w:val="28"/>
        </w:rPr>
        <w:t>, Белгородской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высокие показатели смертности от болезней органов пищеварения отмечаются в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121,2; Тульской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116,2; Владимирской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112,2; Ивановской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98,5; Новгородской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97,5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низкие показатели смертности от болезней органов пищеварения отмечены в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4,7,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11,0,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17,3,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31,6,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32,8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051685" w:rsidRDefault="005E58C6" w:rsidP="005E58C6">
      <w:pPr>
        <w:widowControl w:val="0"/>
        <w:spacing w:after="0" w:line="312" w:lineRule="auto"/>
        <w:ind w:firstLine="709"/>
        <w:jc w:val="both"/>
        <w:rPr>
          <w:rFonts w:ascii="Times New Roman" w:hAnsi="Times New Roman" w:cs="Times New Roman"/>
          <w:b/>
          <w:sz w:val="28"/>
          <w:szCs w:val="28"/>
        </w:rPr>
      </w:pPr>
      <w:r w:rsidRPr="00051685">
        <w:rPr>
          <w:rFonts w:ascii="Times New Roman" w:hAnsi="Times New Roman" w:cs="Times New Roman"/>
          <w:b/>
          <w:sz w:val="28"/>
          <w:szCs w:val="28"/>
        </w:rPr>
        <w:t xml:space="preserve">Общая заболеваемость населения </w:t>
      </w:r>
    </w:p>
    <w:p w:rsidR="005E58C6" w:rsidRPr="00051685" w:rsidRDefault="005E58C6" w:rsidP="005E58C6">
      <w:pPr>
        <w:widowControl w:val="0"/>
        <w:spacing w:after="0" w:line="312" w:lineRule="auto"/>
        <w:ind w:firstLine="709"/>
        <w:jc w:val="both"/>
        <w:rPr>
          <w:rFonts w:ascii="Times New Roman" w:hAnsi="Times New Roman" w:cs="Times New Roman"/>
          <w:i/>
          <w:sz w:val="28"/>
          <w:szCs w:val="28"/>
        </w:rPr>
      </w:pPr>
      <w:r w:rsidRPr="00051685">
        <w:rPr>
          <w:rFonts w:ascii="Times New Roman" w:hAnsi="Times New Roman" w:cs="Times New Roman"/>
          <w:i/>
          <w:sz w:val="28"/>
          <w:szCs w:val="28"/>
        </w:rPr>
        <w:t>Тенденции в заболеваемости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общей заболеваемости с 2017 по 2018 годы в Российской Федерации  составил 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общая заболеваемость в Российской Федерации в целом составила 163 429,7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161 734,1)  (рис. 3.2.).</w:t>
      </w:r>
    </w:p>
    <w:p w:rsidR="00051685" w:rsidRDefault="00051685" w:rsidP="00051685">
      <w:pPr>
        <w:widowControl w:val="0"/>
        <w:spacing w:after="0" w:line="312" w:lineRule="auto"/>
        <w:jc w:val="both"/>
        <w:rPr>
          <w:rFonts w:ascii="Times New Roman" w:hAnsi="Times New Roman" w:cs="Times New Roman"/>
          <w:i/>
          <w:sz w:val="28"/>
          <w:szCs w:val="28"/>
        </w:rPr>
      </w:pPr>
      <w:r w:rsidRPr="00051685">
        <w:rPr>
          <w:rFonts w:ascii="Times New Roman" w:hAnsi="Times New Roman" w:cs="Times New Roman"/>
          <w:noProof/>
          <w:sz w:val="28"/>
          <w:szCs w:val="28"/>
          <w:lang w:eastAsia="ru-RU"/>
        </w:rPr>
        <w:drawing>
          <wp:inline distT="0" distB="0" distL="0" distR="0">
            <wp:extent cx="5940425" cy="2046146"/>
            <wp:effectExtent l="19050" t="0" r="22225"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25BD" w:rsidRPr="00A60741" w:rsidRDefault="002E25BD" w:rsidP="00A60741">
      <w:pPr>
        <w:widowControl w:val="0"/>
        <w:spacing w:after="0" w:line="312" w:lineRule="auto"/>
        <w:jc w:val="both"/>
        <w:rPr>
          <w:rFonts w:ascii="Times New Roman" w:hAnsi="Times New Roman" w:cs="Times New Roman"/>
          <w:i/>
          <w:sz w:val="28"/>
          <w:szCs w:val="28"/>
        </w:rPr>
      </w:pPr>
    </w:p>
    <w:p w:rsidR="005E58C6" w:rsidRPr="00051685" w:rsidRDefault="005E58C6" w:rsidP="00051685">
      <w:pPr>
        <w:widowControl w:val="0"/>
        <w:spacing w:after="0" w:line="312" w:lineRule="auto"/>
        <w:ind w:firstLine="993"/>
        <w:jc w:val="both"/>
        <w:rPr>
          <w:rFonts w:ascii="Times New Roman" w:hAnsi="Times New Roman" w:cs="Times New Roman"/>
          <w:i/>
          <w:sz w:val="28"/>
          <w:szCs w:val="28"/>
        </w:rPr>
      </w:pPr>
      <w:r w:rsidRPr="00051685">
        <w:rPr>
          <w:rFonts w:ascii="Times New Roman" w:hAnsi="Times New Roman" w:cs="Times New Roman"/>
          <w:i/>
          <w:sz w:val="28"/>
          <w:szCs w:val="28"/>
        </w:rPr>
        <w:t xml:space="preserve">Рис. 3.2. Динамика заболеваемости населения Российской Федерации </w:t>
      </w:r>
    </w:p>
    <w:p w:rsidR="005E58C6" w:rsidRPr="00051685" w:rsidRDefault="005E58C6" w:rsidP="00051685">
      <w:pPr>
        <w:widowControl w:val="0"/>
        <w:spacing w:after="0" w:line="312" w:lineRule="auto"/>
        <w:ind w:firstLine="993"/>
        <w:jc w:val="center"/>
        <w:rPr>
          <w:rFonts w:ascii="Times New Roman" w:hAnsi="Times New Roman" w:cs="Times New Roman"/>
          <w:i/>
          <w:sz w:val="28"/>
          <w:szCs w:val="28"/>
        </w:rPr>
      </w:pPr>
      <w:r w:rsidRPr="00051685">
        <w:rPr>
          <w:rFonts w:ascii="Times New Roman" w:hAnsi="Times New Roman" w:cs="Times New Roman"/>
          <w:i/>
          <w:sz w:val="28"/>
          <w:szCs w:val="28"/>
        </w:rPr>
        <w:t xml:space="preserve">(на </w:t>
      </w:r>
      <w:r w:rsidR="00051685" w:rsidRPr="00051685">
        <w:rPr>
          <w:rFonts w:ascii="Times New Roman" w:hAnsi="Times New Roman" w:cs="Times New Roman"/>
          <w:i/>
          <w:sz w:val="28"/>
          <w:szCs w:val="28"/>
        </w:rPr>
        <w:t>1 000</w:t>
      </w:r>
      <w:r w:rsidRPr="00051685">
        <w:rPr>
          <w:rFonts w:ascii="Times New Roman" w:hAnsi="Times New Roman" w:cs="Times New Roman"/>
          <w:i/>
          <w:sz w:val="28"/>
          <w:szCs w:val="28"/>
        </w:rPr>
        <w:t xml:space="preserve"> человек населения) за период 1992–2018 гг.</w:t>
      </w:r>
    </w:p>
    <w:p w:rsidR="00051685" w:rsidRDefault="00051685" w:rsidP="005E58C6">
      <w:pPr>
        <w:widowControl w:val="0"/>
        <w:spacing w:after="0" w:line="312" w:lineRule="auto"/>
        <w:ind w:firstLine="709"/>
        <w:jc w:val="both"/>
        <w:rPr>
          <w:rFonts w:ascii="Times New Roman" w:hAnsi="Times New Roman" w:cs="Times New Roman"/>
          <w:i/>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В 2018 году по сравнению с 2017 годом выросла заболеваемость (табл</w:t>
      </w:r>
      <w:r w:rsidR="00051685">
        <w:rPr>
          <w:rFonts w:ascii="Times New Roman" w:hAnsi="Times New Roman" w:cs="Times New Roman"/>
          <w:sz w:val="28"/>
          <w:szCs w:val="28"/>
        </w:rPr>
        <w:t>. </w:t>
      </w:r>
      <w:r w:rsidRPr="005E58C6">
        <w:rPr>
          <w:rFonts w:ascii="Times New Roman" w:hAnsi="Times New Roman" w:cs="Times New Roman"/>
          <w:sz w:val="28"/>
          <w:szCs w:val="28"/>
        </w:rPr>
        <w:t xml:space="preserve">3.1) по следующим классам: новообразования, болезни эндокринной системы, расстройства питания, нарушения обмена веществ, болезни системы кровообращения, болезни нервной системы, болезни глаза и его придаточного аппарата, болезни органов дыхания, болезни костно-мышечной системы и соединительной ткани, болезни мочеполовой системы, врожденные аномалии (пороки развития), деформации и хромосомные нарушения, травмы отравления и некоторые другие последствия воздействия внешних причин. </w:t>
      </w:r>
    </w:p>
    <w:p w:rsidR="005E58C6" w:rsidRPr="005E58C6" w:rsidRDefault="005E58C6" w:rsidP="00051685">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 xml:space="preserve">Таблица 3.1 </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Общая заболеваемость населения по классам болезней в Российской Федерации в 2017 и 2018 годах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5"/>
        <w:gridCol w:w="1620"/>
        <w:gridCol w:w="1440"/>
        <w:gridCol w:w="1796"/>
      </w:tblGrid>
      <w:tr w:rsidR="00051685" w:rsidRPr="000A50F4" w:rsidTr="00051685">
        <w:trPr>
          <w:trHeight w:val="872"/>
          <w:tblHeader/>
        </w:trPr>
        <w:tc>
          <w:tcPr>
            <w:tcW w:w="4515" w:type="dxa"/>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Наименование классов болезней МКБ-10</w:t>
            </w:r>
          </w:p>
        </w:tc>
        <w:tc>
          <w:tcPr>
            <w:tcW w:w="1620" w:type="dxa"/>
            <w:shd w:val="clear" w:color="auto" w:fill="FFFFFF"/>
            <w:noWrap/>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2017 г.</w:t>
            </w:r>
          </w:p>
        </w:tc>
        <w:tc>
          <w:tcPr>
            <w:tcW w:w="1440" w:type="dxa"/>
            <w:noWrap/>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2018 г.</w:t>
            </w:r>
          </w:p>
        </w:tc>
        <w:tc>
          <w:tcPr>
            <w:tcW w:w="1796" w:type="dxa"/>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Темп прироста/ убыли,</w:t>
            </w:r>
            <w:r w:rsidR="00000709">
              <w:rPr>
                <w:rFonts w:ascii="Times New Roman" w:hAnsi="Times New Roman"/>
                <w:sz w:val="24"/>
                <w:szCs w:val="24"/>
                <w:lang w:eastAsia="ru-RU"/>
              </w:rPr>
              <w:t> %</w:t>
            </w:r>
          </w:p>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2017 г. к 2016 г.</w:t>
            </w:r>
          </w:p>
        </w:tc>
      </w:tr>
      <w:tr w:rsidR="00051685" w:rsidRPr="000A50F4" w:rsidTr="00051685">
        <w:trPr>
          <w:trHeight w:val="457"/>
          <w:tblHeader/>
        </w:trPr>
        <w:tc>
          <w:tcPr>
            <w:tcW w:w="4515" w:type="dxa"/>
            <w:shd w:val="clear" w:color="auto" w:fill="FFFFFF"/>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Всего</w:t>
            </w:r>
          </w:p>
        </w:tc>
        <w:tc>
          <w:tcPr>
            <w:tcW w:w="1620"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161</w:t>
            </w:r>
            <w:r>
              <w:rPr>
                <w:rFonts w:ascii="Times New Roman" w:hAnsi="Times New Roman"/>
                <w:sz w:val="24"/>
                <w:szCs w:val="24"/>
              </w:rPr>
              <w:t xml:space="preserve"> </w:t>
            </w:r>
            <w:r w:rsidRPr="000A50F4">
              <w:rPr>
                <w:rFonts w:ascii="Times New Roman" w:hAnsi="Times New Roman"/>
                <w:sz w:val="24"/>
                <w:szCs w:val="24"/>
              </w:rPr>
              <w:t>734,1</w:t>
            </w:r>
          </w:p>
        </w:tc>
        <w:tc>
          <w:tcPr>
            <w:tcW w:w="1440"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163</w:t>
            </w:r>
            <w:r>
              <w:rPr>
                <w:rFonts w:ascii="Times New Roman" w:hAnsi="Times New Roman"/>
                <w:sz w:val="24"/>
                <w:szCs w:val="24"/>
              </w:rPr>
              <w:t xml:space="preserve"> </w:t>
            </w:r>
            <w:r w:rsidRPr="000A50F4">
              <w:rPr>
                <w:rFonts w:ascii="Times New Roman" w:hAnsi="Times New Roman"/>
                <w:sz w:val="24"/>
                <w:szCs w:val="24"/>
              </w:rPr>
              <w:t>429,7</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1,0</w:t>
            </w:r>
          </w:p>
        </w:tc>
      </w:tr>
      <w:tr w:rsidR="00051685" w:rsidRPr="000A50F4" w:rsidTr="00051685">
        <w:trPr>
          <w:trHeight w:val="63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Некоторые инфекционные и паразитарные болезни</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w:t>
            </w:r>
            <w:r>
              <w:rPr>
                <w:rFonts w:ascii="Times New Roman" w:hAnsi="Times New Roman"/>
                <w:sz w:val="24"/>
                <w:szCs w:val="24"/>
              </w:rPr>
              <w:t xml:space="preserve"> </w:t>
            </w:r>
            <w:r w:rsidRPr="000A50F4">
              <w:rPr>
                <w:rFonts w:ascii="Times New Roman" w:hAnsi="Times New Roman"/>
                <w:sz w:val="24"/>
                <w:szCs w:val="24"/>
              </w:rPr>
              <w:t>385,3</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w:t>
            </w:r>
            <w:r>
              <w:rPr>
                <w:rFonts w:ascii="Times New Roman" w:hAnsi="Times New Roman"/>
                <w:sz w:val="24"/>
                <w:szCs w:val="24"/>
              </w:rPr>
              <w:t xml:space="preserve"> </w:t>
            </w:r>
            <w:r w:rsidRPr="000A50F4">
              <w:rPr>
                <w:rFonts w:ascii="Times New Roman" w:hAnsi="Times New Roman"/>
                <w:sz w:val="24"/>
                <w:szCs w:val="24"/>
              </w:rPr>
              <w:t>359,8</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-0,6</w:t>
            </w:r>
          </w:p>
        </w:tc>
      </w:tr>
      <w:tr w:rsidR="00051685" w:rsidRPr="000A50F4" w:rsidTr="00051685">
        <w:trPr>
          <w:trHeight w:val="363"/>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Новообразования</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w:t>
            </w:r>
            <w:r>
              <w:rPr>
                <w:rFonts w:ascii="Times New Roman" w:hAnsi="Times New Roman"/>
                <w:sz w:val="24"/>
                <w:szCs w:val="24"/>
              </w:rPr>
              <w:t xml:space="preserve"> </w:t>
            </w:r>
            <w:r w:rsidRPr="000A50F4">
              <w:rPr>
                <w:rFonts w:ascii="Times New Roman" w:hAnsi="Times New Roman"/>
                <w:sz w:val="24"/>
                <w:szCs w:val="24"/>
              </w:rPr>
              <w:t>895,9</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5</w:t>
            </w:r>
            <w:r>
              <w:rPr>
                <w:rFonts w:ascii="Times New Roman" w:hAnsi="Times New Roman"/>
                <w:sz w:val="24"/>
                <w:szCs w:val="24"/>
              </w:rPr>
              <w:t xml:space="preserve"> </w:t>
            </w:r>
            <w:r w:rsidRPr="000A50F4">
              <w:rPr>
                <w:rFonts w:ascii="Times New Roman" w:hAnsi="Times New Roman"/>
                <w:sz w:val="24"/>
                <w:szCs w:val="24"/>
              </w:rPr>
              <w:t>007,5</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2,3</w:t>
            </w:r>
          </w:p>
        </w:tc>
      </w:tr>
      <w:tr w:rsidR="00051685" w:rsidRPr="000A50F4" w:rsidTr="00051685">
        <w:trPr>
          <w:trHeight w:val="945"/>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крови, кроветворных органов и отдельные нарушения, вовлекающие иммунный механизм</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w:t>
            </w:r>
            <w:r>
              <w:rPr>
                <w:rFonts w:ascii="Times New Roman" w:hAnsi="Times New Roman"/>
                <w:sz w:val="24"/>
                <w:szCs w:val="24"/>
              </w:rPr>
              <w:t xml:space="preserve"> </w:t>
            </w:r>
            <w:r w:rsidRPr="000A50F4">
              <w:rPr>
                <w:rFonts w:ascii="Times New Roman" w:hAnsi="Times New Roman"/>
                <w:sz w:val="24"/>
                <w:szCs w:val="24"/>
              </w:rPr>
              <w:t>265,6</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w:t>
            </w:r>
            <w:r>
              <w:rPr>
                <w:rFonts w:ascii="Times New Roman" w:hAnsi="Times New Roman"/>
                <w:sz w:val="24"/>
                <w:szCs w:val="24"/>
              </w:rPr>
              <w:t xml:space="preserve"> </w:t>
            </w:r>
            <w:r w:rsidRPr="000A50F4">
              <w:rPr>
                <w:rFonts w:ascii="Times New Roman" w:hAnsi="Times New Roman"/>
                <w:sz w:val="24"/>
                <w:szCs w:val="24"/>
              </w:rPr>
              <w:t>250,8</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-1,2</w:t>
            </w:r>
          </w:p>
        </w:tc>
      </w:tr>
      <w:tr w:rsidR="00051685" w:rsidRPr="000A50F4" w:rsidTr="00051685">
        <w:trPr>
          <w:trHeight w:val="945"/>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эндокринной системы, расстройства питания и нарушения обмена веществ</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8</w:t>
            </w:r>
            <w:r>
              <w:rPr>
                <w:rFonts w:ascii="Times New Roman" w:hAnsi="Times New Roman"/>
                <w:sz w:val="24"/>
                <w:szCs w:val="24"/>
              </w:rPr>
              <w:t xml:space="preserve"> </w:t>
            </w:r>
            <w:r w:rsidRPr="000A50F4">
              <w:rPr>
                <w:rFonts w:ascii="Times New Roman" w:hAnsi="Times New Roman"/>
                <w:sz w:val="24"/>
                <w:szCs w:val="24"/>
              </w:rPr>
              <w:t>085</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8</w:t>
            </w:r>
            <w:r>
              <w:rPr>
                <w:rFonts w:ascii="Times New Roman" w:hAnsi="Times New Roman"/>
                <w:sz w:val="24"/>
                <w:szCs w:val="24"/>
              </w:rPr>
              <w:t xml:space="preserve"> </w:t>
            </w:r>
            <w:r w:rsidRPr="000A50F4">
              <w:rPr>
                <w:rFonts w:ascii="Times New Roman" w:hAnsi="Times New Roman"/>
                <w:sz w:val="24"/>
                <w:szCs w:val="24"/>
              </w:rPr>
              <w:t>284,3</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2,5</w:t>
            </w:r>
          </w:p>
        </w:tc>
      </w:tr>
      <w:tr w:rsidR="00051685" w:rsidRPr="000A50F4" w:rsidTr="00051685">
        <w:trPr>
          <w:trHeight w:val="63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Психические расстройства и расстройства поведения</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w:t>
            </w:r>
            <w:r>
              <w:rPr>
                <w:rFonts w:ascii="Times New Roman" w:hAnsi="Times New Roman"/>
                <w:sz w:val="24"/>
                <w:szCs w:val="24"/>
              </w:rPr>
              <w:t xml:space="preserve"> </w:t>
            </w:r>
            <w:r w:rsidRPr="000A50F4">
              <w:rPr>
                <w:rFonts w:ascii="Times New Roman" w:hAnsi="Times New Roman"/>
                <w:sz w:val="24"/>
                <w:szCs w:val="24"/>
              </w:rPr>
              <w:t>185,4</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w:t>
            </w:r>
            <w:r>
              <w:rPr>
                <w:rFonts w:ascii="Times New Roman" w:hAnsi="Times New Roman"/>
                <w:sz w:val="24"/>
                <w:szCs w:val="24"/>
              </w:rPr>
              <w:t xml:space="preserve"> </w:t>
            </w:r>
            <w:r w:rsidRPr="000A50F4">
              <w:rPr>
                <w:rFonts w:ascii="Times New Roman" w:hAnsi="Times New Roman"/>
                <w:sz w:val="24"/>
                <w:szCs w:val="24"/>
              </w:rPr>
              <w:t>076,5</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-2,6</w:t>
            </w:r>
          </w:p>
        </w:tc>
      </w:tr>
      <w:tr w:rsidR="00051685" w:rsidRPr="000A50F4" w:rsidTr="00051685">
        <w:trPr>
          <w:trHeight w:val="630"/>
          <w:tblHeader/>
        </w:trPr>
        <w:tc>
          <w:tcPr>
            <w:tcW w:w="4515" w:type="dxa"/>
            <w:vAlign w:val="center"/>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нервной системы</w:t>
            </w:r>
          </w:p>
        </w:tc>
        <w:tc>
          <w:tcPr>
            <w:tcW w:w="1620" w:type="dxa"/>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5</w:t>
            </w:r>
            <w:r>
              <w:rPr>
                <w:rFonts w:ascii="Times New Roman" w:hAnsi="Times New Roman"/>
                <w:sz w:val="24"/>
                <w:szCs w:val="24"/>
              </w:rPr>
              <w:t xml:space="preserve"> </w:t>
            </w:r>
            <w:r w:rsidRPr="000A50F4">
              <w:rPr>
                <w:rFonts w:ascii="Times New Roman" w:hAnsi="Times New Roman"/>
                <w:sz w:val="24"/>
                <w:szCs w:val="24"/>
              </w:rPr>
              <w:t>815,3</w:t>
            </w:r>
          </w:p>
        </w:tc>
        <w:tc>
          <w:tcPr>
            <w:tcW w:w="1440" w:type="dxa"/>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5</w:t>
            </w:r>
            <w:r>
              <w:rPr>
                <w:rFonts w:ascii="Times New Roman" w:hAnsi="Times New Roman"/>
                <w:sz w:val="24"/>
                <w:szCs w:val="24"/>
              </w:rPr>
              <w:t xml:space="preserve"> </w:t>
            </w:r>
            <w:r w:rsidRPr="000A50F4">
              <w:rPr>
                <w:rFonts w:ascii="Times New Roman" w:hAnsi="Times New Roman"/>
                <w:sz w:val="24"/>
                <w:szCs w:val="24"/>
              </w:rPr>
              <w:t>833,9</w:t>
            </w:r>
          </w:p>
        </w:tc>
        <w:tc>
          <w:tcPr>
            <w:tcW w:w="1796" w:type="dxa"/>
            <w:shd w:val="clear" w:color="auto" w:fill="FFFFFF"/>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0,3</w:t>
            </w:r>
          </w:p>
        </w:tc>
      </w:tr>
      <w:tr w:rsidR="00051685" w:rsidRPr="000A50F4" w:rsidTr="00051685">
        <w:trPr>
          <w:trHeight w:val="630"/>
          <w:tblHeader/>
        </w:trPr>
        <w:tc>
          <w:tcPr>
            <w:tcW w:w="4515" w:type="dxa"/>
            <w:vAlign w:val="center"/>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глаза и его придаточного аппарата</w:t>
            </w:r>
          </w:p>
        </w:tc>
        <w:tc>
          <w:tcPr>
            <w:tcW w:w="1620" w:type="dxa"/>
          </w:tcPr>
          <w:p w:rsidR="00051685" w:rsidRPr="000A50F4" w:rsidRDefault="00051685" w:rsidP="00051685">
            <w:pPr>
              <w:jc w:val="center"/>
              <w:rPr>
                <w:rFonts w:ascii="Times New Roman" w:hAnsi="Times New Roman"/>
                <w:sz w:val="24"/>
                <w:szCs w:val="24"/>
                <w:lang w:eastAsia="ru-RU"/>
              </w:rPr>
            </w:pPr>
            <w:r w:rsidRPr="000A50F4">
              <w:rPr>
                <w:rFonts w:ascii="Times New Roman" w:hAnsi="Times New Roman"/>
                <w:sz w:val="24"/>
                <w:szCs w:val="24"/>
              </w:rPr>
              <w:t>10</w:t>
            </w:r>
            <w:r>
              <w:rPr>
                <w:rFonts w:ascii="Times New Roman" w:hAnsi="Times New Roman"/>
                <w:sz w:val="24"/>
                <w:szCs w:val="24"/>
              </w:rPr>
              <w:t xml:space="preserve"> </w:t>
            </w:r>
            <w:r w:rsidRPr="000A50F4">
              <w:rPr>
                <w:rFonts w:ascii="Times New Roman" w:hAnsi="Times New Roman"/>
                <w:sz w:val="24"/>
                <w:szCs w:val="24"/>
              </w:rPr>
              <w:t>368,2</w:t>
            </w:r>
          </w:p>
        </w:tc>
        <w:tc>
          <w:tcPr>
            <w:tcW w:w="1440" w:type="dxa"/>
          </w:tcPr>
          <w:p w:rsidR="00051685" w:rsidRPr="000A50F4" w:rsidRDefault="00051685" w:rsidP="00051685">
            <w:pPr>
              <w:jc w:val="center"/>
              <w:rPr>
                <w:rFonts w:ascii="Times New Roman" w:hAnsi="Times New Roman"/>
                <w:sz w:val="24"/>
                <w:szCs w:val="24"/>
                <w:lang w:eastAsia="ru-RU"/>
              </w:rPr>
            </w:pPr>
            <w:r w:rsidRPr="000A50F4">
              <w:rPr>
                <w:rFonts w:ascii="Times New Roman" w:hAnsi="Times New Roman"/>
                <w:sz w:val="24"/>
                <w:szCs w:val="24"/>
              </w:rPr>
              <w:t>10</w:t>
            </w:r>
            <w:r>
              <w:rPr>
                <w:rFonts w:ascii="Times New Roman" w:hAnsi="Times New Roman"/>
                <w:sz w:val="24"/>
                <w:szCs w:val="24"/>
              </w:rPr>
              <w:t xml:space="preserve"> </w:t>
            </w:r>
            <w:r w:rsidRPr="000A50F4">
              <w:rPr>
                <w:rFonts w:ascii="Times New Roman" w:hAnsi="Times New Roman"/>
                <w:sz w:val="24"/>
                <w:szCs w:val="24"/>
              </w:rPr>
              <w:t>372,1</w:t>
            </w:r>
          </w:p>
        </w:tc>
        <w:tc>
          <w:tcPr>
            <w:tcW w:w="1796" w:type="dxa"/>
            <w:shd w:val="clear" w:color="auto" w:fill="FFFFFF"/>
          </w:tcPr>
          <w:p w:rsidR="00051685" w:rsidRPr="000A50F4" w:rsidRDefault="00051685" w:rsidP="00051685">
            <w:pPr>
              <w:jc w:val="center"/>
              <w:rPr>
                <w:rFonts w:ascii="Times New Roman" w:hAnsi="Times New Roman"/>
                <w:sz w:val="24"/>
                <w:szCs w:val="24"/>
                <w:lang w:eastAsia="ru-RU"/>
              </w:rPr>
            </w:pPr>
            <w:r w:rsidRPr="000A50F4">
              <w:rPr>
                <w:rFonts w:ascii="Times New Roman" w:hAnsi="Times New Roman"/>
                <w:sz w:val="24"/>
                <w:szCs w:val="24"/>
              </w:rPr>
              <w:t>0,04</w:t>
            </w:r>
          </w:p>
        </w:tc>
      </w:tr>
      <w:tr w:rsidR="00051685" w:rsidRPr="000A50F4" w:rsidTr="00051685">
        <w:trPr>
          <w:trHeight w:val="375"/>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уха и сосцевидного отростка</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3</w:t>
            </w:r>
            <w:r>
              <w:rPr>
                <w:rFonts w:ascii="Times New Roman" w:hAnsi="Times New Roman"/>
                <w:sz w:val="24"/>
                <w:szCs w:val="24"/>
              </w:rPr>
              <w:t xml:space="preserve"> </w:t>
            </w:r>
            <w:r w:rsidRPr="000A50F4">
              <w:rPr>
                <w:rFonts w:ascii="Times New Roman" w:hAnsi="Times New Roman"/>
                <w:sz w:val="24"/>
                <w:szCs w:val="24"/>
              </w:rPr>
              <w:t>846</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3</w:t>
            </w:r>
            <w:r>
              <w:rPr>
                <w:rFonts w:ascii="Times New Roman" w:hAnsi="Times New Roman"/>
                <w:sz w:val="24"/>
                <w:szCs w:val="24"/>
              </w:rPr>
              <w:t xml:space="preserve"> </w:t>
            </w:r>
            <w:r w:rsidRPr="000A50F4">
              <w:rPr>
                <w:rFonts w:ascii="Times New Roman" w:hAnsi="Times New Roman"/>
                <w:sz w:val="24"/>
                <w:szCs w:val="24"/>
              </w:rPr>
              <w:t>786,5</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-1,5</w:t>
            </w:r>
          </w:p>
        </w:tc>
      </w:tr>
      <w:tr w:rsidR="00051685" w:rsidRPr="000A50F4" w:rsidTr="00051685">
        <w:trPr>
          <w:trHeight w:val="78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системы кровообращения</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24</w:t>
            </w:r>
            <w:r>
              <w:rPr>
                <w:rFonts w:ascii="Times New Roman" w:hAnsi="Times New Roman"/>
                <w:sz w:val="24"/>
                <w:szCs w:val="24"/>
              </w:rPr>
              <w:t xml:space="preserve"> </w:t>
            </w:r>
            <w:r w:rsidRPr="000A50F4">
              <w:rPr>
                <w:rFonts w:ascii="Times New Roman" w:hAnsi="Times New Roman"/>
                <w:sz w:val="24"/>
                <w:szCs w:val="24"/>
              </w:rPr>
              <w:t>149,6</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24</w:t>
            </w:r>
            <w:r>
              <w:rPr>
                <w:rFonts w:ascii="Times New Roman" w:hAnsi="Times New Roman"/>
                <w:sz w:val="24"/>
                <w:szCs w:val="24"/>
              </w:rPr>
              <w:t xml:space="preserve"> </w:t>
            </w:r>
            <w:r w:rsidRPr="000A50F4">
              <w:rPr>
                <w:rFonts w:ascii="Times New Roman" w:hAnsi="Times New Roman"/>
                <w:sz w:val="24"/>
                <w:szCs w:val="24"/>
              </w:rPr>
              <w:t>883,4</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3,0</w:t>
            </w:r>
          </w:p>
        </w:tc>
      </w:tr>
      <w:tr w:rsidR="00051685" w:rsidRPr="000A50F4" w:rsidTr="00051685">
        <w:trPr>
          <w:trHeight w:val="63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органов дыхания</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40</w:t>
            </w:r>
            <w:r>
              <w:rPr>
                <w:rFonts w:ascii="Times New Roman" w:hAnsi="Times New Roman"/>
                <w:sz w:val="24"/>
                <w:szCs w:val="24"/>
              </w:rPr>
              <w:t xml:space="preserve"> </w:t>
            </w:r>
            <w:r w:rsidRPr="000A50F4">
              <w:rPr>
                <w:rFonts w:ascii="Times New Roman" w:hAnsi="Times New Roman"/>
                <w:sz w:val="24"/>
                <w:szCs w:val="24"/>
              </w:rPr>
              <w:t>346,7</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40</w:t>
            </w:r>
            <w:r>
              <w:rPr>
                <w:rFonts w:ascii="Times New Roman" w:hAnsi="Times New Roman"/>
                <w:sz w:val="24"/>
                <w:szCs w:val="24"/>
              </w:rPr>
              <w:t xml:space="preserve"> </w:t>
            </w:r>
            <w:r w:rsidRPr="000A50F4">
              <w:rPr>
                <w:rFonts w:ascii="Times New Roman" w:hAnsi="Times New Roman"/>
                <w:sz w:val="24"/>
                <w:szCs w:val="24"/>
              </w:rPr>
              <w:t>944,8</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1,5</w:t>
            </w:r>
          </w:p>
        </w:tc>
      </w:tr>
      <w:tr w:rsidR="00051685" w:rsidRPr="000A50F4" w:rsidTr="00051685">
        <w:trPr>
          <w:trHeight w:val="48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органов пищеварения</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11</w:t>
            </w:r>
            <w:r>
              <w:rPr>
                <w:rFonts w:ascii="Times New Roman" w:hAnsi="Times New Roman"/>
                <w:sz w:val="24"/>
                <w:szCs w:val="24"/>
              </w:rPr>
              <w:t xml:space="preserve"> </w:t>
            </w:r>
            <w:r w:rsidRPr="000A50F4">
              <w:rPr>
                <w:rFonts w:ascii="Times New Roman" w:hAnsi="Times New Roman"/>
                <w:sz w:val="24"/>
                <w:szCs w:val="24"/>
              </w:rPr>
              <w:t>573</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11</w:t>
            </w:r>
            <w:r>
              <w:rPr>
                <w:rFonts w:ascii="Times New Roman" w:hAnsi="Times New Roman"/>
                <w:sz w:val="24"/>
                <w:szCs w:val="24"/>
              </w:rPr>
              <w:t xml:space="preserve"> </w:t>
            </w:r>
            <w:r w:rsidRPr="000A50F4">
              <w:rPr>
                <w:rFonts w:ascii="Times New Roman" w:hAnsi="Times New Roman"/>
                <w:sz w:val="24"/>
                <w:szCs w:val="24"/>
              </w:rPr>
              <w:t>518,4</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-0,5</w:t>
            </w:r>
          </w:p>
        </w:tc>
      </w:tr>
      <w:tr w:rsidR="00051685" w:rsidRPr="000A50F4" w:rsidTr="00051685">
        <w:trPr>
          <w:trHeight w:val="375"/>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lastRenderedPageBreak/>
              <w:t>Болезни кожи и подкожной клетчатки</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5</w:t>
            </w:r>
            <w:r>
              <w:rPr>
                <w:rFonts w:ascii="Times New Roman" w:hAnsi="Times New Roman"/>
                <w:sz w:val="24"/>
                <w:szCs w:val="24"/>
              </w:rPr>
              <w:t xml:space="preserve"> </w:t>
            </w:r>
            <w:r w:rsidRPr="000A50F4">
              <w:rPr>
                <w:rFonts w:ascii="Times New Roman" w:hAnsi="Times New Roman"/>
                <w:sz w:val="24"/>
                <w:szCs w:val="24"/>
              </w:rPr>
              <w:t>722,6</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56</w:t>
            </w:r>
            <w:r>
              <w:rPr>
                <w:rFonts w:ascii="Times New Roman" w:hAnsi="Times New Roman"/>
                <w:sz w:val="24"/>
                <w:szCs w:val="24"/>
              </w:rPr>
              <w:t xml:space="preserve"> </w:t>
            </w:r>
            <w:r w:rsidRPr="000A50F4">
              <w:rPr>
                <w:rFonts w:ascii="Times New Roman" w:hAnsi="Times New Roman"/>
                <w:sz w:val="24"/>
                <w:szCs w:val="24"/>
              </w:rPr>
              <w:t>71,9</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-0,9</w:t>
            </w:r>
          </w:p>
        </w:tc>
      </w:tr>
      <w:tr w:rsidR="00051685" w:rsidRPr="000A50F4" w:rsidTr="00051685">
        <w:trPr>
          <w:trHeight w:val="375"/>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костно-мышечной системы и соединительной ткани</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13</w:t>
            </w:r>
            <w:r>
              <w:rPr>
                <w:rFonts w:ascii="Times New Roman" w:hAnsi="Times New Roman"/>
                <w:sz w:val="24"/>
                <w:szCs w:val="24"/>
              </w:rPr>
              <w:t xml:space="preserve"> </w:t>
            </w:r>
            <w:r w:rsidRPr="000A50F4">
              <w:rPr>
                <w:rFonts w:ascii="Times New Roman" w:hAnsi="Times New Roman"/>
                <w:sz w:val="24"/>
                <w:szCs w:val="24"/>
              </w:rPr>
              <w:t>117,2</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13</w:t>
            </w:r>
            <w:r>
              <w:rPr>
                <w:rFonts w:ascii="Times New Roman" w:hAnsi="Times New Roman"/>
                <w:sz w:val="24"/>
                <w:szCs w:val="24"/>
              </w:rPr>
              <w:t xml:space="preserve"> </w:t>
            </w:r>
            <w:r w:rsidRPr="000A50F4">
              <w:rPr>
                <w:rFonts w:ascii="Times New Roman" w:hAnsi="Times New Roman"/>
                <w:sz w:val="24"/>
                <w:szCs w:val="24"/>
              </w:rPr>
              <w:t>352,1</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1,8</w:t>
            </w:r>
          </w:p>
        </w:tc>
      </w:tr>
      <w:tr w:rsidR="00051685" w:rsidRPr="000A50F4" w:rsidTr="00051685">
        <w:trPr>
          <w:trHeight w:val="63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Болезни мочеполовой системы</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11</w:t>
            </w:r>
            <w:r>
              <w:rPr>
                <w:rFonts w:ascii="Times New Roman" w:hAnsi="Times New Roman"/>
                <w:sz w:val="24"/>
                <w:szCs w:val="24"/>
              </w:rPr>
              <w:t xml:space="preserve"> </w:t>
            </w:r>
            <w:r w:rsidRPr="000A50F4">
              <w:rPr>
                <w:rFonts w:ascii="Times New Roman" w:hAnsi="Times New Roman"/>
                <w:sz w:val="24"/>
                <w:szCs w:val="24"/>
              </w:rPr>
              <w:t>594,3</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11</w:t>
            </w:r>
            <w:r>
              <w:rPr>
                <w:rFonts w:ascii="Times New Roman" w:hAnsi="Times New Roman"/>
                <w:sz w:val="24"/>
                <w:szCs w:val="24"/>
              </w:rPr>
              <w:t xml:space="preserve"> </w:t>
            </w:r>
            <w:r w:rsidRPr="000A50F4">
              <w:rPr>
                <w:rFonts w:ascii="Times New Roman" w:hAnsi="Times New Roman"/>
                <w:sz w:val="24"/>
                <w:szCs w:val="24"/>
              </w:rPr>
              <w:t>784,8</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1,6</w:t>
            </w:r>
          </w:p>
        </w:tc>
      </w:tr>
      <w:tr w:rsidR="00051685" w:rsidRPr="000A50F4" w:rsidTr="00051685">
        <w:trPr>
          <w:trHeight w:val="630"/>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Врожденные аномалии (пороки развития), деформации и хромосомные нарушения</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789,9</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797,2</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0,9</w:t>
            </w:r>
          </w:p>
        </w:tc>
      </w:tr>
      <w:tr w:rsidR="00051685" w:rsidRPr="000A50F4" w:rsidTr="00051685">
        <w:trPr>
          <w:trHeight w:val="375"/>
          <w:tblHeader/>
        </w:trPr>
        <w:tc>
          <w:tcPr>
            <w:tcW w:w="4515" w:type="dxa"/>
            <w:vAlign w:val="center"/>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Симптомы, признаки и отклонения, выявленные при клинических и лабораторных исследованиях</w:t>
            </w:r>
          </w:p>
        </w:tc>
        <w:tc>
          <w:tcPr>
            <w:tcW w:w="162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109,2</w:t>
            </w:r>
          </w:p>
        </w:tc>
        <w:tc>
          <w:tcPr>
            <w:tcW w:w="1440" w:type="dxa"/>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93,5</w:t>
            </w:r>
          </w:p>
        </w:tc>
        <w:tc>
          <w:tcPr>
            <w:tcW w:w="1796" w:type="dxa"/>
            <w:shd w:val="clear" w:color="auto" w:fill="FFFFFF"/>
            <w:hideMark/>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-14,4</w:t>
            </w:r>
          </w:p>
        </w:tc>
      </w:tr>
      <w:tr w:rsidR="00051685" w:rsidRPr="000A50F4" w:rsidTr="00051685">
        <w:trPr>
          <w:trHeight w:val="375"/>
          <w:tblHeader/>
        </w:trPr>
        <w:tc>
          <w:tcPr>
            <w:tcW w:w="4515" w:type="dxa"/>
            <w:vAlign w:val="center"/>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Травмы, отравления и некоторые другие последствия воздействия внешних причин</w:t>
            </w:r>
          </w:p>
        </w:tc>
        <w:tc>
          <w:tcPr>
            <w:tcW w:w="1620" w:type="dxa"/>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8</w:t>
            </w:r>
            <w:r>
              <w:rPr>
                <w:rFonts w:ascii="Times New Roman" w:hAnsi="Times New Roman"/>
                <w:sz w:val="24"/>
                <w:szCs w:val="24"/>
              </w:rPr>
              <w:t xml:space="preserve"> </w:t>
            </w:r>
            <w:r w:rsidRPr="000A50F4">
              <w:rPr>
                <w:rFonts w:ascii="Times New Roman" w:hAnsi="Times New Roman"/>
                <w:sz w:val="24"/>
                <w:szCs w:val="24"/>
              </w:rPr>
              <w:t>818,8</w:t>
            </w:r>
          </w:p>
        </w:tc>
        <w:tc>
          <w:tcPr>
            <w:tcW w:w="1440" w:type="dxa"/>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8</w:t>
            </w:r>
            <w:r>
              <w:rPr>
                <w:rFonts w:ascii="Times New Roman" w:hAnsi="Times New Roman"/>
                <w:sz w:val="24"/>
                <w:szCs w:val="24"/>
              </w:rPr>
              <w:t xml:space="preserve"> </w:t>
            </w:r>
            <w:r w:rsidRPr="000A50F4">
              <w:rPr>
                <w:rFonts w:ascii="Times New Roman" w:hAnsi="Times New Roman"/>
                <w:sz w:val="24"/>
                <w:szCs w:val="24"/>
              </w:rPr>
              <w:t>901,7</w:t>
            </w:r>
          </w:p>
        </w:tc>
        <w:tc>
          <w:tcPr>
            <w:tcW w:w="1796" w:type="dxa"/>
            <w:shd w:val="clear" w:color="auto" w:fill="FFFFFF"/>
          </w:tcPr>
          <w:p w:rsidR="00051685" w:rsidRPr="000A50F4" w:rsidRDefault="00051685" w:rsidP="00051685">
            <w:pPr>
              <w:jc w:val="center"/>
              <w:rPr>
                <w:rFonts w:ascii="Times New Roman" w:hAnsi="Times New Roman"/>
                <w:sz w:val="24"/>
                <w:szCs w:val="24"/>
              </w:rPr>
            </w:pPr>
            <w:r w:rsidRPr="000A50F4">
              <w:rPr>
                <w:rFonts w:ascii="Times New Roman" w:hAnsi="Times New Roman"/>
                <w:sz w:val="24"/>
                <w:szCs w:val="24"/>
              </w:rPr>
              <w:t>0,9</w:t>
            </w:r>
          </w:p>
        </w:tc>
      </w:tr>
    </w:tbl>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заболеваемости наблюдается по следующим классам болезней: симптомы, признаки и отклонения от нормы, выявленные при клинических и лабораторных исследованиях, психические расстройства и расстройства поведения, болезни уха и сосцевидного отростка, болезни крови, кроветворных органов и отдельные нарушения, вовлекающие иммунный механизм, болезни кожи и подкожной клетчатки, некоторые инфекционные и паразитарные болезни, болезнями органов пищеварения.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Практически не изменилась заболеваемость населения болезнями глаза и его придаточного аппарата (+0,04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общей заболеваемости в 2018 году по сравнению с 2017 годом в Российской Федерации составил 1,0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варьированием по федеральным округам от +2,4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Южном федеральном округе до –1,0 в Северо-Кавказском федеральном округе (табл. 3.2).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w:t>
      </w:r>
    </w:p>
    <w:p w:rsidR="005E58C6" w:rsidRPr="005E58C6" w:rsidRDefault="005E58C6" w:rsidP="00051685">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 xml:space="preserve">                                                      Таблица 3.1 </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Общая заболеваемость населения Российской Федерации</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по федеральным округам</w:t>
      </w:r>
    </w:p>
    <w:tbl>
      <w:tblPr>
        <w:tblW w:w="9652" w:type="dxa"/>
        <w:tblInd w:w="95" w:type="dxa"/>
        <w:tblLook w:val="00A0"/>
      </w:tblPr>
      <w:tblGrid>
        <w:gridCol w:w="3841"/>
        <w:gridCol w:w="2126"/>
        <w:gridCol w:w="1701"/>
        <w:gridCol w:w="1984"/>
      </w:tblGrid>
      <w:tr w:rsidR="00051685" w:rsidRPr="000A50F4" w:rsidTr="00051685">
        <w:trPr>
          <w:trHeight w:val="759"/>
          <w:tblHeader/>
        </w:trPr>
        <w:tc>
          <w:tcPr>
            <w:tcW w:w="38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Федеральные округа</w:t>
            </w:r>
          </w:p>
        </w:tc>
        <w:tc>
          <w:tcPr>
            <w:tcW w:w="5811" w:type="dxa"/>
            <w:gridSpan w:val="3"/>
            <w:tcBorders>
              <w:top w:val="single" w:sz="4" w:space="0" w:color="auto"/>
              <w:left w:val="nil"/>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 xml:space="preserve">Общее число зарегистрированных случаев заболевания на </w:t>
            </w:r>
            <w:r w:rsidR="00FA027B">
              <w:rPr>
                <w:rFonts w:ascii="Times New Roman" w:hAnsi="Times New Roman"/>
                <w:sz w:val="24"/>
                <w:szCs w:val="24"/>
                <w:lang w:eastAsia="ru-RU"/>
              </w:rPr>
              <w:t xml:space="preserve">100 тыс. </w:t>
            </w:r>
            <w:r w:rsidRPr="000A50F4">
              <w:rPr>
                <w:rFonts w:ascii="Times New Roman" w:hAnsi="Times New Roman"/>
                <w:sz w:val="24"/>
                <w:szCs w:val="24"/>
                <w:lang w:eastAsia="ru-RU"/>
              </w:rPr>
              <w:t>населения</w:t>
            </w:r>
          </w:p>
        </w:tc>
      </w:tr>
      <w:tr w:rsidR="00051685" w:rsidRPr="000A50F4" w:rsidTr="00051685">
        <w:trPr>
          <w:trHeight w:val="559"/>
          <w:tblHeader/>
        </w:trPr>
        <w:tc>
          <w:tcPr>
            <w:tcW w:w="3841" w:type="dxa"/>
            <w:vMerge/>
            <w:tcBorders>
              <w:top w:val="single" w:sz="4" w:space="0" w:color="auto"/>
              <w:left w:val="single" w:sz="4" w:space="0" w:color="auto"/>
              <w:bottom w:val="single" w:sz="4" w:space="0" w:color="auto"/>
              <w:right w:val="single" w:sz="4" w:space="0" w:color="auto"/>
            </w:tcBorders>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p>
        </w:tc>
        <w:tc>
          <w:tcPr>
            <w:tcW w:w="2126" w:type="dxa"/>
            <w:tcBorders>
              <w:top w:val="nil"/>
              <w:left w:val="nil"/>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2017 г.</w:t>
            </w:r>
          </w:p>
        </w:tc>
        <w:tc>
          <w:tcPr>
            <w:tcW w:w="1701" w:type="dxa"/>
            <w:tcBorders>
              <w:top w:val="nil"/>
              <w:left w:val="nil"/>
              <w:bottom w:val="single" w:sz="4" w:space="0" w:color="auto"/>
              <w:right w:val="single" w:sz="4" w:space="0" w:color="auto"/>
            </w:tcBorders>
            <w:shd w:val="clear" w:color="auto" w:fill="FFFFFF"/>
            <w:noWrap/>
            <w:vAlign w:val="center"/>
            <w:hideMark/>
          </w:tcPr>
          <w:p w:rsidR="00051685" w:rsidRPr="000A50F4" w:rsidRDefault="00051685" w:rsidP="00051685">
            <w:pPr>
              <w:shd w:val="clear" w:color="auto" w:fill="FFFFFF" w:themeFill="background1"/>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2018 г.</w:t>
            </w:r>
          </w:p>
        </w:tc>
        <w:tc>
          <w:tcPr>
            <w:tcW w:w="1984" w:type="dxa"/>
            <w:tcBorders>
              <w:top w:val="nil"/>
              <w:left w:val="nil"/>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темп прироста/ убыли (</w:t>
            </w:r>
            <w:r w:rsidR="00000709">
              <w:rPr>
                <w:rFonts w:ascii="Times New Roman" w:hAnsi="Times New Roman"/>
                <w:sz w:val="24"/>
                <w:szCs w:val="24"/>
                <w:lang w:eastAsia="ru-RU"/>
              </w:rPr>
              <w:t> %</w:t>
            </w:r>
            <w:r w:rsidRPr="000A50F4">
              <w:rPr>
                <w:rFonts w:ascii="Times New Roman" w:hAnsi="Times New Roman"/>
                <w:sz w:val="24"/>
                <w:szCs w:val="24"/>
                <w:lang w:eastAsia="ru-RU"/>
              </w:rPr>
              <w:t>)</w:t>
            </w:r>
          </w:p>
        </w:tc>
      </w:tr>
      <w:tr w:rsidR="00051685" w:rsidRPr="000A50F4" w:rsidTr="00051685">
        <w:trPr>
          <w:trHeight w:val="408"/>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 xml:space="preserve">Российская Федерация </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161</w:t>
            </w:r>
            <w:r>
              <w:rPr>
                <w:rFonts w:ascii="Times New Roman" w:hAnsi="Times New Roman"/>
                <w:sz w:val="24"/>
                <w:szCs w:val="24"/>
              </w:rPr>
              <w:t xml:space="preserve"> </w:t>
            </w:r>
            <w:r w:rsidRPr="000A50F4">
              <w:rPr>
                <w:rFonts w:ascii="Times New Roman" w:hAnsi="Times New Roman"/>
                <w:sz w:val="24"/>
                <w:szCs w:val="24"/>
              </w:rPr>
              <w:t>734,1</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163</w:t>
            </w:r>
            <w:r>
              <w:rPr>
                <w:rFonts w:ascii="Times New Roman" w:hAnsi="Times New Roman"/>
                <w:sz w:val="24"/>
                <w:szCs w:val="24"/>
              </w:rPr>
              <w:t xml:space="preserve"> </w:t>
            </w:r>
            <w:r w:rsidRPr="000A50F4">
              <w:rPr>
                <w:rFonts w:ascii="Times New Roman" w:hAnsi="Times New Roman"/>
                <w:sz w:val="24"/>
                <w:szCs w:val="24"/>
              </w:rPr>
              <w:t>429,7</w:t>
            </w:r>
          </w:p>
        </w:tc>
        <w:tc>
          <w:tcPr>
            <w:tcW w:w="1984" w:type="dxa"/>
            <w:tcBorders>
              <w:top w:val="nil"/>
              <w:left w:val="nil"/>
              <w:bottom w:val="single" w:sz="4" w:space="0" w:color="auto"/>
              <w:right w:val="single" w:sz="4" w:space="0" w:color="auto"/>
            </w:tcBorders>
            <w:shd w:val="clear" w:color="auto" w:fill="FFFFFF"/>
            <w:hideMark/>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1,0</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Центральный</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144</w:t>
            </w:r>
            <w:r>
              <w:rPr>
                <w:rFonts w:ascii="Times New Roman" w:hAnsi="Times New Roman"/>
                <w:sz w:val="24"/>
                <w:szCs w:val="24"/>
              </w:rPr>
              <w:t xml:space="preserve"> </w:t>
            </w:r>
            <w:r w:rsidRPr="000A50F4">
              <w:rPr>
                <w:rFonts w:ascii="Times New Roman" w:hAnsi="Times New Roman"/>
                <w:sz w:val="24"/>
                <w:szCs w:val="24"/>
              </w:rPr>
              <w:t>825,2</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147</w:t>
            </w:r>
            <w:r>
              <w:rPr>
                <w:rFonts w:ascii="Times New Roman" w:hAnsi="Times New Roman"/>
                <w:sz w:val="24"/>
                <w:szCs w:val="24"/>
              </w:rPr>
              <w:t xml:space="preserve"> </w:t>
            </w:r>
            <w:r w:rsidRPr="000A50F4">
              <w:rPr>
                <w:rFonts w:ascii="Times New Roman" w:hAnsi="Times New Roman"/>
                <w:sz w:val="24"/>
                <w:szCs w:val="24"/>
              </w:rPr>
              <w:t>179,3</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1,6</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Северо-Западный</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197</w:t>
            </w:r>
            <w:r>
              <w:rPr>
                <w:rFonts w:ascii="Times New Roman" w:hAnsi="Times New Roman"/>
                <w:sz w:val="24"/>
                <w:szCs w:val="24"/>
              </w:rPr>
              <w:t xml:space="preserve"> </w:t>
            </w:r>
            <w:r w:rsidRPr="000A50F4">
              <w:rPr>
                <w:rFonts w:ascii="Times New Roman" w:hAnsi="Times New Roman"/>
                <w:sz w:val="24"/>
                <w:szCs w:val="24"/>
              </w:rPr>
              <w:t>764,7</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201</w:t>
            </w:r>
            <w:r>
              <w:rPr>
                <w:rFonts w:ascii="Times New Roman" w:hAnsi="Times New Roman"/>
                <w:sz w:val="24"/>
                <w:szCs w:val="24"/>
              </w:rPr>
              <w:t xml:space="preserve"> </w:t>
            </w:r>
            <w:r w:rsidRPr="000A50F4">
              <w:rPr>
                <w:rFonts w:ascii="Times New Roman" w:hAnsi="Times New Roman"/>
                <w:sz w:val="24"/>
                <w:szCs w:val="24"/>
              </w:rPr>
              <w:t>810,7</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2,0</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lastRenderedPageBreak/>
              <w:t>Южный</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144</w:t>
            </w:r>
            <w:r>
              <w:rPr>
                <w:rFonts w:ascii="Times New Roman" w:hAnsi="Times New Roman"/>
                <w:sz w:val="24"/>
                <w:szCs w:val="24"/>
              </w:rPr>
              <w:t xml:space="preserve"> </w:t>
            </w:r>
            <w:r w:rsidRPr="000A50F4">
              <w:rPr>
                <w:rFonts w:ascii="Times New Roman" w:hAnsi="Times New Roman"/>
                <w:sz w:val="24"/>
                <w:szCs w:val="24"/>
              </w:rPr>
              <w:t>212,5</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147</w:t>
            </w:r>
            <w:r>
              <w:rPr>
                <w:rFonts w:ascii="Times New Roman" w:hAnsi="Times New Roman"/>
                <w:sz w:val="24"/>
                <w:szCs w:val="24"/>
              </w:rPr>
              <w:t xml:space="preserve"> </w:t>
            </w:r>
            <w:r w:rsidRPr="000A50F4">
              <w:rPr>
                <w:rFonts w:ascii="Times New Roman" w:hAnsi="Times New Roman"/>
                <w:sz w:val="24"/>
                <w:szCs w:val="24"/>
              </w:rPr>
              <w:t>643,0</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2,4</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Северо-Кавказский</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126</w:t>
            </w:r>
            <w:r>
              <w:rPr>
                <w:rFonts w:ascii="Times New Roman" w:hAnsi="Times New Roman"/>
                <w:sz w:val="24"/>
                <w:szCs w:val="24"/>
              </w:rPr>
              <w:t xml:space="preserve"> </w:t>
            </w:r>
            <w:r w:rsidRPr="000A50F4">
              <w:rPr>
                <w:rFonts w:ascii="Times New Roman" w:hAnsi="Times New Roman"/>
                <w:sz w:val="24"/>
                <w:szCs w:val="24"/>
              </w:rPr>
              <w:t>779,1</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125</w:t>
            </w:r>
            <w:r>
              <w:rPr>
                <w:rFonts w:ascii="Times New Roman" w:hAnsi="Times New Roman"/>
                <w:sz w:val="24"/>
                <w:szCs w:val="24"/>
              </w:rPr>
              <w:t xml:space="preserve"> </w:t>
            </w:r>
            <w:r w:rsidRPr="000A50F4">
              <w:rPr>
                <w:rFonts w:ascii="Times New Roman" w:hAnsi="Times New Roman"/>
                <w:sz w:val="24"/>
                <w:szCs w:val="24"/>
              </w:rPr>
              <w:t>469,3</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-1,0</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Приволжский</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178</w:t>
            </w:r>
            <w:r>
              <w:rPr>
                <w:rFonts w:ascii="Times New Roman" w:hAnsi="Times New Roman"/>
                <w:sz w:val="24"/>
                <w:szCs w:val="24"/>
              </w:rPr>
              <w:t xml:space="preserve"> </w:t>
            </w:r>
            <w:r w:rsidRPr="000A50F4">
              <w:rPr>
                <w:rFonts w:ascii="Times New Roman" w:hAnsi="Times New Roman"/>
                <w:sz w:val="24"/>
                <w:szCs w:val="24"/>
              </w:rPr>
              <w:t>066,3</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179</w:t>
            </w:r>
            <w:r>
              <w:rPr>
                <w:rFonts w:ascii="Times New Roman" w:hAnsi="Times New Roman"/>
                <w:sz w:val="24"/>
                <w:szCs w:val="24"/>
              </w:rPr>
              <w:t xml:space="preserve"> </w:t>
            </w:r>
            <w:r w:rsidRPr="000A50F4">
              <w:rPr>
                <w:rFonts w:ascii="Times New Roman" w:hAnsi="Times New Roman"/>
                <w:sz w:val="24"/>
                <w:szCs w:val="24"/>
              </w:rPr>
              <w:t>019,6</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0,5</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Уральский</w:t>
            </w: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160</w:t>
            </w:r>
            <w:r>
              <w:rPr>
                <w:rFonts w:ascii="Times New Roman" w:hAnsi="Times New Roman"/>
                <w:sz w:val="24"/>
                <w:szCs w:val="24"/>
              </w:rPr>
              <w:t xml:space="preserve"> </w:t>
            </w:r>
            <w:r w:rsidRPr="000A50F4">
              <w:rPr>
                <w:rFonts w:ascii="Times New Roman" w:hAnsi="Times New Roman"/>
                <w:sz w:val="24"/>
                <w:szCs w:val="24"/>
              </w:rPr>
              <w:t>544,7</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163</w:t>
            </w:r>
            <w:r>
              <w:rPr>
                <w:rFonts w:ascii="Times New Roman" w:hAnsi="Times New Roman"/>
                <w:sz w:val="24"/>
                <w:szCs w:val="24"/>
              </w:rPr>
              <w:t xml:space="preserve"> </w:t>
            </w:r>
            <w:r w:rsidRPr="000A50F4">
              <w:rPr>
                <w:rFonts w:ascii="Times New Roman" w:hAnsi="Times New Roman"/>
                <w:sz w:val="24"/>
                <w:szCs w:val="24"/>
              </w:rPr>
              <w:t>194,6</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jc w:val="center"/>
              <w:rPr>
                <w:rFonts w:ascii="Times New Roman" w:hAnsi="Times New Roman"/>
                <w:bCs/>
                <w:sz w:val="24"/>
                <w:szCs w:val="24"/>
                <w:lang w:eastAsia="ru-RU"/>
              </w:rPr>
            </w:pPr>
            <w:r w:rsidRPr="000A50F4">
              <w:rPr>
                <w:rFonts w:ascii="Times New Roman" w:hAnsi="Times New Roman"/>
                <w:sz w:val="24"/>
                <w:szCs w:val="24"/>
              </w:rPr>
              <w:t>1,7</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Сибирский</w:t>
            </w:r>
          </w:p>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176</w:t>
            </w:r>
            <w:r>
              <w:rPr>
                <w:rFonts w:ascii="Times New Roman" w:hAnsi="Times New Roman"/>
                <w:bCs/>
                <w:sz w:val="24"/>
                <w:szCs w:val="24"/>
                <w:lang w:eastAsia="ru-RU"/>
              </w:rPr>
              <w:t xml:space="preserve"> </w:t>
            </w:r>
            <w:r w:rsidRPr="000A50F4">
              <w:rPr>
                <w:rFonts w:ascii="Times New Roman" w:hAnsi="Times New Roman"/>
                <w:bCs/>
                <w:sz w:val="24"/>
                <w:szCs w:val="24"/>
                <w:lang w:eastAsia="ru-RU"/>
              </w:rPr>
              <w:t>316,0</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179</w:t>
            </w:r>
            <w:r>
              <w:rPr>
                <w:rFonts w:ascii="Times New Roman" w:hAnsi="Times New Roman"/>
                <w:bCs/>
                <w:sz w:val="24"/>
                <w:szCs w:val="24"/>
                <w:lang w:eastAsia="ru-RU"/>
              </w:rPr>
              <w:t xml:space="preserve"> </w:t>
            </w:r>
            <w:r w:rsidRPr="000A50F4">
              <w:rPr>
                <w:rFonts w:ascii="Times New Roman" w:hAnsi="Times New Roman"/>
                <w:bCs/>
                <w:sz w:val="24"/>
                <w:szCs w:val="24"/>
                <w:lang w:eastAsia="ru-RU"/>
              </w:rPr>
              <w:t>367,0</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1,7</w:t>
            </w:r>
          </w:p>
        </w:tc>
      </w:tr>
      <w:tr w:rsidR="00051685" w:rsidRPr="000A50F4" w:rsidTr="00051685">
        <w:trPr>
          <w:trHeight w:val="315"/>
        </w:trPr>
        <w:tc>
          <w:tcPr>
            <w:tcW w:w="3841" w:type="dxa"/>
            <w:tcBorders>
              <w:top w:val="nil"/>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Дальневосточный</w:t>
            </w:r>
          </w:p>
          <w:p w:rsidR="00051685" w:rsidRPr="000A50F4" w:rsidRDefault="00051685" w:rsidP="00051685">
            <w:pPr>
              <w:shd w:val="clear" w:color="auto" w:fill="FFFFFF" w:themeFill="background1"/>
              <w:spacing w:after="0" w:line="240" w:lineRule="auto"/>
              <w:rPr>
                <w:rFonts w:ascii="Times New Roman" w:hAnsi="Times New Roman"/>
                <w:sz w:val="24"/>
                <w:szCs w:val="24"/>
                <w:lang w:eastAsia="ru-RU"/>
              </w:rPr>
            </w:pPr>
          </w:p>
        </w:tc>
        <w:tc>
          <w:tcPr>
            <w:tcW w:w="2126"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152</w:t>
            </w:r>
            <w:r>
              <w:rPr>
                <w:rFonts w:ascii="Times New Roman" w:hAnsi="Times New Roman"/>
                <w:bCs/>
                <w:sz w:val="24"/>
                <w:szCs w:val="24"/>
                <w:lang w:eastAsia="ru-RU"/>
              </w:rPr>
              <w:t xml:space="preserve"> </w:t>
            </w:r>
            <w:r w:rsidRPr="000A50F4">
              <w:rPr>
                <w:rFonts w:ascii="Times New Roman" w:hAnsi="Times New Roman"/>
                <w:bCs/>
                <w:sz w:val="24"/>
                <w:szCs w:val="24"/>
                <w:lang w:eastAsia="ru-RU"/>
              </w:rPr>
              <w:t>640,9</w:t>
            </w:r>
          </w:p>
        </w:tc>
        <w:tc>
          <w:tcPr>
            <w:tcW w:w="1701" w:type="dxa"/>
            <w:tcBorders>
              <w:top w:val="nil"/>
              <w:left w:val="nil"/>
              <w:bottom w:val="single" w:sz="4" w:space="0" w:color="auto"/>
              <w:right w:val="single" w:sz="4" w:space="0" w:color="auto"/>
            </w:tcBorders>
            <w:shd w:val="clear" w:color="auto" w:fill="FFFFFF"/>
            <w:vAlign w:val="center"/>
          </w:tcPr>
          <w:p w:rsidR="00051685" w:rsidRPr="000A50F4" w:rsidRDefault="00051685" w:rsidP="00051685">
            <w:pPr>
              <w:shd w:val="clear" w:color="auto" w:fill="FFFFFF" w:themeFill="background1"/>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151</w:t>
            </w:r>
            <w:r>
              <w:rPr>
                <w:rFonts w:ascii="Times New Roman" w:hAnsi="Times New Roman"/>
                <w:bCs/>
                <w:sz w:val="24"/>
                <w:szCs w:val="24"/>
                <w:lang w:eastAsia="ru-RU"/>
              </w:rPr>
              <w:t xml:space="preserve"> </w:t>
            </w:r>
            <w:r w:rsidRPr="000A50F4">
              <w:rPr>
                <w:rFonts w:ascii="Times New Roman" w:hAnsi="Times New Roman"/>
                <w:bCs/>
                <w:sz w:val="24"/>
                <w:szCs w:val="24"/>
                <w:lang w:eastAsia="ru-RU"/>
              </w:rPr>
              <w:t>914,4</w:t>
            </w:r>
          </w:p>
        </w:tc>
        <w:tc>
          <w:tcPr>
            <w:tcW w:w="1984" w:type="dxa"/>
            <w:tcBorders>
              <w:top w:val="nil"/>
              <w:left w:val="nil"/>
              <w:bottom w:val="single" w:sz="4" w:space="0" w:color="auto"/>
              <w:right w:val="single" w:sz="4" w:space="0" w:color="auto"/>
            </w:tcBorders>
            <w:shd w:val="clear" w:color="auto" w:fill="FFFFFF"/>
          </w:tcPr>
          <w:p w:rsidR="00051685" w:rsidRPr="000A50F4" w:rsidRDefault="00051685" w:rsidP="00051685">
            <w:pPr>
              <w:shd w:val="clear" w:color="auto" w:fill="FFFFFF" w:themeFill="background1"/>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-0,5</w:t>
            </w:r>
          </w:p>
        </w:tc>
      </w:tr>
    </w:tbl>
    <w:p w:rsidR="00051685" w:rsidRDefault="00051685"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Среди классов болезней, занимающих лидирующее место в качестве причин смерти, отмечен рост заболеваемости болезнями системы кровообращения (табл. 3.3) во всех федеральных округах. Максимальный рост отмечен в Дальневосточном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5,2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Южном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4,6</w:t>
      </w:r>
      <w:r w:rsidR="00000709">
        <w:rPr>
          <w:rFonts w:ascii="Times New Roman" w:hAnsi="Times New Roman" w:cs="Times New Roman"/>
          <w:sz w:val="28"/>
          <w:szCs w:val="28"/>
        </w:rPr>
        <w:t> %</w:t>
      </w:r>
      <w:r w:rsidRPr="005E58C6">
        <w:rPr>
          <w:rFonts w:ascii="Times New Roman" w:hAnsi="Times New Roman" w:cs="Times New Roman"/>
          <w:sz w:val="28"/>
          <w:szCs w:val="28"/>
        </w:rPr>
        <w:t>, Северо-Кавказском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3,8</w:t>
      </w:r>
      <w:r w:rsidR="00000709">
        <w:rPr>
          <w:rFonts w:ascii="Times New Roman" w:hAnsi="Times New Roman" w:cs="Times New Roman"/>
          <w:sz w:val="28"/>
          <w:szCs w:val="28"/>
        </w:rPr>
        <w:t> %</w:t>
      </w:r>
      <w:r w:rsidRPr="005E58C6">
        <w:rPr>
          <w:rFonts w:ascii="Times New Roman" w:hAnsi="Times New Roman" w:cs="Times New Roman"/>
          <w:sz w:val="28"/>
          <w:szCs w:val="28"/>
        </w:rPr>
        <w:t>, Уральском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Приволжском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федеральных округах, при общероссийском значении +3,0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Заболеваемость населения новообразованиями по Российской Федерации в целом выросла на 2,3</w:t>
      </w:r>
      <w:r w:rsidR="00000709">
        <w:rPr>
          <w:rFonts w:ascii="Times New Roman" w:hAnsi="Times New Roman" w:cs="Times New Roman"/>
          <w:sz w:val="28"/>
          <w:szCs w:val="28"/>
        </w:rPr>
        <w:t> %</w:t>
      </w:r>
      <w:r w:rsidRPr="005E58C6">
        <w:rPr>
          <w:rFonts w:ascii="Times New Roman" w:hAnsi="Times New Roman" w:cs="Times New Roman"/>
          <w:sz w:val="28"/>
          <w:szCs w:val="28"/>
        </w:rPr>
        <w:t>. Рост заболеваемости наблюдается во всех федеральных округах, за исключением Северо-Кавказского федеральном округа, где отмечено снижение на 1,8</w:t>
      </w:r>
      <w:r w:rsidR="00000709">
        <w:rPr>
          <w:rFonts w:ascii="Times New Roman" w:hAnsi="Times New Roman" w:cs="Times New Roman"/>
          <w:sz w:val="28"/>
          <w:szCs w:val="28"/>
        </w:rPr>
        <w:t> %</w:t>
      </w:r>
      <w:r w:rsidRPr="005E58C6">
        <w:rPr>
          <w:rFonts w:ascii="Times New Roman" w:hAnsi="Times New Roman" w:cs="Times New Roman"/>
          <w:sz w:val="28"/>
          <w:szCs w:val="28"/>
        </w:rPr>
        <w:t>. Наибольший рост заболеваемости наблюдается: в Северо-Западном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7,1</w:t>
      </w:r>
      <w:r w:rsidR="00000709">
        <w:rPr>
          <w:rFonts w:ascii="Times New Roman" w:hAnsi="Times New Roman" w:cs="Times New Roman"/>
          <w:sz w:val="28"/>
          <w:szCs w:val="28"/>
        </w:rPr>
        <w:t> %</w:t>
      </w:r>
      <w:r w:rsidRPr="005E58C6">
        <w:rPr>
          <w:rFonts w:ascii="Times New Roman" w:hAnsi="Times New Roman" w:cs="Times New Roman"/>
          <w:sz w:val="28"/>
          <w:szCs w:val="28"/>
        </w:rPr>
        <w:t>, Уральском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3,5</w:t>
      </w:r>
      <w:r w:rsidR="00000709">
        <w:rPr>
          <w:rFonts w:ascii="Times New Roman" w:hAnsi="Times New Roman" w:cs="Times New Roman"/>
          <w:sz w:val="28"/>
          <w:szCs w:val="28"/>
        </w:rPr>
        <w:t> %</w:t>
      </w:r>
      <w:r w:rsidRPr="005E58C6">
        <w:rPr>
          <w:rFonts w:ascii="Times New Roman" w:hAnsi="Times New Roman" w:cs="Times New Roman"/>
          <w:sz w:val="28"/>
          <w:szCs w:val="28"/>
        </w:rPr>
        <w:t>, Центральном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w:t>
      </w:r>
      <w:r w:rsidR="00000709">
        <w:rPr>
          <w:rFonts w:ascii="Times New Roman" w:hAnsi="Times New Roman" w:cs="Times New Roman"/>
          <w:sz w:val="28"/>
          <w:szCs w:val="28"/>
        </w:rPr>
        <w:t> %</w:t>
      </w:r>
      <w:r w:rsidRPr="005E58C6">
        <w:rPr>
          <w:rFonts w:ascii="Times New Roman" w:hAnsi="Times New Roman" w:cs="Times New Roman"/>
          <w:sz w:val="28"/>
          <w:szCs w:val="28"/>
        </w:rPr>
        <w:t>, Сибирском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w:t>
      </w:r>
      <w:r w:rsidR="00000709">
        <w:rPr>
          <w:rFonts w:ascii="Times New Roman" w:hAnsi="Times New Roman" w:cs="Times New Roman"/>
          <w:sz w:val="28"/>
          <w:szCs w:val="28"/>
        </w:rPr>
        <w:t> %</w:t>
      </w:r>
      <w:r w:rsidRPr="005E58C6">
        <w:rPr>
          <w:rFonts w:ascii="Times New Roman" w:hAnsi="Times New Roman" w:cs="Times New Roman"/>
          <w:sz w:val="28"/>
          <w:szCs w:val="28"/>
        </w:rPr>
        <w:t>, Дальневосточном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w:t>
      </w:r>
      <w:r w:rsidR="00000709">
        <w:rPr>
          <w:rFonts w:ascii="Times New Roman" w:hAnsi="Times New Roman" w:cs="Times New Roman"/>
          <w:sz w:val="28"/>
          <w:szCs w:val="28"/>
        </w:rPr>
        <w:t> %</w:t>
      </w:r>
      <w:r w:rsidRPr="005E58C6">
        <w:rPr>
          <w:rFonts w:ascii="Times New Roman" w:hAnsi="Times New Roman" w:cs="Times New Roman"/>
          <w:sz w:val="28"/>
          <w:szCs w:val="28"/>
        </w:rPr>
        <w:t>, Приволжском и Южном федеральных округах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травм, отравлений и некоторых других последствий воздействия внешних причин выросло в целом по Российской Федерации на 0,9</w:t>
      </w:r>
      <w:r w:rsidR="00000709">
        <w:rPr>
          <w:rFonts w:ascii="Times New Roman" w:hAnsi="Times New Roman" w:cs="Times New Roman"/>
          <w:sz w:val="28"/>
          <w:szCs w:val="28"/>
        </w:rPr>
        <w:t> %</w:t>
      </w:r>
      <w:r w:rsidRPr="005E58C6">
        <w:rPr>
          <w:rFonts w:ascii="Times New Roman" w:hAnsi="Times New Roman" w:cs="Times New Roman"/>
          <w:sz w:val="28"/>
          <w:szCs w:val="28"/>
        </w:rPr>
        <w:t>, в том числе в большинстве федеральных округов: Сибирском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w:t>
      </w:r>
      <w:r w:rsidR="00000709">
        <w:rPr>
          <w:rFonts w:ascii="Times New Roman" w:hAnsi="Times New Roman" w:cs="Times New Roman"/>
          <w:sz w:val="28"/>
          <w:szCs w:val="28"/>
        </w:rPr>
        <w:t> %</w:t>
      </w:r>
      <w:r w:rsidRPr="005E58C6">
        <w:rPr>
          <w:rFonts w:ascii="Times New Roman" w:hAnsi="Times New Roman" w:cs="Times New Roman"/>
          <w:sz w:val="28"/>
          <w:szCs w:val="28"/>
        </w:rPr>
        <w:t>, Центральном и Южном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w:t>
      </w:r>
      <w:r w:rsidR="00000709">
        <w:rPr>
          <w:rFonts w:ascii="Times New Roman" w:hAnsi="Times New Roman" w:cs="Times New Roman"/>
          <w:sz w:val="28"/>
          <w:szCs w:val="28"/>
        </w:rPr>
        <w:t> %</w:t>
      </w:r>
      <w:r w:rsidRPr="005E58C6">
        <w:rPr>
          <w:rFonts w:ascii="Times New Roman" w:hAnsi="Times New Roman" w:cs="Times New Roman"/>
          <w:sz w:val="28"/>
          <w:szCs w:val="28"/>
        </w:rPr>
        <w:t>, Северо-Западном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0,6</w:t>
      </w:r>
      <w:r w:rsidR="00000709">
        <w:rPr>
          <w:rFonts w:ascii="Times New Roman" w:hAnsi="Times New Roman" w:cs="Times New Roman"/>
          <w:sz w:val="28"/>
          <w:szCs w:val="28"/>
        </w:rPr>
        <w:t> %</w:t>
      </w:r>
      <w:r w:rsidRPr="005E58C6">
        <w:rPr>
          <w:rFonts w:ascii="Times New Roman" w:hAnsi="Times New Roman" w:cs="Times New Roman"/>
          <w:sz w:val="28"/>
          <w:szCs w:val="28"/>
        </w:rPr>
        <w:t>. В трех федеральных округах наблюдается снижение: Дальневосточном (7,8</w:t>
      </w:r>
      <w:r w:rsidR="00000709">
        <w:rPr>
          <w:rFonts w:ascii="Times New Roman" w:hAnsi="Times New Roman" w:cs="Times New Roman"/>
          <w:sz w:val="28"/>
          <w:szCs w:val="28"/>
        </w:rPr>
        <w:t> %</w:t>
      </w:r>
      <w:r w:rsidRPr="005E58C6">
        <w:rPr>
          <w:rFonts w:ascii="Times New Roman" w:hAnsi="Times New Roman" w:cs="Times New Roman"/>
          <w:sz w:val="28"/>
          <w:szCs w:val="28"/>
        </w:rPr>
        <w:t>), Уральском (-1,7</w:t>
      </w:r>
      <w:r w:rsidR="00000709">
        <w:rPr>
          <w:rFonts w:ascii="Times New Roman" w:hAnsi="Times New Roman" w:cs="Times New Roman"/>
          <w:sz w:val="28"/>
          <w:szCs w:val="28"/>
        </w:rPr>
        <w:t> %</w:t>
      </w:r>
      <w:r w:rsidRPr="005E58C6">
        <w:rPr>
          <w:rFonts w:ascii="Times New Roman" w:hAnsi="Times New Roman" w:cs="Times New Roman"/>
          <w:sz w:val="28"/>
          <w:szCs w:val="28"/>
        </w:rPr>
        <w:t>), Северо-Кавказском (-0,9</w:t>
      </w:r>
      <w:r w:rsidR="00000709">
        <w:rPr>
          <w:rFonts w:ascii="Times New Roman" w:hAnsi="Times New Roman" w:cs="Times New Roman"/>
          <w:sz w:val="28"/>
          <w:szCs w:val="28"/>
        </w:rPr>
        <w:t> %</w:t>
      </w:r>
      <w:r w:rsidRPr="005E58C6">
        <w:rPr>
          <w:rFonts w:ascii="Times New Roman" w:hAnsi="Times New Roman" w:cs="Times New Roman"/>
          <w:sz w:val="28"/>
          <w:szCs w:val="28"/>
        </w:rPr>
        <w:t>) и Приволжском (-0,4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05168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низкий уровень заболеваемости населения болезнями системы кровообращения отмечается в Республике Тыва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10 302,4 (в 2,4 раза ниже, чем в целом по Российской Федерации), Кабардино-Балкарской </w:t>
      </w:r>
      <w:r w:rsidRPr="005E58C6">
        <w:rPr>
          <w:rFonts w:ascii="Times New Roman" w:hAnsi="Times New Roman" w:cs="Times New Roman"/>
          <w:sz w:val="28"/>
          <w:szCs w:val="28"/>
        </w:rPr>
        <w:lastRenderedPageBreak/>
        <w:t>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10 510,3 (в 2,4 раза ниже),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11 262,8 (в 2,2 раз ниже)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(табл. 3.3).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Таблица 3.2</w:t>
      </w:r>
    </w:p>
    <w:p w:rsidR="00FA027B"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Уровни общей заболеваемости болезнями системы кровообращения всего населения в отдельных субъектах Российской Федерации </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2018 год</w:t>
      </w:r>
    </w:p>
    <w:tbl>
      <w:tblPr>
        <w:tblW w:w="9511" w:type="dxa"/>
        <w:tblInd w:w="95" w:type="dxa"/>
        <w:tblLook w:val="00A0"/>
      </w:tblPr>
      <w:tblGrid>
        <w:gridCol w:w="4840"/>
        <w:gridCol w:w="4671"/>
      </w:tblGrid>
      <w:tr w:rsidR="00051685" w:rsidRPr="000A50F4" w:rsidTr="00051685">
        <w:trPr>
          <w:trHeight w:val="1042"/>
        </w:trPr>
        <w:tc>
          <w:tcPr>
            <w:tcW w:w="4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Субъекты Российской Федерации</w:t>
            </w:r>
          </w:p>
        </w:tc>
        <w:tc>
          <w:tcPr>
            <w:tcW w:w="4671" w:type="dxa"/>
            <w:tcBorders>
              <w:top w:val="single" w:sz="4" w:space="0" w:color="auto"/>
              <w:left w:val="nil"/>
              <w:bottom w:val="single" w:sz="4" w:space="0" w:color="auto"/>
              <w:right w:val="single" w:sz="4" w:space="0" w:color="auto"/>
            </w:tcBorders>
            <w:shd w:val="clear" w:color="auto" w:fill="FFFFFF"/>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 xml:space="preserve">Общее число зарегистрированных случаев заболевания болезнями системы кровообращения </w:t>
            </w:r>
          </w:p>
        </w:tc>
      </w:tr>
      <w:tr w:rsidR="00051685" w:rsidRPr="000A50F4" w:rsidTr="00051685">
        <w:trPr>
          <w:trHeight w:val="403"/>
        </w:trPr>
        <w:tc>
          <w:tcPr>
            <w:tcW w:w="4840" w:type="dxa"/>
            <w:tcBorders>
              <w:top w:val="nil"/>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 xml:space="preserve">Российская Федерация </w:t>
            </w:r>
          </w:p>
        </w:tc>
        <w:tc>
          <w:tcPr>
            <w:tcW w:w="4671" w:type="dxa"/>
            <w:tcBorders>
              <w:top w:val="nil"/>
              <w:left w:val="nil"/>
              <w:bottom w:val="single" w:sz="4" w:space="0" w:color="auto"/>
              <w:right w:val="single" w:sz="4" w:space="0" w:color="auto"/>
            </w:tcBorders>
            <w:shd w:val="clear" w:color="auto" w:fill="FFFFFF"/>
            <w:vAlign w:val="center"/>
            <w:hideMark/>
          </w:tcPr>
          <w:p w:rsidR="00051685" w:rsidRPr="000A50F4" w:rsidRDefault="00051685" w:rsidP="00051685">
            <w:pPr>
              <w:jc w:val="center"/>
              <w:rPr>
                <w:rFonts w:ascii="Times New Roman" w:hAnsi="Times New Roman"/>
                <w:sz w:val="24"/>
                <w:szCs w:val="24"/>
                <w:lang w:eastAsia="ru-RU"/>
              </w:rPr>
            </w:pPr>
            <w:r w:rsidRPr="000A50F4">
              <w:rPr>
                <w:rFonts w:ascii="Times New Roman" w:hAnsi="Times New Roman"/>
                <w:bCs/>
                <w:sz w:val="24"/>
                <w:szCs w:val="24"/>
                <w:lang w:eastAsia="ru-RU"/>
              </w:rPr>
              <w:t>24 883,4</w:t>
            </w:r>
          </w:p>
        </w:tc>
      </w:tr>
      <w:tr w:rsidR="00051685" w:rsidRPr="000A50F4" w:rsidTr="00051685">
        <w:trPr>
          <w:trHeight w:val="427"/>
        </w:trPr>
        <w:tc>
          <w:tcPr>
            <w:tcW w:w="9511" w:type="dxa"/>
            <w:gridSpan w:val="2"/>
            <w:tcBorders>
              <w:top w:val="single" w:sz="4" w:space="0" w:color="auto"/>
              <w:left w:val="single" w:sz="4" w:space="0" w:color="auto"/>
              <w:bottom w:val="single" w:sz="4" w:space="0" w:color="auto"/>
              <w:right w:val="nil"/>
            </w:tcBorders>
            <w:shd w:val="clear" w:color="auto" w:fill="FFFFFF"/>
            <w:noWrap/>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Регионы с низким уровнем заболеваемости</w:t>
            </w:r>
          </w:p>
        </w:tc>
      </w:tr>
      <w:tr w:rsidR="00051685" w:rsidRPr="000A50F4" w:rsidTr="00051685">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Республика Тыва</w:t>
            </w:r>
          </w:p>
        </w:tc>
        <w:tc>
          <w:tcPr>
            <w:tcW w:w="4671" w:type="dxa"/>
            <w:tcBorders>
              <w:top w:val="single" w:sz="4" w:space="0" w:color="auto"/>
              <w:left w:val="nil"/>
              <w:bottom w:val="single" w:sz="4" w:space="0" w:color="auto"/>
              <w:right w:val="single" w:sz="4" w:space="0" w:color="auto"/>
            </w:tcBorders>
            <w:shd w:val="clear" w:color="auto" w:fill="FFFFFF"/>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10 302,4</w:t>
            </w:r>
          </w:p>
        </w:tc>
      </w:tr>
      <w:tr w:rsidR="00051685" w:rsidRPr="000A50F4" w:rsidTr="00051685">
        <w:trPr>
          <w:trHeight w:val="315"/>
        </w:trPr>
        <w:tc>
          <w:tcPr>
            <w:tcW w:w="4840" w:type="dxa"/>
            <w:tcBorders>
              <w:top w:val="nil"/>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Кабардино-Балкарская Республика</w:t>
            </w:r>
          </w:p>
        </w:tc>
        <w:tc>
          <w:tcPr>
            <w:tcW w:w="4671" w:type="dxa"/>
            <w:tcBorders>
              <w:top w:val="nil"/>
              <w:left w:val="nil"/>
              <w:bottom w:val="single" w:sz="4" w:space="0" w:color="auto"/>
              <w:right w:val="single" w:sz="4" w:space="0" w:color="auto"/>
            </w:tcBorders>
            <w:shd w:val="clear" w:color="auto" w:fill="FFFFFF"/>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10 510,3</w:t>
            </w:r>
          </w:p>
        </w:tc>
      </w:tr>
      <w:tr w:rsidR="00051685" w:rsidRPr="000A50F4" w:rsidTr="00051685">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FFFFFF"/>
          </w:tcPr>
          <w:p w:rsidR="00051685" w:rsidRPr="000A50F4" w:rsidRDefault="00051685" w:rsidP="00051685">
            <w:pPr>
              <w:spacing w:after="0" w:line="240" w:lineRule="auto"/>
              <w:ind w:firstLine="331"/>
              <w:rPr>
                <w:rFonts w:ascii="Times New Roman" w:hAnsi="Times New Roman"/>
                <w:b/>
                <w:sz w:val="24"/>
                <w:szCs w:val="24"/>
                <w:lang w:eastAsia="ru-RU"/>
              </w:rPr>
            </w:pPr>
            <w:r w:rsidRPr="000A50F4">
              <w:rPr>
                <w:rFonts w:ascii="Times New Roman" w:hAnsi="Times New Roman"/>
                <w:sz w:val="24"/>
                <w:szCs w:val="24"/>
                <w:lang w:eastAsia="ru-RU"/>
              </w:rPr>
              <w:t>Республика Дагестан</w:t>
            </w:r>
          </w:p>
        </w:tc>
        <w:tc>
          <w:tcPr>
            <w:tcW w:w="4671" w:type="dxa"/>
            <w:tcBorders>
              <w:top w:val="nil"/>
              <w:left w:val="nil"/>
              <w:bottom w:val="single" w:sz="4" w:space="0" w:color="auto"/>
              <w:right w:val="single" w:sz="4" w:space="0" w:color="auto"/>
            </w:tcBorders>
            <w:shd w:val="clear" w:color="auto" w:fill="FFFFFF"/>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11 262,8</w:t>
            </w:r>
          </w:p>
        </w:tc>
      </w:tr>
      <w:tr w:rsidR="00051685" w:rsidRPr="000A50F4" w:rsidTr="00051685">
        <w:trPr>
          <w:trHeight w:val="315"/>
        </w:trPr>
        <w:tc>
          <w:tcPr>
            <w:tcW w:w="4840" w:type="dxa"/>
            <w:tcBorders>
              <w:top w:val="nil"/>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Чеченская Республика</w:t>
            </w:r>
          </w:p>
        </w:tc>
        <w:tc>
          <w:tcPr>
            <w:tcW w:w="4671" w:type="dxa"/>
            <w:tcBorders>
              <w:top w:val="nil"/>
              <w:left w:val="nil"/>
              <w:bottom w:val="single" w:sz="4" w:space="0" w:color="auto"/>
              <w:right w:val="single" w:sz="4" w:space="0" w:color="auto"/>
            </w:tcBorders>
            <w:shd w:val="clear" w:color="auto" w:fill="FFFFFF"/>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13 132,0</w:t>
            </w:r>
          </w:p>
        </w:tc>
      </w:tr>
      <w:tr w:rsidR="00051685" w:rsidRPr="000A50F4" w:rsidTr="00051685">
        <w:trPr>
          <w:trHeight w:val="315"/>
        </w:trPr>
        <w:tc>
          <w:tcPr>
            <w:tcW w:w="4840" w:type="dxa"/>
            <w:tcBorders>
              <w:top w:val="nil"/>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Магаданская область</w:t>
            </w:r>
          </w:p>
        </w:tc>
        <w:tc>
          <w:tcPr>
            <w:tcW w:w="4671" w:type="dxa"/>
            <w:tcBorders>
              <w:top w:val="nil"/>
              <w:left w:val="nil"/>
              <w:bottom w:val="single" w:sz="4" w:space="0" w:color="auto"/>
              <w:right w:val="single" w:sz="4" w:space="0" w:color="auto"/>
            </w:tcBorders>
            <w:shd w:val="clear" w:color="auto" w:fill="FFFFFF"/>
            <w:hideMark/>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13 145,2</w:t>
            </w:r>
          </w:p>
        </w:tc>
      </w:tr>
      <w:tr w:rsidR="00051685" w:rsidRPr="000A50F4" w:rsidTr="00051685">
        <w:trPr>
          <w:trHeight w:val="365"/>
        </w:trPr>
        <w:tc>
          <w:tcPr>
            <w:tcW w:w="9511" w:type="dxa"/>
            <w:gridSpan w:val="2"/>
            <w:tcBorders>
              <w:top w:val="single" w:sz="4" w:space="0" w:color="auto"/>
              <w:left w:val="single" w:sz="4" w:space="0" w:color="auto"/>
              <w:bottom w:val="single" w:sz="4" w:space="0" w:color="auto"/>
              <w:right w:val="nil"/>
            </w:tcBorders>
            <w:shd w:val="clear" w:color="auto" w:fill="FFFFFF"/>
            <w:noWrap/>
            <w:vAlign w:val="center"/>
            <w:hideMark/>
          </w:tcPr>
          <w:p w:rsidR="00051685" w:rsidRPr="000A50F4" w:rsidRDefault="00051685" w:rsidP="00051685">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 xml:space="preserve">Регионы с высоким уровнем заболеваемости </w:t>
            </w:r>
          </w:p>
        </w:tc>
      </w:tr>
      <w:tr w:rsidR="00051685" w:rsidRPr="000A50F4" w:rsidTr="00051685">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Алтайский край</w:t>
            </w:r>
          </w:p>
        </w:tc>
        <w:tc>
          <w:tcPr>
            <w:tcW w:w="4671" w:type="dxa"/>
            <w:tcBorders>
              <w:top w:val="single" w:sz="4" w:space="0" w:color="auto"/>
              <w:left w:val="nil"/>
              <w:bottom w:val="single" w:sz="4" w:space="0" w:color="auto"/>
              <w:right w:val="single" w:sz="4" w:space="0" w:color="auto"/>
            </w:tcBorders>
            <w:shd w:val="clear" w:color="auto" w:fill="FFFFFF"/>
            <w:hideMark/>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41 421,2</w:t>
            </w:r>
          </w:p>
        </w:tc>
      </w:tr>
      <w:tr w:rsidR="00051685" w:rsidRPr="000A50F4" w:rsidTr="00051685">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Чувашская Республика</w:t>
            </w:r>
          </w:p>
        </w:tc>
        <w:tc>
          <w:tcPr>
            <w:tcW w:w="4671" w:type="dxa"/>
            <w:tcBorders>
              <w:top w:val="single" w:sz="4" w:space="0" w:color="auto"/>
              <w:left w:val="nil"/>
              <w:bottom w:val="single" w:sz="4" w:space="0" w:color="auto"/>
              <w:right w:val="single" w:sz="4" w:space="0" w:color="auto"/>
            </w:tcBorders>
            <w:shd w:val="clear" w:color="auto" w:fill="FFFFFF"/>
            <w:hideMark/>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39 046,3</w:t>
            </w:r>
          </w:p>
        </w:tc>
      </w:tr>
      <w:tr w:rsidR="00051685" w:rsidRPr="000A50F4" w:rsidTr="00051685">
        <w:trPr>
          <w:trHeight w:val="357"/>
        </w:trPr>
        <w:tc>
          <w:tcPr>
            <w:tcW w:w="4840" w:type="dxa"/>
            <w:tcBorders>
              <w:top w:val="single" w:sz="4" w:space="0" w:color="auto"/>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Воронежская область</w:t>
            </w:r>
          </w:p>
        </w:tc>
        <w:tc>
          <w:tcPr>
            <w:tcW w:w="4671" w:type="dxa"/>
            <w:tcBorders>
              <w:top w:val="single" w:sz="4" w:space="0" w:color="auto"/>
              <w:left w:val="nil"/>
              <w:bottom w:val="single" w:sz="4" w:space="0" w:color="auto"/>
              <w:right w:val="single" w:sz="4" w:space="0" w:color="auto"/>
            </w:tcBorders>
            <w:shd w:val="clear" w:color="auto" w:fill="FFFFFF"/>
            <w:hideMark/>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36 824,8</w:t>
            </w:r>
          </w:p>
        </w:tc>
      </w:tr>
      <w:tr w:rsidR="00051685" w:rsidRPr="000A50F4" w:rsidTr="00051685">
        <w:trPr>
          <w:trHeight w:val="239"/>
        </w:trPr>
        <w:tc>
          <w:tcPr>
            <w:tcW w:w="4840" w:type="dxa"/>
            <w:tcBorders>
              <w:top w:val="single" w:sz="4" w:space="0" w:color="auto"/>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Республика Крым</w:t>
            </w:r>
          </w:p>
        </w:tc>
        <w:tc>
          <w:tcPr>
            <w:tcW w:w="4671" w:type="dxa"/>
            <w:tcBorders>
              <w:top w:val="single" w:sz="4" w:space="0" w:color="auto"/>
              <w:left w:val="single" w:sz="4" w:space="0" w:color="auto"/>
              <w:bottom w:val="single" w:sz="4" w:space="0" w:color="auto"/>
              <w:right w:val="single" w:sz="4" w:space="0" w:color="auto"/>
            </w:tcBorders>
            <w:shd w:val="clear" w:color="auto" w:fill="FFFFFF"/>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35 241,0</w:t>
            </w:r>
          </w:p>
        </w:tc>
      </w:tr>
      <w:tr w:rsidR="00051685" w:rsidRPr="000A50F4" w:rsidTr="00051685">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FFFFFF"/>
            <w:hideMark/>
          </w:tcPr>
          <w:p w:rsidR="00051685" w:rsidRPr="000A50F4" w:rsidRDefault="00051685" w:rsidP="00051685">
            <w:pPr>
              <w:spacing w:after="0" w:line="240" w:lineRule="auto"/>
              <w:ind w:firstLine="331"/>
              <w:rPr>
                <w:rFonts w:ascii="Times New Roman" w:hAnsi="Times New Roman"/>
                <w:sz w:val="24"/>
                <w:szCs w:val="24"/>
                <w:lang w:eastAsia="ru-RU"/>
              </w:rPr>
            </w:pPr>
            <w:r w:rsidRPr="000A50F4">
              <w:rPr>
                <w:rFonts w:ascii="Times New Roman" w:hAnsi="Times New Roman"/>
                <w:sz w:val="24"/>
                <w:szCs w:val="24"/>
                <w:lang w:eastAsia="ru-RU"/>
              </w:rPr>
              <w:t>Новгородская область</w:t>
            </w:r>
          </w:p>
        </w:tc>
        <w:tc>
          <w:tcPr>
            <w:tcW w:w="4671" w:type="dxa"/>
            <w:tcBorders>
              <w:top w:val="single" w:sz="4" w:space="0" w:color="auto"/>
              <w:left w:val="nil"/>
              <w:bottom w:val="single" w:sz="4" w:space="0" w:color="auto"/>
              <w:right w:val="single" w:sz="4" w:space="0" w:color="auto"/>
            </w:tcBorders>
            <w:shd w:val="clear" w:color="auto" w:fill="FFFFFF"/>
          </w:tcPr>
          <w:p w:rsidR="00051685" w:rsidRPr="000A50F4" w:rsidRDefault="00051685" w:rsidP="00051685">
            <w:pPr>
              <w:jc w:val="center"/>
              <w:rPr>
                <w:rFonts w:ascii="Times New Roman" w:hAnsi="Times New Roman"/>
                <w:bCs/>
                <w:sz w:val="24"/>
                <w:szCs w:val="24"/>
                <w:lang w:eastAsia="ru-RU"/>
              </w:rPr>
            </w:pPr>
            <w:r w:rsidRPr="000A50F4">
              <w:rPr>
                <w:rFonts w:ascii="Times New Roman" w:hAnsi="Times New Roman"/>
                <w:bCs/>
                <w:sz w:val="24"/>
                <w:szCs w:val="24"/>
                <w:lang w:eastAsia="ru-RU"/>
              </w:rPr>
              <w:t>34 970,2</w:t>
            </w:r>
          </w:p>
        </w:tc>
      </w:tr>
    </w:tbl>
    <w:p w:rsidR="00051685" w:rsidRDefault="00051685"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Заболеваемость болезнями системы кровообращения самая высокая в Алтайском крае (41</w:t>
      </w:r>
      <w:r w:rsidR="00FA027B">
        <w:rPr>
          <w:rFonts w:ascii="Times New Roman" w:hAnsi="Times New Roman" w:cs="Times New Roman"/>
          <w:sz w:val="28"/>
          <w:szCs w:val="28"/>
        </w:rPr>
        <w:t> </w:t>
      </w:r>
      <w:r w:rsidRPr="005E58C6">
        <w:rPr>
          <w:rFonts w:ascii="Times New Roman" w:hAnsi="Times New Roman" w:cs="Times New Roman"/>
          <w:sz w:val="28"/>
          <w:szCs w:val="28"/>
        </w:rPr>
        <w:t xml:space="preserve">421,2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что в 1,7 раза выше показателя по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FA027B" w:rsidRPr="005E58C6" w:rsidRDefault="00FA027B"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FA027B" w:rsidRDefault="00FA027B" w:rsidP="005E58C6">
      <w:pPr>
        <w:widowControl w:val="0"/>
        <w:spacing w:after="0" w:line="312" w:lineRule="auto"/>
        <w:ind w:firstLine="709"/>
        <w:jc w:val="both"/>
        <w:rPr>
          <w:rFonts w:ascii="Times New Roman" w:hAnsi="Times New Roman" w:cs="Times New Roman"/>
          <w:sz w:val="28"/>
          <w:szCs w:val="28"/>
        </w:rPr>
        <w:sectPr w:rsidR="00FA027B" w:rsidSect="00DB2AEB">
          <w:headerReference w:type="default" r:id="rId8"/>
          <w:pgSz w:w="11906" w:h="16838" w:code="9"/>
          <w:pgMar w:top="1134" w:right="851" w:bottom="1134" w:left="1701" w:header="709" w:footer="709" w:gutter="0"/>
          <w:cols w:space="708"/>
          <w:titlePg/>
          <w:docGrid w:linePitch="360"/>
        </w:sectPr>
      </w:pPr>
    </w:p>
    <w:p w:rsidR="005E58C6" w:rsidRPr="005E58C6" w:rsidRDefault="005E58C6" w:rsidP="00FA027B">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lastRenderedPageBreak/>
        <w:t>Таблица 3.3.</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Заболеваемость населения болезнями системы кровообращения, новообразованиями, травмами, отравлениями                 и некоторыми другими  последствиями воздействия внешних причин по федеральным округам</w:t>
      </w:r>
    </w:p>
    <w:tbl>
      <w:tblPr>
        <w:tblW w:w="15139" w:type="dxa"/>
        <w:tblInd w:w="95" w:type="dxa"/>
        <w:tblLook w:val="00A0"/>
      </w:tblPr>
      <w:tblGrid>
        <w:gridCol w:w="4975"/>
        <w:gridCol w:w="1116"/>
        <w:gridCol w:w="1168"/>
        <w:gridCol w:w="1218"/>
        <w:gridCol w:w="980"/>
        <w:gridCol w:w="960"/>
        <w:gridCol w:w="1218"/>
        <w:gridCol w:w="1100"/>
        <w:gridCol w:w="1186"/>
        <w:gridCol w:w="1218"/>
      </w:tblGrid>
      <w:tr w:rsidR="00FA027B" w:rsidRPr="000A50F4" w:rsidTr="00FA027B">
        <w:trPr>
          <w:trHeight w:val="1035"/>
        </w:trPr>
        <w:tc>
          <w:tcPr>
            <w:tcW w:w="4975" w:type="dxa"/>
            <w:vMerge w:val="restart"/>
            <w:tcBorders>
              <w:top w:val="single" w:sz="8" w:space="0" w:color="auto"/>
              <w:left w:val="single" w:sz="8" w:space="0" w:color="auto"/>
              <w:bottom w:val="single" w:sz="8" w:space="0" w:color="000000"/>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Федеральные округа</w:t>
            </w:r>
          </w:p>
        </w:tc>
        <w:tc>
          <w:tcPr>
            <w:tcW w:w="3502" w:type="dxa"/>
            <w:gridSpan w:val="3"/>
            <w:tcBorders>
              <w:top w:val="single" w:sz="8" w:space="0" w:color="auto"/>
              <w:left w:val="nil"/>
              <w:bottom w:val="single" w:sz="8" w:space="0" w:color="auto"/>
              <w:right w:val="single" w:sz="8" w:space="0" w:color="000000"/>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Болезни системы кровообращения</w:t>
            </w:r>
          </w:p>
        </w:tc>
        <w:tc>
          <w:tcPr>
            <w:tcW w:w="3158" w:type="dxa"/>
            <w:gridSpan w:val="3"/>
            <w:tcBorders>
              <w:top w:val="single" w:sz="8" w:space="0" w:color="auto"/>
              <w:left w:val="nil"/>
              <w:bottom w:val="single" w:sz="8" w:space="0" w:color="auto"/>
              <w:right w:val="single" w:sz="8" w:space="0" w:color="000000"/>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Новообразования</w:t>
            </w:r>
          </w:p>
        </w:tc>
        <w:tc>
          <w:tcPr>
            <w:tcW w:w="3504" w:type="dxa"/>
            <w:gridSpan w:val="3"/>
            <w:tcBorders>
              <w:top w:val="single" w:sz="8" w:space="0" w:color="auto"/>
              <w:left w:val="nil"/>
              <w:bottom w:val="single" w:sz="8" w:space="0" w:color="auto"/>
              <w:right w:val="single" w:sz="8" w:space="0" w:color="000000"/>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Травмы, отравления и некоторые другие последствия воздействия внешних причин</w:t>
            </w:r>
          </w:p>
        </w:tc>
      </w:tr>
      <w:tr w:rsidR="00FA027B" w:rsidRPr="000A50F4" w:rsidTr="00FA027B">
        <w:trPr>
          <w:trHeight w:val="127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A027B" w:rsidRPr="000A50F4" w:rsidRDefault="00FA027B" w:rsidP="00FA027B">
            <w:pPr>
              <w:spacing w:after="0" w:line="240" w:lineRule="auto"/>
              <w:rPr>
                <w:rFonts w:ascii="Times New Roman" w:hAnsi="Times New Roman"/>
                <w:sz w:val="24"/>
                <w:szCs w:val="24"/>
                <w:lang w:eastAsia="ru-RU"/>
              </w:rPr>
            </w:pPr>
          </w:p>
        </w:tc>
        <w:tc>
          <w:tcPr>
            <w:tcW w:w="1116" w:type="dxa"/>
            <w:tcBorders>
              <w:top w:val="nil"/>
              <w:left w:val="nil"/>
              <w:bottom w:val="nil"/>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2017</w:t>
            </w:r>
          </w:p>
        </w:tc>
        <w:tc>
          <w:tcPr>
            <w:tcW w:w="1168" w:type="dxa"/>
            <w:noWrap/>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2018</w:t>
            </w:r>
          </w:p>
        </w:tc>
        <w:tc>
          <w:tcPr>
            <w:tcW w:w="1218" w:type="dxa"/>
            <w:tcBorders>
              <w:top w:val="nil"/>
              <w:left w:val="single" w:sz="8" w:space="0" w:color="auto"/>
              <w:bottom w:val="nil"/>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темп прироста/ убыли (</w:t>
            </w:r>
            <w:r w:rsidR="00000709">
              <w:rPr>
                <w:rFonts w:ascii="Times New Roman" w:hAnsi="Times New Roman"/>
                <w:sz w:val="24"/>
                <w:szCs w:val="24"/>
                <w:lang w:eastAsia="ru-RU"/>
              </w:rPr>
              <w:t> %</w:t>
            </w:r>
            <w:r w:rsidRPr="000A50F4">
              <w:rPr>
                <w:rFonts w:ascii="Times New Roman" w:hAnsi="Times New Roman"/>
                <w:sz w:val="24"/>
                <w:szCs w:val="24"/>
                <w:lang w:eastAsia="ru-RU"/>
              </w:rPr>
              <w:t>)</w:t>
            </w:r>
          </w:p>
        </w:tc>
        <w:tc>
          <w:tcPr>
            <w:tcW w:w="980" w:type="dxa"/>
            <w:tcBorders>
              <w:top w:val="nil"/>
              <w:left w:val="nil"/>
              <w:bottom w:val="nil"/>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2017</w:t>
            </w:r>
          </w:p>
        </w:tc>
        <w:tc>
          <w:tcPr>
            <w:tcW w:w="960" w:type="dxa"/>
            <w:noWrap/>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2018</w:t>
            </w:r>
          </w:p>
        </w:tc>
        <w:tc>
          <w:tcPr>
            <w:tcW w:w="1218" w:type="dxa"/>
            <w:tcBorders>
              <w:top w:val="nil"/>
              <w:left w:val="single" w:sz="8" w:space="0" w:color="auto"/>
              <w:bottom w:val="nil"/>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темп прироста/ убыли (</w:t>
            </w:r>
            <w:r w:rsidR="00000709">
              <w:rPr>
                <w:rFonts w:ascii="Times New Roman" w:hAnsi="Times New Roman"/>
                <w:sz w:val="24"/>
                <w:szCs w:val="24"/>
                <w:lang w:eastAsia="ru-RU"/>
              </w:rPr>
              <w:t> %</w:t>
            </w:r>
            <w:r w:rsidRPr="000A50F4">
              <w:rPr>
                <w:rFonts w:ascii="Times New Roman" w:hAnsi="Times New Roman"/>
                <w:sz w:val="24"/>
                <w:szCs w:val="24"/>
                <w:lang w:eastAsia="ru-RU"/>
              </w:rPr>
              <w:t>)</w:t>
            </w:r>
          </w:p>
        </w:tc>
        <w:tc>
          <w:tcPr>
            <w:tcW w:w="1100" w:type="dxa"/>
            <w:tcBorders>
              <w:top w:val="nil"/>
              <w:left w:val="nil"/>
              <w:bottom w:val="single" w:sz="8" w:space="0" w:color="auto"/>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2017</w:t>
            </w:r>
          </w:p>
        </w:tc>
        <w:tc>
          <w:tcPr>
            <w:tcW w:w="1186" w:type="dxa"/>
            <w:tcBorders>
              <w:top w:val="nil"/>
              <w:left w:val="nil"/>
              <w:bottom w:val="single" w:sz="8" w:space="0" w:color="auto"/>
              <w:right w:val="nil"/>
            </w:tcBorders>
            <w:noWrap/>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2018</w:t>
            </w:r>
          </w:p>
        </w:tc>
        <w:tc>
          <w:tcPr>
            <w:tcW w:w="1218" w:type="dxa"/>
            <w:tcBorders>
              <w:top w:val="nil"/>
              <w:left w:val="single" w:sz="8" w:space="0" w:color="auto"/>
              <w:bottom w:val="single" w:sz="8" w:space="0" w:color="auto"/>
              <w:right w:val="single" w:sz="8" w:space="0" w:color="auto"/>
            </w:tcBorders>
            <w:vAlign w:val="center"/>
            <w:hideMark/>
          </w:tcPr>
          <w:p w:rsidR="00FA027B" w:rsidRPr="000A50F4" w:rsidRDefault="00FA027B" w:rsidP="00FA027B">
            <w:pPr>
              <w:spacing w:after="0" w:line="240" w:lineRule="auto"/>
              <w:jc w:val="center"/>
              <w:rPr>
                <w:rFonts w:ascii="Times New Roman" w:hAnsi="Times New Roman"/>
                <w:sz w:val="24"/>
                <w:szCs w:val="24"/>
                <w:lang w:eastAsia="ru-RU"/>
              </w:rPr>
            </w:pPr>
            <w:r w:rsidRPr="000A50F4">
              <w:rPr>
                <w:rFonts w:ascii="Times New Roman" w:hAnsi="Times New Roman"/>
                <w:sz w:val="24"/>
                <w:szCs w:val="24"/>
                <w:lang w:eastAsia="ru-RU"/>
              </w:rPr>
              <w:t>темп прироста/ убыли (</w:t>
            </w:r>
            <w:r w:rsidR="00000709">
              <w:rPr>
                <w:rFonts w:ascii="Times New Roman" w:hAnsi="Times New Roman"/>
                <w:sz w:val="24"/>
                <w:szCs w:val="24"/>
                <w:lang w:eastAsia="ru-RU"/>
              </w:rPr>
              <w:t> %</w:t>
            </w:r>
            <w:r w:rsidRPr="000A50F4">
              <w:rPr>
                <w:rFonts w:ascii="Times New Roman" w:hAnsi="Times New Roman"/>
                <w:sz w:val="24"/>
                <w:szCs w:val="24"/>
                <w:lang w:eastAsia="ru-RU"/>
              </w:rPr>
              <w:t>)</w:t>
            </w:r>
          </w:p>
        </w:tc>
      </w:tr>
      <w:tr w:rsidR="00FA027B" w:rsidRPr="000A50F4" w:rsidTr="00FA027B">
        <w:trPr>
          <w:trHeight w:val="619"/>
        </w:trPr>
        <w:tc>
          <w:tcPr>
            <w:tcW w:w="4975" w:type="dxa"/>
            <w:tcBorders>
              <w:top w:val="nil"/>
              <w:left w:val="single" w:sz="8" w:space="0" w:color="auto"/>
              <w:bottom w:val="single" w:sz="4" w:space="0" w:color="auto"/>
              <w:right w:val="single" w:sz="8" w:space="0" w:color="auto"/>
            </w:tcBorders>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 xml:space="preserve">Российская Федерация </w:t>
            </w:r>
          </w:p>
        </w:tc>
        <w:tc>
          <w:tcPr>
            <w:tcW w:w="1116" w:type="dxa"/>
            <w:tcBorders>
              <w:top w:val="single" w:sz="8" w:space="0" w:color="auto"/>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24149,6</w:t>
            </w:r>
          </w:p>
        </w:tc>
        <w:tc>
          <w:tcPr>
            <w:tcW w:w="1168" w:type="dxa"/>
            <w:tcBorders>
              <w:top w:val="single" w:sz="8" w:space="0" w:color="auto"/>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24883,4</w:t>
            </w:r>
          </w:p>
        </w:tc>
        <w:tc>
          <w:tcPr>
            <w:tcW w:w="1218" w:type="dxa"/>
            <w:tcBorders>
              <w:top w:val="single" w:sz="8" w:space="0" w:color="auto"/>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3,0</w:t>
            </w:r>
          </w:p>
        </w:tc>
        <w:tc>
          <w:tcPr>
            <w:tcW w:w="980" w:type="dxa"/>
            <w:tcBorders>
              <w:top w:val="single" w:sz="8" w:space="0" w:color="auto"/>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4895,9</w:t>
            </w:r>
          </w:p>
        </w:tc>
        <w:tc>
          <w:tcPr>
            <w:tcW w:w="960" w:type="dxa"/>
            <w:tcBorders>
              <w:top w:val="single" w:sz="8" w:space="0" w:color="auto"/>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5007,5</w:t>
            </w:r>
          </w:p>
        </w:tc>
        <w:tc>
          <w:tcPr>
            <w:tcW w:w="1218" w:type="dxa"/>
            <w:tcBorders>
              <w:top w:val="single" w:sz="8" w:space="0" w:color="auto"/>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2,3</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8818,8</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8901,7</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0,9</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Центральный</w:t>
            </w:r>
          </w:p>
        </w:tc>
        <w:tc>
          <w:tcPr>
            <w:tcW w:w="111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23839,8</w:t>
            </w:r>
          </w:p>
        </w:tc>
        <w:tc>
          <w:tcPr>
            <w:tcW w:w="1168"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24603,0</w:t>
            </w:r>
          </w:p>
        </w:tc>
        <w:tc>
          <w:tcPr>
            <w:tcW w:w="1218" w:type="dxa"/>
            <w:tcBorders>
              <w:top w:val="nil"/>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3,2</w:t>
            </w:r>
          </w:p>
        </w:tc>
        <w:tc>
          <w:tcPr>
            <w:tcW w:w="98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4766,2</w:t>
            </w:r>
          </w:p>
        </w:tc>
        <w:tc>
          <w:tcPr>
            <w:tcW w:w="96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4907,2</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3,0</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8449,8</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8700,0</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3,0</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Северо-Западный</w:t>
            </w:r>
          </w:p>
        </w:tc>
        <w:tc>
          <w:tcPr>
            <w:tcW w:w="111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27650,8</w:t>
            </w:r>
          </w:p>
        </w:tc>
        <w:tc>
          <w:tcPr>
            <w:tcW w:w="1168"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28334,8</w:t>
            </w:r>
          </w:p>
        </w:tc>
        <w:tc>
          <w:tcPr>
            <w:tcW w:w="1218" w:type="dxa"/>
            <w:tcBorders>
              <w:top w:val="nil"/>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2,5</w:t>
            </w:r>
          </w:p>
        </w:tc>
        <w:tc>
          <w:tcPr>
            <w:tcW w:w="98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5529,5</w:t>
            </w:r>
          </w:p>
        </w:tc>
        <w:tc>
          <w:tcPr>
            <w:tcW w:w="96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5921,4</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7,1</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9904,6</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9965,5</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0,6</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noWrap/>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Южный</w:t>
            </w:r>
          </w:p>
        </w:tc>
        <w:tc>
          <w:tcPr>
            <w:tcW w:w="111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24883,1</w:t>
            </w:r>
          </w:p>
        </w:tc>
        <w:tc>
          <w:tcPr>
            <w:tcW w:w="1168"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26015,3</w:t>
            </w:r>
          </w:p>
        </w:tc>
        <w:tc>
          <w:tcPr>
            <w:tcW w:w="1218" w:type="dxa"/>
            <w:tcBorders>
              <w:top w:val="nil"/>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4,6</w:t>
            </w:r>
          </w:p>
        </w:tc>
        <w:tc>
          <w:tcPr>
            <w:tcW w:w="98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5095,5</w:t>
            </w:r>
          </w:p>
        </w:tc>
        <w:tc>
          <w:tcPr>
            <w:tcW w:w="96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5174,6</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1,6</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7754,3</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7986,2</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3,0</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noWrap/>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Северо-Кавказский</w:t>
            </w:r>
          </w:p>
        </w:tc>
        <w:tc>
          <w:tcPr>
            <w:tcW w:w="111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14437,9</w:t>
            </w:r>
          </w:p>
        </w:tc>
        <w:tc>
          <w:tcPr>
            <w:tcW w:w="1168"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14993,0</w:t>
            </w:r>
          </w:p>
        </w:tc>
        <w:tc>
          <w:tcPr>
            <w:tcW w:w="1218" w:type="dxa"/>
            <w:tcBorders>
              <w:top w:val="nil"/>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3,8</w:t>
            </w:r>
          </w:p>
        </w:tc>
        <w:tc>
          <w:tcPr>
            <w:tcW w:w="98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2936,4</w:t>
            </w:r>
          </w:p>
        </w:tc>
        <w:tc>
          <w:tcPr>
            <w:tcW w:w="96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2883,9</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-1,8</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6361,7</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6306,5</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-0,9</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noWrap/>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Приволжский</w:t>
            </w:r>
          </w:p>
        </w:tc>
        <w:tc>
          <w:tcPr>
            <w:tcW w:w="111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27167,9</w:t>
            </w:r>
          </w:p>
        </w:tc>
        <w:tc>
          <w:tcPr>
            <w:tcW w:w="1168"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28062,7</w:t>
            </w:r>
          </w:p>
        </w:tc>
        <w:tc>
          <w:tcPr>
            <w:tcW w:w="1218" w:type="dxa"/>
            <w:tcBorders>
              <w:top w:val="nil"/>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3,3</w:t>
            </w:r>
          </w:p>
        </w:tc>
        <w:tc>
          <w:tcPr>
            <w:tcW w:w="98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5235,3</w:t>
            </w:r>
          </w:p>
        </w:tc>
        <w:tc>
          <w:tcPr>
            <w:tcW w:w="96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5319,1</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1,6</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9120,5</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9086,2</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-0,4</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noWrap/>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Уральский</w:t>
            </w:r>
          </w:p>
        </w:tc>
        <w:tc>
          <w:tcPr>
            <w:tcW w:w="111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19659,7</w:t>
            </w:r>
          </w:p>
        </w:tc>
        <w:tc>
          <w:tcPr>
            <w:tcW w:w="1168"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20396,4</w:t>
            </w:r>
          </w:p>
        </w:tc>
        <w:tc>
          <w:tcPr>
            <w:tcW w:w="1218" w:type="dxa"/>
            <w:tcBorders>
              <w:top w:val="nil"/>
              <w:left w:val="nil"/>
              <w:bottom w:val="single" w:sz="4" w:space="0" w:color="auto"/>
              <w:right w:val="single" w:sz="8"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3,7</w:t>
            </w:r>
          </w:p>
        </w:tc>
        <w:tc>
          <w:tcPr>
            <w:tcW w:w="98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4704,9</w:t>
            </w:r>
          </w:p>
        </w:tc>
        <w:tc>
          <w:tcPr>
            <w:tcW w:w="96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4868,2</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3,5</w:t>
            </w:r>
          </w:p>
        </w:tc>
        <w:tc>
          <w:tcPr>
            <w:tcW w:w="1100"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sz w:val="24"/>
                <w:szCs w:val="24"/>
              </w:rPr>
            </w:pPr>
            <w:r w:rsidRPr="000A50F4">
              <w:rPr>
                <w:rFonts w:ascii="Times New Roman" w:hAnsi="Times New Roman"/>
                <w:sz w:val="24"/>
                <w:szCs w:val="24"/>
              </w:rPr>
              <w:t>9972,4</w:t>
            </w:r>
          </w:p>
        </w:tc>
        <w:tc>
          <w:tcPr>
            <w:tcW w:w="1186" w:type="dxa"/>
            <w:tcBorders>
              <w:top w:val="nil"/>
              <w:left w:val="nil"/>
              <w:bottom w:val="single" w:sz="4" w:space="0" w:color="auto"/>
              <w:right w:val="single" w:sz="4" w:space="0" w:color="auto"/>
            </w:tcBorders>
            <w:vAlign w:val="center"/>
            <w:hideMark/>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9807,7</w:t>
            </w:r>
          </w:p>
        </w:tc>
        <w:tc>
          <w:tcPr>
            <w:tcW w:w="1218" w:type="dxa"/>
            <w:tcBorders>
              <w:top w:val="nil"/>
              <w:left w:val="nil"/>
              <w:bottom w:val="single" w:sz="4" w:space="0" w:color="auto"/>
              <w:right w:val="single" w:sz="8" w:space="0" w:color="auto"/>
            </w:tcBorders>
            <w:vAlign w:val="center"/>
          </w:tcPr>
          <w:p w:rsidR="00FA027B" w:rsidRPr="000A50F4" w:rsidRDefault="00FA027B" w:rsidP="00FA027B">
            <w:pPr>
              <w:jc w:val="center"/>
              <w:rPr>
                <w:rFonts w:ascii="Times New Roman" w:hAnsi="Times New Roman"/>
                <w:color w:val="000000"/>
                <w:sz w:val="24"/>
                <w:szCs w:val="24"/>
              </w:rPr>
            </w:pPr>
            <w:r w:rsidRPr="000A50F4">
              <w:rPr>
                <w:rFonts w:ascii="Times New Roman" w:hAnsi="Times New Roman"/>
                <w:sz w:val="24"/>
                <w:szCs w:val="24"/>
              </w:rPr>
              <w:t>-1,7</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noWrap/>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Сибирский</w:t>
            </w:r>
          </w:p>
          <w:p w:rsidR="00FA027B" w:rsidRPr="000A50F4" w:rsidRDefault="00FA027B" w:rsidP="00FA027B">
            <w:pPr>
              <w:spacing w:after="0" w:line="240" w:lineRule="auto"/>
              <w:rPr>
                <w:rFonts w:ascii="Times New Roman" w:hAnsi="Times New Roman"/>
                <w:sz w:val="24"/>
                <w:szCs w:val="24"/>
                <w:lang w:eastAsia="ru-RU"/>
              </w:rPr>
            </w:pPr>
          </w:p>
        </w:tc>
        <w:tc>
          <w:tcPr>
            <w:tcW w:w="1116"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25589,8</w:t>
            </w:r>
          </w:p>
        </w:tc>
        <w:tc>
          <w:tcPr>
            <w:tcW w:w="1168"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26382,8</w:t>
            </w:r>
          </w:p>
        </w:tc>
        <w:tc>
          <w:tcPr>
            <w:tcW w:w="1218" w:type="dxa"/>
            <w:tcBorders>
              <w:top w:val="nil"/>
              <w:left w:val="nil"/>
              <w:bottom w:val="single" w:sz="4" w:space="0" w:color="auto"/>
              <w:right w:val="single" w:sz="8" w:space="0" w:color="auto"/>
            </w:tcBorders>
            <w:hideMark/>
          </w:tcPr>
          <w:p w:rsidR="00FA027B" w:rsidRPr="000A50F4" w:rsidRDefault="00FA027B" w:rsidP="00FA027B">
            <w:pPr>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3,1</w:t>
            </w:r>
          </w:p>
        </w:tc>
        <w:tc>
          <w:tcPr>
            <w:tcW w:w="980"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5062,3</w:t>
            </w:r>
          </w:p>
        </w:tc>
        <w:tc>
          <w:tcPr>
            <w:tcW w:w="960"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5160,6</w:t>
            </w:r>
          </w:p>
        </w:tc>
        <w:tc>
          <w:tcPr>
            <w:tcW w:w="1218" w:type="dxa"/>
            <w:tcBorders>
              <w:top w:val="nil"/>
              <w:left w:val="nil"/>
              <w:bottom w:val="single" w:sz="4" w:space="0" w:color="auto"/>
              <w:right w:val="single" w:sz="8" w:space="0" w:color="auto"/>
            </w:tcBorders>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1,9</w:t>
            </w:r>
          </w:p>
        </w:tc>
        <w:tc>
          <w:tcPr>
            <w:tcW w:w="1100"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9324,4</w:t>
            </w:r>
          </w:p>
        </w:tc>
        <w:tc>
          <w:tcPr>
            <w:tcW w:w="1186"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9694,5</w:t>
            </w:r>
          </w:p>
        </w:tc>
        <w:tc>
          <w:tcPr>
            <w:tcW w:w="1218" w:type="dxa"/>
            <w:tcBorders>
              <w:top w:val="nil"/>
              <w:left w:val="nil"/>
              <w:bottom w:val="single" w:sz="4" w:space="0" w:color="auto"/>
              <w:right w:val="single" w:sz="8" w:space="0" w:color="auto"/>
            </w:tcBorders>
          </w:tcPr>
          <w:p w:rsidR="00FA027B" w:rsidRPr="000A50F4" w:rsidRDefault="00FA027B" w:rsidP="00FA027B">
            <w:pPr>
              <w:spacing w:after="0" w:line="240" w:lineRule="auto"/>
              <w:jc w:val="right"/>
              <w:rPr>
                <w:rFonts w:ascii="Times New Roman" w:hAnsi="Times New Roman"/>
                <w:sz w:val="24"/>
                <w:szCs w:val="24"/>
                <w:lang w:eastAsia="ru-RU"/>
              </w:rPr>
            </w:pPr>
            <w:r w:rsidRPr="000A50F4">
              <w:rPr>
                <w:rFonts w:ascii="Times New Roman" w:hAnsi="Times New Roman"/>
                <w:sz w:val="24"/>
                <w:szCs w:val="24"/>
                <w:lang w:eastAsia="ru-RU"/>
              </w:rPr>
              <w:t>4,0</w:t>
            </w:r>
          </w:p>
        </w:tc>
      </w:tr>
      <w:tr w:rsidR="00FA027B" w:rsidRPr="000A50F4" w:rsidTr="00FA027B">
        <w:trPr>
          <w:trHeight w:val="315"/>
        </w:trPr>
        <w:tc>
          <w:tcPr>
            <w:tcW w:w="4975" w:type="dxa"/>
            <w:tcBorders>
              <w:top w:val="nil"/>
              <w:left w:val="single" w:sz="8" w:space="0" w:color="auto"/>
              <w:bottom w:val="single" w:sz="4" w:space="0" w:color="auto"/>
              <w:right w:val="single" w:sz="8" w:space="0" w:color="auto"/>
            </w:tcBorders>
            <w:noWrap/>
            <w:vAlign w:val="center"/>
            <w:hideMark/>
          </w:tcPr>
          <w:p w:rsidR="00FA027B" w:rsidRPr="000A50F4" w:rsidRDefault="00FA027B" w:rsidP="00FA027B">
            <w:pPr>
              <w:spacing w:after="0" w:line="240" w:lineRule="auto"/>
              <w:rPr>
                <w:rFonts w:ascii="Times New Roman" w:hAnsi="Times New Roman"/>
                <w:sz w:val="24"/>
                <w:szCs w:val="24"/>
                <w:lang w:eastAsia="ru-RU"/>
              </w:rPr>
            </w:pPr>
            <w:r w:rsidRPr="000A50F4">
              <w:rPr>
                <w:rFonts w:ascii="Times New Roman" w:hAnsi="Times New Roman"/>
                <w:sz w:val="24"/>
                <w:szCs w:val="24"/>
                <w:lang w:eastAsia="ru-RU"/>
              </w:rPr>
              <w:t>Дальневосточный</w:t>
            </w:r>
          </w:p>
          <w:p w:rsidR="00FA027B" w:rsidRPr="000A50F4" w:rsidRDefault="00FA027B" w:rsidP="00FA027B">
            <w:pPr>
              <w:spacing w:after="0" w:line="240" w:lineRule="auto"/>
              <w:rPr>
                <w:rFonts w:ascii="Times New Roman" w:hAnsi="Times New Roman"/>
                <w:sz w:val="24"/>
                <w:szCs w:val="24"/>
                <w:lang w:eastAsia="ru-RU"/>
              </w:rPr>
            </w:pPr>
          </w:p>
        </w:tc>
        <w:tc>
          <w:tcPr>
            <w:tcW w:w="1116"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19355,5</w:t>
            </w:r>
          </w:p>
        </w:tc>
        <w:tc>
          <w:tcPr>
            <w:tcW w:w="1168"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20370,6</w:t>
            </w:r>
          </w:p>
        </w:tc>
        <w:tc>
          <w:tcPr>
            <w:tcW w:w="1218" w:type="dxa"/>
            <w:tcBorders>
              <w:top w:val="nil"/>
              <w:left w:val="nil"/>
              <w:bottom w:val="single" w:sz="4" w:space="0" w:color="auto"/>
              <w:right w:val="single" w:sz="8" w:space="0" w:color="auto"/>
            </w:tcBorders>
            <w:hideMark/>
          </w:tcPr>
          <w:p w:rsidR="00FA027B" w:rsidRPr="000A50F4" w:rsidRDefault="00FA027B" w:rsidP="00FA027B">
            <w:pPr>
              <w:spacing w:after="0" w:line="240" w:lineRule="auto"/>
              <w:jc w:val="center"/>
              <w:rPr>
                <w:rFonts w:ascii="Times New Roman" w:hAnsi="Times New Roman"/>
                <w:bCs/>
                <w:sz w:val="24"/>
                <w:szCs w:val="24"/>
                <w:lang w:eastAsia="ru-RU"/>
              </w:rPr>
            </w:pPr>
            <w:r w:rsidRPr="000A50F4">
              <w:rPr>
                <w:rFonts w:ascii="Times New Roman" w:hAnsi="Times New Roman"/>
                <w:bCs/>
                <w:sz w:val="24"/>
                <w:szCs w:val="24"/>
                <w:lang w:eastAsia="ru-RU"/>
              </w:rPr>
              <w:t>5,2</w:t>
            </w:r>
          </w:p>
        </w:tc>
        <w:tc>
          <w:tcPr>
            <w:tcW w:w="980"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4111,6</w:t>
            </w:r>
          </w:p>
        </w:tc>
        <w:tc>
          <w:tcPr>
            <w:tcW w:w="960"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4180,7</w:t>
            </w:r>
          </w:p>
        </w:tc>
        <w:tc>
          <w:tcPr>
            <w:tcW w:w="1218" w:type="dxa"/>
            <w:tcBorders>
              <w:top w:val="nil"/>
              <w:left w:val="nil"/>
              <w:bottom w:val="single" w:sz="4" w:space="0" w:color="auto"/>
              <w:right w:val="single" w:sz="8" w:space="0" w:color="auto"/>
            </w:tcBorders>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1,7</w:t>
            </w:r>
          </w:p>
        </w:tc>
        <w:tc>
          <w:tcPr>
            <w:tcW w:w="1100"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10008,6</w:t>
            </w:r>
          </w:p>
        </w:tc>
        <w:tc>
          <w:tcPr>
            <w:tcW w:w="1186" w:type="dxa"/>
            <w:tcBorders>
              <w:top w:val="nil"/>
              <w:left w:val="nil"/>
              <w:bottom w:val="single" w:sz="4" w:space="0" w:color="auto"/>
              <w:right w:val="single" w:sz="4" w:space="0" w:color="auto"/>
            </w:tcBorders>
            <w:hideMark/>
          </w:tcPr>
          <w:p w:rsidR="00FA027B" w:rsidRPr="000A50F4" w:rsidRDefault="00FA027B" w:rsidP="00FA027B">
            <w:pPr>
              <w:spacing w:after="0" w:line="240" w:lineRule="auto"/>
              <w:jc w:val="right"/>
              <w:rPr>
                <w:rFonts w:ascii="Times New Roman" w:hAnsi="Times New Roman"/>
                <w:bCs/>
                <w:sz w:val="24"/>
                <w:szCs w:val="24"/>
                <w:lang w:eastAsia="ru-RU"/>
              </w:rPr>
            </w:pPr>
            <w:r w:rsidRPr="000A50F4">
              <w:rPr>
                <w:rFonts w:ascii="Times New Roman" w:hAnsi="Times New Roman"/>
                <w:bCs/>
                <w:sz w:val="24"/>
                <w:szCs w:val="24"/>
                <w:lang w:eastAsia="ru-RU"/>
              </w:rPr>
              <w:t>9229,0</w:t>
            </w:r>
          </w:p>
        </w:tc>
        <w:tc>
          <w:tcPr>
            <w:tcW w:w="1218" w:type="dxa"/>
            <w:tcBorders>
              <w:top w:val="nil"/>
              <w:left w:val="nil"/>
              <w:bottom w:val="single" w:sz="4" w:space="0" w:color="auto"/>
              <w:right w:val="single" w:sz="8" w:space="0" w:color="auto"/>
            </w:tcBorders>
          </w:tcPr>
          <w:p w:rsidR="00FA027B" w:rsidRPr="000A50F4" w:rsidRDefault="00FA027B" w:rsidP="00FA027B">
            <w:pPr>
              <w:spacing w:after="0" w:line="240" w:lineRule="auto"/>
              <w:jc w:val="right"/>
              <w:rPr>
                <w:rFonts w:ascii="Times New Roman" w:hAnsi="Times New Roman"/>
                <w:sz w:val="24"/>
                <w:szCs w:val="24"/>
                <w:lang w:eastAsia="ru-RU"/>
              </w:rPr>
            </w:pPr>
            <w:r w:rsidRPr="000A50F4">
              <w:rPr>
                <w:rFonts w:ascii="Times New Roman" w:hAnsi="Times New Roman"/>
                <w:sz w:val="24"/>
                <w:szCs w:val="24"/>
                <w:lang w:eastAsia="ru-RU"/>
              </w:rPr>
              <w:t>-7,8</w:t>
            </w:r>
          </w:p>
        </w:tc>
      </w:tr>
    </w:tbl>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FA027B" w:rsidRDefault="00FA027B" w:rsidP="005E58C6">
      <w:pPr>
        <w:widowControl w:val="0"/>
        <w:spacing w:after="0" w:line="312" w:lineRule="auto"/>
        <w:ind w:firstLine="709"/>
        <w:jc w:val="both"/>
        <w:rPr>
          <w:rFonts w:ascii="Times New Roman" w:hAnsi="Times New Roman" w:cs="Times New Roman"/>
          <w:sz w:val="28"/>
          <w:szCs w:val="28"/>
        </w:rPr>
        <w:sectPr w:rsidR="00FA027B" w:rsidSect="00FA027B">
          <w:pgSz w:w="16838" w:h="11906" w:orient="landscape" w:code="9"/>
          <w:pgMar w:top="993" w:right="1134" w:bottom="851" w:left="1134" w:header="709" w:footer="709" w:gutter="0"/>
          <w:cols w:space="708"/>
          <w:titlePg/>
          <w:docGrid w:linePitch="360"/>
        </w:sectPr>
      </w:pPr>
    </w:p>
    <w:p w:rsidR="005E58C6" w:rsidRPr="00FA027B" w:rsidRDefault="005E58C6" w:rsidP="005E58C6">
      <w:pPr>
        <w:widowControl w:val="0"/>
        <w:spacing w:after="0" w:line="312" w:lineRule="auto"/>
        <w:ind w:firstLine="709"/>
        <w:jc w:val="both"/>
        <w:rPr>
          <w:rFonts w:ascii="Times New Roman" w:hAnsi="Times New Roman" w:cs="Times New Roman"/>
          <w:b/>
          <w:i/>
          <w:sz w:val="28"/>
          <w:szCs w:val="28"/>
        </w:rPr>
      </w:pPr>
      <w:r w:rsidRPr="00FA027B">
        <w:rPr>
          <w:rFonts w:ascii="Times New Roman" w:hAnsi="Times New Roman" w:cs="Times New Roman"/>
          <w:b/>
          <w:i/>
          <w:sz w:val="28"/>
          <w:szCs w:val="28"/>
        </w:rPr>
        <w:lastRenderedPageBreak/>
        <w:t xml:space="preserve">Заболеваемость злокачественными новообразованиями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Российской Федерац</w:t>
      </w:r>
      <w:r w:rsidR="00FA027B">
        <w:rPr>
          <w:rFonts w:ascii="Times New Roman" w:hAnsi="Times New Roman" w:cs="Times New Roman"/>
          <w:sz w:val="28"/>
          <w:szCs w:val="28"/>
        </w:rPr>
        <w:t>ии впервые в жизни выявлено 624 </w:t>
      </w:r>
      <w:r w:rsidRPr="005E58C6">
        <w:rPr>
          <w:rFonts w:ascii="Times New Roman" w:hAnsi="Times New Roman" w:cs="Times New Roman"/>
          <w:sz w:val="28"/>
          <w:szCs w:val="28"/>
        </w:rPr>
        <w:t>709 случаев злокачественных новообразований (в том числе 285 949 и 338 760 мужчин и женщин соответственно), рост на 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2017 годом.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Показатель первичной заболеваемости злокачественными новообразованиями в Российской Федерации в 2018 году составил 425,3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что на 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выше уровня 2017 года и на 23,1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выше уровня 2008 года.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часто встречающимися злокачественными новообразованиями в России в 2018 году (как и в предшествующие годы) были опухоли кожи (14,4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новых случаев рака), молочной железы (11,4</w:t>
      </w:r>
      <w:r w:rsidR="00000709">
        <w:rPr>
          <w:rFonts w:ascii="Times New Roman" w:hAnsi="Times New Roman" w:cs="Times New Roman"/>
          <w:sz w:val="28"/>
          <w:szCs w:val="28"/>
        </w:rPr>
        <w:t> %</w:t>
      </w:r>
      <w:r w:rsidRPr="005E58C6">
        <w:rPr>
          <w:rFonts w:ascii="Times New Roman" w:hAnsi="Times New Roman" w:cs="Times New Roman"/>
          <w:sz w:val="28"/>
          <w:szCs w:val="28"/>
        </w:rPr>
        <w:t>), трахеи, бронхов, легкого (9,9</w:t>
      </w:r>
      <w:r w:rsidR="00000709">
        <w:rPr>
          <w:rFonts w:ascii="Times New Roman" w:hAnsi="Times New Roman" w:cs="Times New Roman"/>
          <w:sz w:val="28"/>
          <w:szCs w:val="28"/>
        </w:rPr>
        <w:t> %</w:t>
      </w:r>
      <w:r w:rsidRPr="005E58C6">
        <w:rPr>
          <w:rFonts w:ascii="Times New Roman" w:hAnsi="Times New Roman" w:cs="Times New Roman"/>
          <w:sz w:val="28"/>
          <w:szCs w:val="28"/>
        </w:rPr>
        <w:t>), ободочной кишки (6,9</w:t>
      </w:r>
      <w:r w:rsidR="00000709">
        <w:rPr>
          <w:rFonts w:ascii="Times New Roman" w:hAnsi="Times New Roman" w:cs="Times New Roman"/>
          <w:sz w:val="28"/>
          <w:szCs w:val="28"/>
        </w:rPr>
        <w:t> %</w:t>
      </w:r>
      <w:r w:rsidRPr="005E58C6">
        <w:rPr>
          <w:rFonts w:ascii="Times New Roman" w:hAnsi="Times New Roman" w:cs="Times New Roman"/>
          <w:sz w:val="28"/>
          <w:szCs w:val="28"/>
        </w:rPr>
        <w:t>), желудка (5,9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структуре заболеваемости мужчин большой удельный вес имеют опухоли трахеи, бронхов, легкого (16,9</w:t>
      </w:r>
      <w:r w:rsidR="00000709">
        <w:rPr>
          <w:rFonts w:ascii="Times New Roman" w:hAnsi="Times New Roman" w:cs="Times New Roman"/>
          <w:sz w:val="28"/>
          <w:szCs w:val="28"/>
        </w:rPr>
        <w:t> %</w:t>
      </w:r>
      <w:r w:rsidRPr="005E58C6">
        <w:rPr>
          <w:rFonts w:ascii="Times New Roman" w:hAnsi="Times New Roman" w:cs="Times New Roman"/>
          <w:sz w:val="28"/>
          <w:szCs w:val="28"/>
        </w:rPr>
        <w:t>), предстательной железы (14,9</w:t>
      </w:r>
      <w:r w:rsidR="00000709">
        <w:rPr>
          <w:rFonts w:ascii="Times New Roman" w:hAnsi="Times New Roman" w:cs="Times New Roman"/>
          <w:sz w:val="28"/>
          <w:szCs w:val="28"/>
        </w:rPr>
        <w:t> %</w:t>
      </w:r>
      <w:r w:rsidRPr="005E58C6">
        <w:rPr>
          <w:rFonts w:ascii="Times New Roman" w:hAnsi="Times New Roman" w:cs="Times New Roman"/>
          <w:sz w:val="28"/>
          <w:szCs w:val="28"/>
        </w:rPr>
        <w:t>), кожи (11,7</w:t>
      </w:r>
      <w:r w:rsidR="00000709">
        <w:rPr>
          <w:rFonts w:ascii="Times New Roman" w:hAnsi="Times New Roman" w:cs="Times New Roman"/>
          <w:sz w:val="28"/>
          <w:szCs w:val="28"/>
        </w:rPr>
        <w:t> %</w:t>
      </w:r>
      <w:r w:rsidRPr="005E58C6">
        <w:rPr>
          <w:rFonts w:ascii="Times New Roman" w:hAnsi="Times New Roman" w:cs="Times New Roman"/>
          <w:sz w:val="28"/>
          <w:szCs w:val="28"/>
        </w:rPr>
        <w:t>), желудка (7,4</w:t>
      </w:r>
      <w:r w:rsidR="00000709">
        <w:rPr>
          <w:rFonts w:ascii="Times New Roman" w:hAnsi="Times New Roman" w:cs="Times New Roman"/>
          <w:sz w:val="28"/>
          <w:szCs w:val="28"/>
        </w:rPr>
        <w:t> %</w:t>
      </w:r>
      <w:r w:rsidRPr="005E58C6">
        <w:rPr>
          <w:rFonts w:ascii="Times New Roman" w:hAnsi="Times New Roman" w:cs="Times New Roman"/>
          <w:sz w:val="28"/>
          <w:szCs w:val="28"/>
        </w:rPr>
        <w:t>), ободочной кишки (6,6</w:t>
      </w:r>
      <w:r w:rsidR="00000709">
        <w:rPr>
          <w:rFonts w:ascii="Times New Roman" w:hAnsi="Times New Roman" w:cs="Times New Roman"/>
          <w:sz w:val="28"/>
          <w:szCs w:val="28"/>
        </w:rPr>
        <w:t> %</w:t>
      </w:r>
      <w:r w:rsidRPr="005E58C6">
        <w:rPr>
          <w:rFonts w:ascii="Times New Roman" w:hAnsi="Times New Roman" w:cs="Times New Roman"/>
          <w:sz w:val="28"/>
          <w:szCs w:val="28"/>
        </w:rPr>
        <w:t>), прямой кишки (5,5</w:t>
      </w:r>
      <w:r w:rsidR="00000709">
        <w:rPr>
          <w:rFonts w:ascii="Times New Roman" w:hAnsi="Times New Roman" w:cs="Times New Roman"/>
          <w:sz w:val="28"/>
          <w:szCs w:val="28"/>
        </w:rPr>
        <w:t> %</w:t>
      </w:r>
      <w:r w:rsidRPr="005E58C6">
        <w:rPr>
          <w:rFonts w:ascii="Times New Roman" w:hAnsi="Times New Roman" w:cs="Times New Roman"/>
          <w:sz w:val="28"/>
          <w:szCs w:val="28"/>
        </w:rPr>
        <w:t>), кроветворной и лимфатической ткани (5,0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Первое место по распространенности в женской популяции принадлежит злокачественным новообразованиям молочной железы (20,9</w:t>
      </w:r>
      <w:r w:rsidR="00000709">
        <w:rPr>
          <w:rFonts w:ascii="Times New Roman" w:hAnsi="Times New Roman" w:cs="Times New Roman"/>
          <w:sz w:val="28"/>
          <w:szCs w:val="28"/>
        </w:rPr>
        <w:t> %</w:t>
      </w:r>
      <w:r w:rsidRPr="005E58C6">
        <w:rPr>
          <w:rFonts w:ascii="Times New Roman" w:hAnsi="Times New Roman" w:cs="Times New Roman"/>
          <w:sz w:val="28"/>
          <w:szCs w:val="28"/>
        </w:rPr>
        <w:t>), далее следуют опухоли кожи (16,7</w:t>
      </w:r>
      <w:r w:rsidR="00000709">
        <w:rPr>
          <w:rFonts w:ascii="Times New Roman" w:hAnsi="Times New Roman" w:cs="Times New Roman"/>
          <w:sz w:val="28"/>
          <w:szCs w:val="28"/>
        </w:rPr>
        <w:t> %</w:t>
      </w:r>
      <w:r w:rsidRPr="005E58C6">
        <w:rPr>
          <w:rFonts w:ascii="Times New Roman" w:hAnsi="Times New Roman" w:cs="Times New Roman"/>
          <w:sz w:val="28"/>
          <w:szCs w:val="28"/>
        </w:rPr>
        <w:t>), тела матки (8,0</w:t>
      </w:r>
      <w:r w:rsidR="00000709">
        <w:rPr>
          <w:rFonts w:ascii="Times New Roman" w:hAnsi="Times New Roman" w:cs="Times New Roman"/>
          <w:sz w:val="28"/>
          <w:szCs w:val="28"/>
        </w:rPr>
        <w:t> %</w:t>
      </w:r>
      <w:r w:rsidRPr="005E58C6">
        <w:rPr>
          <w:rFonts w:ascii="Times New Roman" w:hAnsi="Times New Roman" w:cs="Times New Roman"/>
          <w:sz w:val="28"/>
          <w:szCs w:val="28"/>
        </w:rPr>
        <w:t>), ободочной кишки (7,2</w:t>
      </w:r>
      <w:r w:rsidR="00000709">
        <w:rPr>
          <w:rFonts w:ascii="Times New Roman" w:hAnsi="Times New Roman" w:cs="Times New Roman"/>
          <w:sz w:val="28"/>
          <w:szCs w:val="28"/>
        </w:rPr>
        <w:t> %</w:t>
      </w:r>
      <w:r w:rsidRPr="005E58C6">
        <w:rPr>
          <w:rFonts w:ascii="Times New Roman" w:hAnsi="Times New Roman" w:cs="Times New Roman"/>
          <w:sz w:val="28"/>
          <w:szCs w:val="28"/>
        </w:rPr>
        <w:t>), шейки матки (5,2</w:t>
      </w:r>
      <w:r w:rsidR="00000709">
        <w:rPr>
          <w:rFonts w:ascii="Times New Roman" w:hAnsi="Times New Roman" w:cs="Times New Roman"/>
          <w:sz w:val="28"/>
          <w:szCs w:val="28"/>
        </w:rPr>
        <w:t> %</w:t>
      </w:r>
      <w:r w:rsidRPr="005E58C6">
        <w:rPr>
          <w:rFonts w:ascii="Times New Roman" w:hAnsi="Times New Roman" w:cs="Times New Roman"/>
          <w:sz w:val="28"/>
          <w:szCs w:val="28"/>
        </w:rPr>
        <w:t>), желудка (4,6</w:t>
      </w:r>
      <w:r w:rsidR="00000709">
        <w:rPr>
          <w:rFonts w:ascii="Times New Roman" w:hAnsi="Times New Roman" w:cs="Times New Roman"/>
          <w:sz w:val="28"/>
          <w:szCs w:val="28"/>
        </w:rPr>
        <w:t> %</w:t>
      </w:r>
      <w:r w:rsidRPr="005E58C6">
        <w:rPr>
          <w:rFonts w:ascii="Times New Roman" w:hAnsi="Times New Roman" w:cs="Times New Roman"/>
          <w:sz w:val="28"/>
          <w:szCs w:val="28"/>
        </w:rPr>
        <w:t>), прямой кишки (4,5</w:t>
      </w:r>
      <w:r w:rsidR="00000709">
        <w:rPr>
          <w:rFonts w:ascii="Times New Roman" w:hAnsi="Times New Roman" w:cs="Times New Roman"/>
          <w:sz w:val="28"/>
          <w:szCs w:val="28"/>
        </w:rPr>
        <w:t> %</w:t>
      </w:r>
      <w:r w:rsidRPr="005E58C6">
        <w:rPr>
          <w:rFonts w:ascii="Times New Roman" w:hAnsi="Times New Roman" w:cs="Times New Roman"/>
          <w:sz w:val="28"/>
          <w:szCs w:val="28"/>
        </w:rPr>
        <w:t>), яичника (4,2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Максимальные уровни показателя первичной заболеваемости отмечены в Пензенской (533,8), Архангельской (534,4) областях, Алтайском крае (530,5), Рязанской (524,8), Курской (523,0), Ярославской (523,0), Курганской (517,9) областях; минимальные в Чеченской Республике (156,4), республиках Дагестан (164,8), Ингушетия (176,8), Ямало-Ненецком автономном округе (218,2), республиках Тыва (244,0), Алтай (260,96) и Саха (Якутия) (262,2).</w:t>
      </w:r>
    </w:p>
    <w:p w:rsidR="005E58C6" w:rsidRPr="005E58C6" w:rsidRDefault="005E58C6" w:rsidP="00FA027B">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конец 2018 года контингент больных составил 3 762 218 человек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3 630 567;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3 518 842), т.е. 2,6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населения страны. Из них сельские жители составили 20,8</w:t>
      </w:r>
      <w:r w:rsidR="00000709">
        <w:rPr>
          <w:rFonts w:ascii="Times New Roman" w:hAnsi="Times New Roman" w:cs="Times New Roman"/>
          <w:sz w:val="28"/>
          <w:szCs w:val="28"/>
        </w:rPr>
        <w:t> %</w:t>
      </w:r>
      <w:r w:rsidRPr="005E58C6">
        <w:rPr>
          <w:rFonts w:ascii="Times New Roman" w:hAnsi="Times New Roman" w:cs="Times New Roman"/>
          <w:sz w:val="28"/>
          <w:szCs w:val="28"/>
        </w:rPr>
        <w:t>, дети до 18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Показатель распространенности злокачественных новообразований в 2018 году составил 2 561,4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что выше уровня 2008 года (1 836,6) на 39,5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Увеличение данного показателя обусловлено как ростом заболеваемости и выявляемости, так и увеличением выживаемости онкологических больных.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Максимальные значения данного показателя отмечены в Курской области (3342,5), Республике Мордовия (3302,9), Калужской (3235,3), Краснодарском крае (3225,8), Псковской (3124,2), Рязанской (3107,7) областях; минимальные в республиках Дагестан (883,8), Тыва (988,7), Ингушетия (1170,2), Саха (Якутия) (1243,9), Чеченской Республике (1036,0).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Удельный вес больных злокачественными новообразованиями, состоящих на учете онкологических учреждений Российской Федерации 5 лет и более с момента установления диагноза злокачественного новообразования составил  в 2018 году 54,4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53,9</w:t>
      </w:r>
      <w:r w:rsidR="00000709">
        <w:rPr>
          <w:rFonts w:ascii="Times New Roman" w:hAnsi="Times New Roman" w:cs="Times New Roman"/>
          <w:sz w:val="28"/>
          <w:szCs w:val="28"/>
        </w:rPr>
        <w:t> %</w:t>
      </w:r>
      <w:r w:rsidRPr="005E58C6">
        <w:rPr>
          <w:rFonts w:ascii="Times New Roman" w:hAnsi="Times New Roman" w:cs="Times New Roman"/>
          <w:sz w:val="28"/>
          <w:szCs w:val="28"/>
        </w:rPr>
        <w:t>). Максимальные показатели наблюдаются в Республике Крым (59,1</w:t>
      </w:r>
      <w:r w:rsidR="00000709">
        <w:rPr>
          <w:rFonts w:ascii="Times New Roman" w:hAnsi="Times New Roman" w:cs="Times New Roman"/>
          <w:sz w:val="28"/>
          <w:szCs w:val="28"/>
        </w:rPr>
        <w:t> %</w:t>
      </w:r>
      <w:r w:rsidRPr="005E58C6">
        <w:rPr>
          <w:rFonts w:ascii="Times New Roman" w:hAnsi="Times New Roman" w:cs="Times New Roman"/>
          <w:sz w:val="28"/>
          <w:szCs w:val="28"/>
        </w:rPr>
        <w:t>), Тверской (58,9</w:t>
      </w:r>
      <w:r w:rsidR="00000709">
        <w:rPr>
          <w:rFonts w:ascii="Times New Roman" w:hAnsi="Times New Roman" w:cs="Times New Roman"/>
          <w:sz w:val="28"/>
          <w:szCs w:val="28"/>
        </w:rPr>
        <w:t> %</w:t>
      </w:r>
      <w:r w:rsidRPr="005E58C6">
        <w:rPr>
          <w:rFonts w:ascii="Times New Roman" w:hAnsi="Times New Roman" w:cs="Times New Roman"/>
          <w:sz w:val="28"/>
          <w:szCs w:val="28"/>
        </w:rPr>
        <w:t>), Калужской (58,5</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республиках Татарстан (58,3</w:t>
      </w:r>
      <w:r w:rsidR="00000709">
        <w:rPr>
          <w:rFonts w:ascii="Times New Roman" w:hAnsi="Times New Roman" w:cs="Times New Roman"/>
          <w:sz w:val="28"/>
          <w:szCs w:val="28"/>
        </w:rPr>
        <w:t> %</w:t>
      </w:r>
      <w:r w:rsidRPr="005E58C6">
        <w:rPr>
          <w:rFonts w:ascii="Times New Roman" w:hAnsi="Times New Roman" w:cs="Times New Roman"/>
          <w:sz w:val="28"/>
          <w:szCs w:val="28"/>
        </w:rPr>
        <w:t>) и Северная Осетия (58,2</w:t>
      </w:r>
      <w:r w:rsidR="00000709">
        <w:rPr>
          <w:rFonts w:ascii="Times New Roman" w:hAnsi="Times New Roman" w:cs="Times New Roman"/>
          <w:sz w:val="28"/>
          <w:szCs w:val="28"/>
        </w:rPr>
        <w:t> %</w:t>
      </w:r>
      <w:r w:rsidRPr="005E58C6">
        <w:rPr>
          <w:rFonts w:ascii="Times New Roman" w:hAnsi="Times New Roman" w:cs="Times New Roman"/>
          <w:sz w:val="28"/>
          <w:szCs w:val="28"/>
        </w:rPr>
        <w:t>); минимальные в Чукотском автономном округе (42,0</w:t>
      </w:r>
      <w:r w:rsidR="00000709">
        <w:rPr>
          <w:rFonts w:ascii="Times New Roman" w:hAnsi="Times New Roman" w:cs="Times New Roman"/>
          <w:sz w:val="28"/>
          <w:szCs w:val="28"/>
        </w:rPr>
        <w:t> %</w:t>
      </w:r>
      <w:r w:rsidRPr="005E58C6">
        <w:rPr>
          <w:rFonts w:ascii="Times New Roman" w:hAnsi="Times New Roman" w:cs="Times New Roman"/>
          <w:sz w:val="28"/>
          <w:szCs w:val="28"/>
        </w:rPr>
        <w:t>), в г. Севастополе (42,4</w:t>
      </w:r>
      <w:r w:rsidR="00000709">
        <w:rPr>
          <w:rFonts w:ascii="Times New Roman" w:hAnsi="Times New Roman" w:cs="Times New Roman"/>
          <w:sz w:val="28"/>
          <w:szCs w:val="28"/>
        </w:rPr>
        <w:t> %</w:t>
      </w:r>
      <w:r w:rsidRPr="005E58C6">
        <w:rPr>
          <w:rFonts w:ascii="Times New Roman" w:hAnsi="Times New Roman" w:cs="Times New Roman"/>
          <w:sz w:val="28"/>
          <w:szCs w:val="28"/>
        </w:rPr>
        <w:t>), Магаданской области (43,1</w:t>
      </w:r>
      <w:r w:rsidR="00000709">
        <w:rPr>
          <w:rFonts w:ascii="Times New Roman" w:hAnsi="Times New Roman" w:cs="Times New Roman"/>
          <w:sz w:val="28"/>
          <w:szCs w:val="28"/>
        </w:rPr>
        <w:t> %</w:t>
      </w:r>
      <w:r w:rsidRPr="005E58C6">
        <w:rPr>
          <w:rFonts w:ascii="Times New Roman" w:hAnsi="Times New Roman" w:cs="Times New Roman"/>
          <w:sz w:val="28"/>
          <w:szCs w:val="28"/>
        </w:rPr>
        <w:t>), Чеченской Республике (44,9</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Дагестан (47,3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активного выявления злокачественных новообразований составил 27,3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Из числа больных, выявленных активно, 77,9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(148 139) имели I-II стадию заболевания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76,2</w:t>
      </w:r>
      <w:r w:rsidR="00000709">
        <w:rPr>
          <w:rFonts w:ascii="Times New Roman" w:hAnsi="Times New Roman" w:cs="Times New Roman"/>
          <w:sz w:val="28"/>
          <w:szCs w:val="28"/>
        </w:rPr>
        <w:t> %</w:t>
      </w:r>
      <w:r w:rsidRPr="005E58C6">
        <w:rPr>
          <w:rFonts w:ascii="Times New Roman" w:hAnsi="Times New Roman" w:cs="Times New Roman"/>
          <w:sz w:val="28"/>
          <w:szCs w:val="28"/>
        </w:rPr>
        <w:t>, 139 604). Опухоли визуальных локализаций I-II стадии заболевания составили 49,2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48,8</w:t>
      </w:r>
      <w:r w:rsidR="00000709">
        <w:rPr>
          <w:rFonts w:ascii="Times New Roman" w:hAnsi="Times New Roman" w:cs="Times New Roman"/>
          <w:sz w:val="28"/>
          <w:szCs w:val="28"/>
        </w:rPr>
        <w:t> %</w:t>
      </w:r>
      <w:r w:rsidRPr="005E58C6">
        <w:rPr>
          <w:rFonts w:ascii="Times New Roman" w:hAnsi="Times New Roman" w:cs="Times New Roman"/>
          <w:sz w:val="28"/>
          <w:szCs w:val="28"/>
        </w:rPr>
        <w:t>) всех новообразований, выявленных при профилактических осмотрах. Доля больных с опухолевым процессом I-II стадии, выявленных активно, среди всех больных с указанной стадией составила в 2018 г. 34,5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Самый низкий удельный вес злокачественных новообразований, выявленных активно, зафиксирован в г. Севастополе (9,8</w:t>
      </w:r>
      <w:r w:rsidR="00000709">
        <w:rPr>
          <w:rFonts w:ascii="Times New Roman" w:hAnsi="Times New Roman" w:cs="Times New Roman"/>
          <w:sz w:val="28"/>
          <w:szCs w:val="28"/>
        </w:rPr>
        <w:t> %</w:t>
      </w:r>
      <w:r w:rsidRPr="005E58C6">
        <w:rPr>
          <w:rFonts w:ascii="Times New Roman" w:hAnsi="Times New Roman" w:cs="Times New Roman"/>
          <w:sz w:val="28"/>
          <w:szCs w:val="28"/>
        </w:rPr>
        <w:t>), Калужской (15,1</w:t>
      </w:r>
      <w:r w:rsidR="00000709">
        <w:rPr>
          <w:rFonts w:ascii="Times New Roman" w:hAnsi="Times New Roman" w:cs="Times New Roman"/>
          <w:sz w:val="28"/>
          <w:szCs w:val="28"/>
        </w:rPr>
        <w:t> %</w:t>
      </w:r>
      <w:r w:rsidRPr="005E58C6">
        <w:rPr>
          <w:rFonts w:ascii="Times New Roman" w:hAnsi="Times New Roman" w:cs="Times New Roman"/>
          <w:sz w:val="28"/>
          <w:szCs w:val="28"/>
        </w:rPr>
        <w:t>), Костромской (17,1</w:t>
      </w:r>
      <w:r w:rsidR="00000709">
        <w:rPr>
          <w:rFonts w:ascii="Times New Roman" w:hAnsi="Times New Roman" w:cs="Times New Roman"/>
          <w:sz w:val="28"/>
          <w:szCs w:val="28"/>
        </w:rPr>
        <w:t> %</w:t>
      </w:r>
      <w:r w:rsidRPr="005E58C6">
        <w:rPr>
          <w:rFonts w:ascii="Times New Roman" w:hAnsi="Times New Roman" w:cs="Times New Roman"/>
          <w:sz w:val="28"/>
          <w:szCs w:val="28"/>
        </w:rPr>
        <w:t>), Псковской (17,1</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Республике Марий Эл (17,5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Максимальные показатели активного выявления отмечены в Тамбовской (50,8</w:t>
      </w:r>
      <w:r w:rsidR="00000709">
        <w:rPr>
          <w:rFonts w:ascii="Times New Roman" w:hAnsi="Times New Roman" w:cs="Times New Roman"/>
          <w:sz w:val="28"/>
          <w:szCs w:val="28"/>
        </w:rPr>
        <w:t> %</w:t>
      </w:r>
      <w:r w:rsidRPr="005E58C6">
        <w:rPr>
          <w:rFonts w:ascii="Times New Roman" w:hAnsi="Times New Roman" w:cs="Times New Roman"/>
          <w:sz w:val="28"/>
          <w:szCs w:val="28"/>
        </w:rPr>
        <w:t>), Оренбургской (41,0</w:t>
      </w:r>
      <w:r w:rsidR="00000709">
        <w:rPr>
          <w:rFonts w:ascii="Times New Roman" w:hAnsi="Times New Roman" w:cs="Times New Roman"/>
          <w:sz w:val="28"/>
          <w:szCs w:val="28"/>
        </w:rPr>
        <w:t> %</w:t>
      </w:r>
      <w:r w:rsidRPr="005E58C6">
        <w:rPr>
          <w:rFonts w:ascii="Times New Roman" w:hAnsi="Times New Roman" w:cs="Times New Roman"/>
          <w:sz w:val="28"/>
          <w:szCs w:val="28"/>
        </w:rPr>
        <w:t>), Курской (38,4</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республиках Алтай (38,3</w:t>
      </w:r>
      <w:r w:rsidR="00000709">
        <w:rPr>
          <w:rFonts w:ascii="Times New Roman" w:hAnsi="Times New Roman" w:cs="Times New Roman"/>
          <w:sz w:val="28"/>
          <w:szCs w:val="28"/>
        </w:rPr>
        <w:t> %</w:t>
      </w:r>
      <w:r w:rsidRPr="005E58C6">
        <w:rPr>
          <w:rFonts w:ascii="Times New Roman" w:hAnsi="Times New Roman" w:cs="Times New Roman"/>
          <w:sz w:val="28"/>
          <w:szCs w:val="28"/>
        </w:rPr>
        <w:t>), Калмыкии (37,7</w:t>
      </w:r>
      <w:r w:rsidR="00000709">
        <w:rPr>
          <w:rFonts w:ascii="Times New Roman" w:hAnsi="Times New Roman" w:cs="Times New Roman"/>
          <w:sz w:val="28"/>
          <w:szCs w:val="28"/>
        </w:rPr>
        <w:t> %</w:t>
      </w:r>
      <w:r w:rsidRPr="005E58C6">
        <w:rPr>
          <w:rFonts w:ascii="Times New Roman" w:hAnsi="Times New Roman" w:cs="Times New Roman"/>
          <w:sz w:val="28"/>
          <w:szCs w:val="28"/>
        </w:rPr>
        <w:t>), Хабаровском (36,5</w:t>
      </w:r>
      <w:r w:rsidR="00000709">
        <w:rPr>
          <w:rFonts w:ascii="Times New Roman" w:hAnsi="Times New Roman" w:cs="Times New Roman"/>
          <w:sz w:val="28"/>
          <w:szCs w:val="28"/>
        </w:rPr>
        <w:t> %</w:t>
      </w:r>
      <w:r w:rsidRPr="005E58C6">
        <w:rPr>
          <w:rFonts w:ascii="Times New Roman" w:hAnsi="Times New Roman" w:cs="Times New Roman"/>
          <w:sz w:val="28"/>
          <w:szCs w:val="28"/>
        </w:rPr>
        <w:t>) и Пермском (36,5</w:t>
      </w:r>
      <w:r w:rsidR="00000709">
        <w:rPr>
          <w:rFonts w:ascii="Times New Roman" w:hAnsi="Times New Roman" w:cs="Times New Roman"/>
          <w:sz w:val="28"/>
          <w:szCs w:val="28"/>
        </w:rPr>
        <w:t> %</w:t>
      </w:r>
      <w:r w:rsidRPr="005E58C6">
        <w:rPr>
          <w:rFonts w:ascii="Times New Roman" w:hAnsi="Times New Roman" w:cs="Times New Roman"/>
          <w:sz w:val="28"/>
          <w:szCs w:val="28"/>
        </w:rPr>
        <w:t>) краях.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Минимальные показатели активного выявления злокачественных </w:t>
      </w:r>
      <w:r w:rsidRPr="005E58C6">
        <w:rPr>
          <w:rFonts w:ascii="Times New Roman" w:hAnsi="Times New Roman" w:cs="Times New Roman"/>
          <w:sz w:val="28"/>
          <w:szCs w:val="28"/>
        </w:rPr>
        <w:lastRenderedPageBreak/>
        <w:t>новообразований молочной железы наблюдаются в республиках Адыгея (17,5</w:t>
      </w:r>
      <w:r w:rsidR="00000709">
        <w:rPr>
          <w:rFonts w:ascii="Times New Roman" w:hAnsi="Times New Roman" w:cs="Times New Roman"/>
          <w:sz w:val="28"/>
          <w:szCs w:val="28"/>
        </w:rPr>
        <w:t> %</w:t>
      </w:r>
      <w:r w:rsidRPr="005E58C6">
        <w:rPr>
          <w:rFonts w:ascii="Times New Roman" w:hAnsi="Times New Roman" w:cs="Times New Roman"/>
          <w:sz w:val="28"/>
          <w:szCs w:val="28"/>
        </w:rPr>
        <w:t>), Северная Осетия (20,8</w:t>
      </w:r>
      <w:r w:rsidR="00000709">
        <w:rPr>
          <w:rFonts w:ascii="Times New Roman" w:hAnsi="Times New Roman" w:cs="Times New Roman"/>
          <w:sz w:val="28"/>
          <w:szCs w:val="28"/>
        </w:rPr>
        <w:t> %</w:t>
      </w:r>
      <w:r w:rsidRPr="005E58C6">
        <w:rPr>
          <w:rFonts w:ascii="Times New Roman" w:hAnsi="Times New Roman" w:cs="Times New Roman"/>
          <w:sz w:val="28"/>
          <w:szCs w:val="28"/>
        </w:rPr>
        <w:t>), Кабардино-Балкария (21,9</w:t>
      </w:r>
      <w:r w:rsidR="00000709">
        <w:rPr>
          <w:rFonts w:ascii="Times New Roman" w:hAnsi="Times New Roman" w:cs="Times New Roman"/>
          <w:sz w:val="28"/>
          <w:szCs w:val="28"/>
        </w:rPr>
        <w:t> %</w:t>
      </w:r>
      <w:r w:rsidRPr="005E58C6">
        <w:rPr>
          <w:rFonts w:ascii="Times New Roman" w:hAnsi="Times New Roman" w:cs="Times New Roman"/>
          <w:sz w:val="28"/>
          <w:szCs w:val="28"/>
        </w:rPr>
        <w:t>), Псковской (22,9</w:t>
      </w:r>
      <w:r w:rsidR="00000709">
        <w:rPr>
          <w:rFonts w:ascii="Times New Roman" w:hAnsi="Times New Roman" w:cs="Times New Roman"/>
          <w:sz w:val="28"/>
          <w:szCs w:val="28"/>
        </w:rPr>
        <w:t> %</w:t>
      </w:r>
      <w:r w:rsidRPr="005E58C6">
        <w:rPr>
          <w:rFonts w:ascii="Times New Roman" w:hAnsi="Times New Roman" w:cs="Times New Roman"/>
          <w:sz w:val="28"/>
          <w:szCs w:val="28"/>
        </w:rPr>
        <w:t>), Калужской (23,2</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(среднероссийский показатель 45,7</w:t>
      </w:r>
      <w:r w:rsidR="00000709">
        <w:rPr>
          <w:rFonts w:ascii="Times New Roman" w:hAnsi="Times New Roman" w:cs="Times New Roman"/>
          <w:sz w:val="28"/>
          <w:szCs w:val="28"/>
        </w:rPr>
        <w:t> %</w:t>
      </w:r>
      <w:r w:rsidRPr="005E58C6">
        <w:rPr>
          <w:rFonts w:ascii="Times New Roman" w:hAnsi="Times New Roman" w:cs="Times New Roman"/>
          <w:sz w:val="28"/>
          <w:szCs w:val="28"/>
        </w:rPr>
        <w:t>); шейки матки в Республике Тыва (10,5</w:t>
      </w:r>
      <w:r w:rsidR="00000709">
        <w:rPr>
          <w:rFonts w:ascii="Times New Roman" w:hAnsi="Times New Roman" w:cs="Times New Roman"/>
          <w:sz w:val="28"/>
          <w:szCs w:val="28"/>
        </w:rPr>
        <w:t> %</w:t>
      </w:r>
      <w:r w:rsidRPr="005E58C6">
        <w:rPr>
          <w:rFonts w:ascii="Times New Roman" w:hAnsi="Times New Roman" w:cs="Times New Roman"/>
          <w:sz w:val="28"/>
          <w:szCs w:val="28"/>
        </w:rPr>
        <w:t>), Самарской области (14,6</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республиках Северная Осетия (18,0</w:t>
      </w:r>
      <w:r w:rsidR="00000709">
        <w:rPr>
          <w:rFonts w:ascii="Times New Roman" w:hAnsi="Times New Roman" w:cs="Times New Roman"/>
          <w:sz w:val="28"/>
          <w:szCs w:val="28"/>
        </w:rPr>
        <w:t> %</w:t>
      </w:r>
      <w:r w:rsidRPr="005E58C6">
        <w:rPr>
          <w:rFonts w:ascii="Times New Roman" w:hAnsi="Times New Roman" w:cs="Times New Roman"/>
          <w:sz w:val="28"/>
          <w:szCs w:val="28"/>
        </w:rPr>
        <w:t>), Адыгея (18,5</w:t>
      </w:r>
      <w:r w:rsidR="00000709">
        <w:rPr>
          <w:rFonts w:ascii="Times New Roman" w:hAnsi="Times New Roman" w:cs="Times New Roman"/>
          <w:sz w:val="28"/>
          <w:szCs w:val="28"/>
        </w:rPr>
        <w:t> %</w:t>
      </w:r>
      <w:r w:rsidRPr="005E58C6">
        <w:rPr>
          <w:rFonts w:ascii="Times New Roman" w:hAnsi="Times New Roman" w:cs="Times New Roman"/>
          <w:sz w:val="28"/>
          <w:szCs w:val="28"/>
        </w:rPr>
        <w:t>), Калужской области (19,0</w:t>
      </w:r>
      <w:r w:rsidR="00000709">
        <w:rPr>
          <w:rFonts w:ascii="Times New Roman" w:hAnsi="Times New Roman" w:cs="Times New Roman"/>
          <w:sz w:val="28"/>
          <w:szCs w:val="28"/>
        </w:rPr>
        <w:t> %</w:t>
      </w:r>
      <w:r w:rsidRPr="005E58C6">
        <w:rPr>
          <w:rFonts w:ascii="Times New Roman" w:hAnsi="Times New Roman" w:cs="Times New Roman"/>
          <w:sz w:val="28"/>
          <w:szCs w:val="28"/>
        </w:rPr>
        <w:t>) (среднероссийский показатель 41,8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доля больных с морфологически подтвержденным диагнозом злокачественного новообразования несколько выше (93,0</w:t>
      </w:r>
      <w:r w:rsidR="00000709">
        <w:rPr>
          <w:rFonts w:ascii="Times New Roman" w:hAnsi="Times New Roman" w:cs="Times New Roman"/>
          <w:sz w:val="28"/>
          <w:szCs w:val="28"/>
        </w:rPr>
        <w:t> %</w:t>
      </w:r>
      <w:r w:rsidRPr="005E58C6">
        <w:rPr>
          <w:rFonts w:ascii="Times New Roman" w:hAnsi="Times New Roman" w:cs="Times New Roman"/>
          <w:sz w:val="28"/>
          <w:szCs w:val="28"/>
        </w:rPr>
        <w:t>), чем в 2017 году (92,4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высокая доля морфологической верификации диагноза отмечена в Республике Карелия (99,5</w:t>
      </w:r>
      <w:r w:rsidR="00000709">
        <w:rPr>
          <w:rFonts w:ascii="Times New Roman" w:hAnsi="Times New Roman" w:cs="Times New Roman"/>
          <w:sz w:val="28"/>
          <w:szCs w:val="28"/>
        </w:rPr>
        <w:t> %</w:t>
      </w:r>
      <w:r w:rsidRPr="005E58C6">
        <w:rPr>
          <w:rFonts w:ascii="Times New Roman" w:hAnsi="Times New Roman" w:cs="Times New Roman"/>
          <w:sz w:val="28"/>
          <w:szCs w:val="28"/>
        </w:rPr>
        <w:t>), Астраханской и Тамбовской областях (99,2</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Мордовия (98,3</w:t>
      </w:r>
      <w:r w:rsidR="00000709">
        <w:rPr>
          <w:rFonts w:ascii="Times New Roman" w:hAnsi="Times New Roman" w:cs="Times New Roman"/>
          <w:sz w:val="28"/>
          <w:szCs w:val="28"/>
        </w:rPr>
        <w:t> %</w:t>
      </w:r>
      <w:r w:rsidRPr="005E58C6">
        <w:rPr>
          <w:rFonts w:ascii="Times New Roman" w:hAnsi="Times New Roman" w:cs="Times New Roman"/>
          <w:sz w:val="28"/>
          <w:szCs w:val="28"/>
        </w:rPr>
        <w:t>), Ярославской области (98,2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Одним из основных показателей, определяющих прогноз онкологического заболевания, является степень распространенности опухолевого процесса на момент диагностики. В 2018 году 30,6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злокачественных новообразований были диагностированы в I стадии заболевания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29,8</w:t>
      </w:r>
      <w:r w:rsidR="00000709">
        <w:rPr>
          <w:rFonts w:ascii="Times New Roman" w:hAnsi="Times New Roman" w:cs="Times New Roman"/>
          <w:sz w:val="28"/>
          <w:szCs w:val="28"/>
        </w:rPr>
        <w:t> %</w:t>
      </w:r>
      <w:r w:rsidRPr="005E58C6">
        <w:rPr>
          <w:rFonts w:ascii="Times New Roman" w:hAnsi="Times New Roman" w:cs="Times New Roman"/>
          <w:sz w:val="28"/>
          <w:szCs w:val="28"/>
        </w:rPr>
        <w:t>), 25,8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во II стадии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25,8</w:t>
      </w:r>
      <w:r w:rsidR="00000709">
        <w:rPr>
          <w:rFonts w:ascii="Times New Roman" w:hAnsi="Times New Roman" w:cs="Times New Roman"/>
          <w:sz w:val="28"/>
          <w:szCs w:val="28"/>
        </w:rPr>
        <w:t> %</w:t>
      </w:r>
      <w:r w:rsidRPr="005E58C6">
        <w:rPr>
          <w:rFonts w:ascii="Times New Roman" w:hAnsi="Times New Roman" w:cs="Times New Roman"/>
          <w:sz w:val="28"/>
          <w:szCs w:val="28"/>
        </w:rPr>
        <w:t>), 18,2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III стадии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Было выявлено 8 300 случаев в стадии in situ, что соответствует 1,3 (2017 год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 случаев на 100 впервые выявленных злокачественных новообразований. Рак шейки матки в стадии in situ диагностирован в 4490 случаях (25,3 случаев на 100 впервые выявленных злокачественных новообразований шейки матки;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25,2); молочной железы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1187  и 1,7 соответственно.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 среднероссийском показателе 5,1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высок удельный вес опухолей не установленной стадии (вместе с нестадируемыми) в Севастополе (14,0</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республиках Адыгея (12,3</w:t>
      </w:r>
      <w:r w:rsidR="00000709">
        <w:rPr>
          <w:rFonts w:ascii="Times New Roman" w:hAnsi="Times New Roman" w:cs="Times New Roman"/>
          <w:sz w:val="28"/>
          <w:szCs w:val="28"/>
        </w:rPr>
        <w:t> %</w:t>
      </w:r>
      <w:r w:rsidRPr="005E58C6">
        <w:rPr>
          <w:rFonts w:ascii="Times New Roman" w:hAnsi="Times New Roman" w:cs="Times New Roman"/>
          <w:sz w:val="28"/>
          <w:szCs w:val="28"/>
        </w:rPr>
        <w:t>), Хакасия (11,4</w:t>
      </w:r>
      <w:r w:rsidR="00000709">
        <w:rPr>
          <w:rFonts w:ascii="Times New Roman" w:hAnsi="Times New Roman" w:cs="Times New Roman"/>
          <w:sz w:val="28"/>
          <w:szCs w:val="28"/>
        </w:rPr>
        <w:t> %</w:t>
      </w:r>
      <w:r w:rsidRPr="005E58C6">
        <w:rPr>
          <w:rFonts w:ascii="Times New Roman" w:hAnsi="Times New Roman" w:cs="Times New Roman"/>
          <w:sz w:val="28"/>
          <w:szCs w:val="28"/>
        </w:rPr>
        <w:t>), Ставропольском (8,9</w:t>
      </w:r>
      <w:r w:rsidR="00000709">
        <w:rPr>
          <w:rFonts w:ascii="Times New Roman" w:hAnsi="Times New Roman" w:cs="Times New Roman"/>
          <w:sz w:val="28"/>
          <w:szCs w:val="28"/>
        </w:rPr>
        <w:t> %</w:t>
      </w:r>
      <w:r w:rsidRPr="005E58C6">
        <w:rPr>
          <w:rFonts w:ascii="Times New Roman" w:hAnsi="Times New Roman" w:cs="Times New Roman"/>
          <w:sz w:val="28"/>
          <w:szCs w:val="28"/>
        </w:rPr>
        <w:t>), Алтайском (8,5</w:t>
      </w:r>
      <w:r w:rsidR="00000709">
        <w:rPr>
          <w:rFonts w:ascii="Times New Roman" w:hAnsi="Times New Roman" w:cs="Times New Roman"/>
          <w:sz w:val="28"/>
          <w:szCs w:val="28"/>
        </w:rPr>
        <w:t> %</w:t>
      </w:r>
      <w:r w:rsidRPr="005E58C6">
        <w:rPr>
          <w:rFonts w:ascii="Times New Roman" w:hAnsi="Times New Roman" w:cs="Times New Roman"/>
          <w:sz w:val="28"/>
          <w:szCs w:val="28"/>
        </w:rPr>
        <w:t>) краях.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России 20,3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злокачественных новообразований диагностированы при наличии отдаленных метастазов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20,2</w:t>
      </w:r>
      <w:r w:rsidR="00000709">
        <w:rPr>
          <w:rFonts w:ascii="Times New Roman" w:hAnsi="Times New Roman" w:cs="Times New Roman"/>
          <w:sz w:val="28"/>
          <w:szCs w:val="28"/>
        </w:rPr>
        <w:t> %</w:t>
      </w:r>
      <w:r w:rsidRPr="005E58C6">
        <w:rPr>
          <w:rFonts w:ascii="Times New Roman" w:hAnsi="Times New Roman" w:cs="Times New Roman"/>
          <w:sz w:val="28"/>
          <w:szCs w:val="28"/>
        </w:rPr>
        <w:t>). Реальный показатель запущенности выше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26,4</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25,8</w:t>
      </w:r>
      <w:r w:rsidR="00000709">
        <w:rPr>
          <w:rFonts w:ascii="Times New Roman" w:hAnsi="Times New Roman" w:cs="Times New Roman"/>
          <w:sz w:val="28"/>
          <w:szCs w:val="28"/>
        </w:rPr>
        <w:t> %</w:t>
      </w:r>
      <w:r w:rsidRPr="005E58C6">
        <w:rPr>
          <w:rFonts w:ascii="Times New Roman" w:hAnsi="Times New Roman" w:cs="Times New Roman"/>
          <w:sz w:val="28"/>
          <w:szCs w:val="28"/>
        </w:rPr>
        <w:t>), так как следует учитывать и новообразования визуальных локализаций, диагностированные в III стадии.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высокий удельный вес опухолей IV стадии зафиксирован в Чукотском автономном округе (32,2</w:t>
      </w:r>
      <w:r w:rsidR="00000709">
        <w:rPr>
          <w:rFonts w:ascii="Times New Roman" w:hAnsi="Times New Roman" w:cs="Times New Roman"/>
          <w:sz w:val="28"/>
          <w:szCs w:val="28"/>
        </w:rPr>
        <w:t> %</w:t>
      </w:r>
      <w:r w:rsidRPr="005E58C6">
        <w:rPr>
          <w:rFonts w:ascii="Times New Roman" w:hAnsi="Times New Roman" w:cs="Times New Roman"/>
          <w:sz w:val="28"/>
          <w:szCs w:val="28"/>
        </w:rPr>
        <w:t>), Астраханской области (31,6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Ненецком автономном округе (29,2</w:t>
      </w:r>
      <w:r w:rsidR="00000709">
        <w:rPr>
          <w:rFonts w:ascii="Times New Roman" w:hAnsi="Times New Roman" w:cs="Times New Roman"/>
          <w:sz w:val="28"/>
          <w:szCs w:val="28"/>
        </w:rPr>
        <w:t> %</w:t>
      </w:r>
      <w:r w:rsidRPr="005E58C6">
        <w:rPr>
          <w:rFonts w:ascii="Times New Roman" w:hAnsi="Times New Roman" w:cs="Times New Roman"/>
          <w:sz w:val="28"/>
          <w:szCs w:val="28"/>
        </w:rPr>
        <w:t>), Тульской (29,1</w:t>
      </w:r>
      <w:r w:rsidR="00000709">
        <w:rPr>
          <w:rFonts w:ascii="Times New Roman" w:hAnsi="Times New Roman" w:cs="Times New Roman"/>
          <w:sz w:val="28"/>
          <w:szCs w:val="28"/>
        </w:rPr>
        <w:t> %</w:t>
      </w:r>
      <w:r w:rsidRPr="005E58C6">
        <w:rPr>
          <w:rFonts w:ascii="Times New Roman" w:hAnsi="Times New Roman" w:cs="Times New Roman"/>
          <w:sz w:val="28"/>
          <w:szCs w:val="28"/>
        </w:rPr>
        <w:t>), Брянской (28,7</w:t>
      </w:r>
      <w:r w:rsidR="00000709">
        <w:rPr>
          <w:rFonts w:ascii="Times New Roman" w:hAnsi="Times New Roman" w:cs="Times New Roman"/>
          <w:sz w:val="28"/>
          <w:szCs w:val="28"/>
        </w:rPr>
        <w:t> %</w:t>
      </w:r>
      <w:r w:rsidRPr="005E58C6">
        <w:rPr>
          <w:rFonts w:ascii="Times New Roman" w:hAnsi="Times New Roman" w:cs="Times New Roman"/>
          <w:sz w:val="28"/>
          <w:szCs w:val="28"/>
        </w:rPr>
        <w:t>), Магаданской (28,5</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(28,4</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Достаточно высокие показатели запущенности отмечены при диагностике новообразований визуальных локализаций. В поздних стадиях (III-IV) выявлены 62,0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опухолей полости рта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62,4</w:t>
      </w:r>
      <w:r w:rsidR="00000709">
        <w:rPr>
          <w:rFonts w:ascii="Times New Roman" w:hAnsi="Times New Roman" w:cs="Times New Roman"/>
          <w:sz w:val="28"/>
          <w:szCs w:val="28"/>
        </w:rPr>
        <w:t> %</w:t>
      </w:r>
      <w:r w:rsidRPr="005E58C6">
        <w:rPr>
          <w:rFonts w:ascii="Times New Roman" w:hAnsi="Times New Roman" w:cs="Times New Roman"/>
          <w:sz w:val="28"/>
          <w:szCs w:val="28"/>
        </w:rPr>
        <w:t>); 46,4</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прямой кишки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46,4</w:t>
      </w:r>
      <w:r w:rsidR="00000709">
        <w:rPr>
          <w:rFonts w:ascii="Times New Roman" w:hAnsi="Times New Roman" w:cs="Times New Roman"/>
          <w:sz w:val="28"/>
          <w:szCs w:val="28"/>
        </w:rPr>
        <w:t> %</w:t>
      </w:r>
      <w:r w:rsidRPr="005E58C6">
        <w:rPr>
          <w:rFonts w:ascii="Times New Roman" w:hAnsi="Times New Roman" w:cs="Times New Roman"/>
          <w:sz w:val="28"/>
          <w:szCs w:val="28"/>
        </w:rPr>
        <w:t>); 32,6</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шейки матки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32,4</w:t>
      </w:r>
      <w:r w:rsidR="00000709">
        <w:rPr>
          <w:rFonts w:ascii="Times New Roman" w:hAnsi="Times New Roman" w:cs="Times New Roman"/>
          <w:sz w:val="28"/>
          <w:szCs w:val="28"/>
        </w:rPr>
        <w:t> %</w:t>
      </w:r>
      <w:r w:rsidRPr="005E58C6">
        <w:rPr>
          <w:rFonts w:ascii="Times New Roman" w:hAnsi="Times New Roman" w:cs="Times New Roman"/>
          <w:sz w:val="28"/>
          <w:szCs w:val="28"/>
        </w:rPr>
        <w:t>); 28,4</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молочной железы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29,5</w:t>
      </w:r>
      <w:r w:rsidR="00000709">
        <w:rPr>
          <w:rFonts w:ascii="Times New Roman" w:hAnsi="Times New Roman" w:cs="Times New Roman"/>
          <w:sz w:val="28"/>
          <w:szCs w:val="28"/>
        </w:rPr>
        <w:t> %</w:t>
      </w:r>
      <w:r w:rsidRPr="005E58C6">
        <w:rPr>
          <w:rFonts w:ascii="Times New Roman" w:hAnsi="Times New Roman" w:cs="Times New Roman"/>
          <w:sz w:val="28"/>
          <w:szCs w:val="28"/>
        </w:rPr>
        <w:t>); 21,0</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щитовидной железы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23,2</w:t>
      </w:r>
      <w:r w:rsidR="00000709">
        <w:rPr>
          <w:rFonts w:ascii="Times New Roman" w:hAnsi="Times New Roman" w:cs="Times New Roman"/>
          <w:sz w:val="28"/>
          <w:szCs w:val="28"/>
        </w:rPr>
        <w:t> %</w:t>
      </w:r>
      <w:r w:rsidRPr="005E58C6">
        <w:rPr>
          <w:rFonts w:ascii="Times New Roman" w:hAnsi="Times New Roman" w:cs="Times New Roman"/>
          <w:sz w:val="28"/>
          <w:szCs w:val="28"/>
        </w:rPr>
        <w:t>), показатель запущенности при меланоме кожи составил 19,1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больных, умерших в течение первого года после установления диагноза из взятых на диспансерный учет в предыдущем году, составила 22,2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22,5</w:t>
      </w:r>
      <w:r w:rsidR="00000709">
        <w:rPr>
          <w:rFonts w:ascii="Times New Roman" w:hAnsi="Times New Roman" w:cs="Times New Roman"/>
          <w:sz w:val="28"/>
          <w:szCs w:val="28"/>
        </w:rPr>
        <w:t> %</w:t>
      </w:r>
      <w:r w:rsidRPr="005E58C6">
        <w:rPr>
          <w:rFonts w:ascii="Times New Roman" w:hAnsi="Times New Roman" w:cs="Times New Roman"/>
          <w:sz w:val="28"/>
          <w:szCs w:val="28"/>
        </w:rPr>
        <w:t>, в 2008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29,9</w:t>
      </w:r>
      <w:r w:rsidR="00000709">
        <w:rPr>
          <w:rFonts w:ascii="Times New Roman" w:hAnsi="Times New Roman" w:cs="Times New Roman"/>
          <w:sz w:val="28"/>
          <w:szCs w:val="28"/>
        </w:rPr>
        <w:t> %</w:t>
      </w:r>
      <w:r w:rsidRPr="005E58C6">
        <w:rPr>
          <w:rFonts w:ascii="Times New Roman" w:hAnsi="Times New Roman" w:cs="Times New Roman"/>
          <w:sz w:val="28"/>
          <w:szCs w:val="28"/>
        </w:rPr>
        <w:t>). В течение последних 10 лет наблюдается снижение данного показателя.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больных, умерших в течение первого года после установления диагноза, варьировала в регионах от 11,5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Республике Чечня, 14,7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Республике Алтай, 15,5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Ямало-Ненецком автономном округе, 15,5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Московской области, 17,0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Ростовской области, 17,8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Тюменской области до 32,6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Республике Саха, 29,6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Костромской области, 28,7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Орловской области, 28,7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Тульской области, 27,9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Республике Башкортостан, 27,8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Республике Хакасия.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впервые взяты под диспансерное наблюдение 3 214 детей в возрасте 0-14 лет (впервые выявленные опухоли составили 3 283);  в возрасте 0-17 лет взяты под диспансерное наблюдение –3 782 детей, (впервые выявленные опухоли составили 3 879). Доля детей со злокачественными новообразованиями, выявленными активно, для возрастной группы 0-14 лет составила 5,6</w:t>
      </w:r>
      <w:r w:rsidR="00000709">
        <w:rPr>
          <w:rFonts w:ascii="Times New Roman" w:hAnsi="Times New Roman" w:cs="Times New Roman"/>
          <w:sz w:val="28"/>
          <w:szCs w:val="28"/>
        </w:rPr>
        <w:t> %</w:t>
      </w:r>
      <w:r w:rsidRPr="005E58C6">
        <w:rPr>
          <w:rFonts w:ascii="Times New Roman" w:hAnsi="Times New Roman" w:cs="Times New Roman"/>
          <w:sz w:val="28"/>
          <w:szCs w:val="28"/>
        </w:rPr>
        <w:t>, для возрастной группы 0-17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злокачественных новообразований с морфологически подтвержденным диагнозом у детей в возрасте 0-14 лет  в 2018 году  составила 95,1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95,5</w:t>
      </w:r>
      <w:r w:rsidR="00000709">
        <w:rPr>
          <w:rFonts w:ascii="Times New Roman" w:hAnsi="Times New Roman" w:cs="Times New Roman"/>
          <w:sz w:val="28"/>
          <w:szCs w:val="28"/>
        </w:rPr>
        <w:t> %</w:t>
      </w:r>
      <w:r w:rsidRPr="005E58C6">
        <w:rPr>
          <w:rFonts w:ascii="Times New Roman" w:hAnsi="Times New Roman" w:cs="Times New Roman"/>
          <w:sz w:val="28"/>
          <w:szCs w:val="28"/>
        </w:rPr>
        <w:t>) и у детей в возрасте 0-17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Распределение больных в возрасте 0-14 лет по стадиям опухолевого процесса  в 2018 году составило: I стадия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w:t>
      </w:r>
      <w:r w:rsidR="00000709">
        <w:rPr>
          <w:rFonts w:ascii="Times New Roman" w:hAnsi="Times New Roman" w:cs="Times New Roman"/>
          <w:sz w:val="28"/>
          <w:szCs w:val="28"/>
        </w:rPr>
        <w:t> %</w:t>
      </w:r>
      <w:r w:rsidRPr="005E58C6">
        <w:rPr>
          <w:rFonts w:ascii="Times New Roman" w:hAnsi="Times New Roman" w:cs="Times New Roman"/>
          <w:sz w:val="28"/>
          <w:szCs w:val="28"/>
        </w:rPr>
        <w:t>), II стадия − 14,8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14,6</w:t>
      </w:r>
      <w:r w:rsidR="00000709">
        <w:rPr>
          <w:rFonts w:ascii="Times New Roman" w:hAnsi="Times New Roman" w:cs="Times New Roman"/>
          <w:sz w:val="28"/>
          <w:szCs w:val="28"/>
        </w:rPr>
        <w:t> %</w:t>
      </w:r>
      <w:r w:rsidRPr="005E58C6">
        <w:rPr>
          <w:rFonts w:ascii="Times New Roman" w:hAnsi="Times New Roman" w:cs="Times New Roman"/>
          <w:sz w:val="28"/>
          <w:szCs w:val="28"/>
        </w:rPr>
        <w:t>), III стадия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9,7</w:t>
      </w:r>
      <w:r w:rsidR="00000709">
        <w:rPr>
          <w:rFonts w:ascii="Times New Roman" w:hAnsi="Times New Roman" w:cs="Times New Roman"/>
          <w:sz w:val="28"/>
          <w:szCs w:val="28"/>
        </w:rPr>
        <w:t> %</w:t>
      </w:r>
      <w:r w:rsidRPr="005E58C6">
        <w:rPr>
          <w:rFonts w:ascii="Times New Roman" w:hAnsi="Times New Roman" w:cs="Times New Roman"/>
          <w:sz w:val="28"/>
          <w:szCs w:val="28"/>
        </w:rPr>
        <w:t>), IV стадия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8,5</w:t>
      </w:r>
      <w:r w:rsidR="00000709">
        <w:rPr>
          <w:rFonts w:ascii="Times New Roman" w:hAnsi="Times New Roman" w:cs="Times New Roman"/>
          <w:sz w:val="28"/>
          <w:szCs w:val="28"/>
        </w:rPr>
        <w:t> %</w:t>
      </w:r>
      <w:r w:rsidRPr="005E58C6">
        <w:rPr>
          <w:rFonts w:ascii="Times New Roman" w:hAnsi="Times New Roman" w:cs="Times New Roman"/>
          <w:sz w:val="28"/>
          <w:szCs w:val="28"/>
        </w:rPr>
        <w:t>). Для возрастной группы 0-17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I стадия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10,2</w:t>
      </w:r>
      <w:r w:rsidR="00000709">
        <w:rPr>
          <w:rFonts w:ascii="Times New Roman" w:hAnsi="Times New Roman" w:cs="Times New Roman"/>
          <w:sz w:val="28"/>
          <w:szCs w:val="28"/>
        </w:rPr>
        <w:t> %</w:t>
      </w:r>
      <w:r w:rsidRPr="005E58C6">
        <w:rPr>
          <w:rFonts w:ascii="Times New Roman" w:hAnsi="Times New Roman" w:cs="Times New Roman"/>
          <w:sz w:val="28"/>
          <w:szCs w:val="28"/>
        </w:rPr>
        <w:t>), II стадия − 16,0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15,8</w:t>
      </w:r>
      <w:r w:rsidR="00000709">
        <w:rPr>
          <w:rFonts w:ascii="Times New Roman" w:hAnsi="Times New Roman" w:cs="Times New Roman"/>
          <w:sz w:val="28"/>
          <w:szCs w:val="28"/>
        </w:rPr>
        <w:t> %</w:t>
      </w:r>
      <w:r w:rsidRPr="005E58C6">
        <w:rPr>
          <w:rFonts w:ascii="Times New Roman" w:hAnsi="Times New Roman" w:cs="Times New Roman"/>
          <w:sz w:val="28"/>
          <w:szCs w:val="28"/>
        </w:rPr>
        <w:t>), III стадия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9,9</w:t>
      </w:r>
      <w:r w:rsidR="00000709">
        <w:rPr>
          <w:rFonts w:ascii="Times New Roman" w:hAnsi="Times New Roman" w:cs="Times New Roman"/>
          <w:sz w:val="28"/>
          <w:szCs w:val="28"/>
        </w:rPr>
        <w:t> %</w:t>
      </w:r>
      <w:r w:rsidRPr="005E58C6">
        <w:rPr>
          <w:rFonts w:ascii="Times New Roman" w:hAnsi="Times New Roman" w:cs="Times New Roman"/>
          <w:sz w:val="28"/>
          <w:szCs w:val="28"/>
        </w:rPr>
        <w:t>), IV стадия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Высокий удельный вес больных с не установленной стадией заболевания, составивший в 2018 году для детей 0-14 лет 59,1</w:t>
      </w:r>
      <w:r w:rsidR="00000709">
        <w:rPr>
          <w:rFonts w:ascii="Times New Roman" w:hAnsi="Times New Roman" w:cs="Times New Roman"/>
          <w:sz w:val="28"/>
          <w:szCs w:val="28"/>
        </w:rPr>
        <w:t> %</w:t>
      </w:r>
      <w:r w:rsidRPr="005E58C6">
        <w:rPr>
          <w:rFonts w:ascii="Times New Roman" w:hAnsi="Times New Roman" w:cs="Times New Roman"/>
          <w:sz w:val="28"/>
          <w:szCs w:val="28"/>
        </w:rPr>
        <w:t>, и для детей в возрасте 0-17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обусловлен тем, что около половины злокачественных новообразований у детей составляют гемобластозы.  </w:t>
      </w:r>
    </w:p>
    <w:p w:rsidR="005E58C6" w:rsidRPr="005E58C6" w:rsidRDefault="005E58C6" w:rsidP="00FA027B">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пациентов, состоящих под диспансерным наблюдением в онкологических учреждениях</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на конец отчетного года в возрасте 0-14 лет в 2018 году составляло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21 248 пациентов, в возрасте 0-17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26 955. Показатель распространенности злокачественных новообразований в детской популяции до 15 лет в 2018 году составил 82,7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детского населения, в возрасте 0-17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90,5. Показатель одногодичной летальности для детей в возрасте 0-14 лет составил 8,4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8,2</w:t>
      </w:r>
      <w:r w:rsidR="00000709">
        <w:rPr>
          <w:rFonts w:ascii="Times New Roman" w:hAnsi="Times New Roman" w:cs="Times New Roman"/>
          <w:sz w:val="28"/>
          <w:szCs w:val="28"/>
        </w:rPr>
        <w:t> %</w:t>
      </w:r>
      <w:r w:rsidRPr="005E58C6">
        <w:rPr>
          <w:rFonts w:ascii="Times New Roman" w:hAnsi="Times New Roman" w:cs="Times New Roman"/>
          <w:sz w:val="28"/>
          <w:szCs w:val="28"/>
        </w:rPr>
        <w:t>), в возрасте 0-17</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FA027B" w:rsidRDefault="005E58C6" w:rsidP="005E58C6">
      <w:pPr>
        <w:widowControl w:val="0"/>
        <w:spacing w:after="0" w:line="312" w:lineRule="auto"/>
        <w:ind w:firstLine="709"/>
        <w:jc w:val="both"/>
        <w:rPr>
          <w:rFonts w:ascii="Times New Roman" w:hAnsi="Times New Roman" w:cs="Times New Roman"/>
          <w:b/>
          <w:i/>
          <w:sz w:val="28"/>
          <w:szCs w:val="28"/>
        </w:rPr>
      </w:pPr>
      <w:r w:rsidRPr="00FA027B">
        <w:rPr>
          <w:rFonts w:ascii="Times New Roman" w:hAnsi="Times New Roman" w:cs="Times New Roman"/>
          <w:b/>
          <w:i/>
          <w:sz w:val="28"/>
          <w:szCs w:val="28"/>
        </w:rPr>
        <w:t>Заболеваемость наркологическими расстройствами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специализированными медицинскими организациями Минздрава России, оказывающими медицинскую помощь по профилю «психиатрия-наркология» зарегистрировано 2 034 982  пациента с психическими и поведенческими расстройствами, связанными с употреблением психоактивных веществ, или 1 385,5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(1,4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общей численности населения Российской Федерации). По сравнению с 2017 годом в 2018 году показатель общей заболеваемости наркологическими расстройствами снизился на 9,1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сравнению с 2005 годом, когда было зарегистрировано максимальное число пациентов с наркологическими расстройствами (2 426,8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данный показатель снизился на 42,9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максимальная заболеваемость (4 298,0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зарегистрирована в Чукотском автономном округе, минимальная (315,1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в Республике Ингушетия (табл. 1). Следует отметить, что последний регион характеризуется крайне низким уровнем развития службы, оказывающей медицинскую помощь по профилю «психиатрия-наркология». </w:t>
      </w:r>
    </w:p>
    <w:p w:rsidR="00FA027B" w:rsidRDefault="00FA027B" w:rsidP="00FA027B">
      <w:pPr>
        <w:widowControl w:val="0"/>
        <w:spacing w:after="0" w:line="312" w:lineRule="auto"/>
        <w:ind w:firstLine="709"/>
        <w:jc w:val="right"/>
        <w:rPr>
          <w:rFonts w:ascii="Times New Roman" w:hAnsi="Times New Roman" w:cs="Times New Roman"/>
          <w:sz w:val="28"/>
          <w:szCs w:val="28"/>
        </w:rPr>
      </w:pPr>
    </w:p>
    <w:p w:rsidR="00FA027B" w:rsidRDefault="00FA027B" w:rsidP="00FA027B">
      <w:pPr>
        <w:widowControl w:val="0"/>
        <w:spacing w:after="0" w:line="312" w:lineRule="auto"/>
        <w:ind w:firstLine="709"/>
        <w:jc w:val="right"/>
        <w:rPr>
          <w:rFonts w:ascii="Times New Roman" w:hAnsi="Times New Roman" w:cs="Times New Roman"/>
          <w:sz w:val="28"/>
          <w:szCs w:val="28"/>
        </w:rPr>
      </w:pPr>
    </w:p>
    <w:p w:rsidR="00FA027B" w:rsidRDefault="00FA027B" w:rsidP="00FA027B">
      <w:pPr>
        <w:widowControl w:val="0"/>
        <w:spacing w:after="0" w:line="312" w:lineRule="auto"/>
        <w:ind w:firstLine="709"/>
        <w:jc w:val="right"/>
        <w:rPr>
          <w:rFonts w:ascii="Times New Roman" w:hAnsi="Times New Roman" w:cs="Times New Roman"/>
          <w:sz w:val="28"/>
          <w:szCs w:val="28"/>
        </w:rPr>
      </w:pPr>
    </w:p>
    <w:p w:rsidR="005E58C6" w:rsidRPr="005E58C6" w:rsidRDefault="005E58C6" w:rsidP="00FA027B">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lastRenderedPageBreak/>
        <w:t xml:space="preserve">Таблица 3.4. </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Субъекты Российской Федерации с максимальными и минимальными показателями числа пациентов с наркологическими расстройствами, зарегистрированных наркологическими учреждениями в 2018 году</w:t>
      </w:r>
    </w:p>
    <w:p w:rsid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FA027B" w:rsidRPr="00FA027B" w:rsidRDefault="00FA027B" w:rsidP="00FA027B">
      <w:pPr>
        <w:widowControl w:val="0"/>
        <w:spacing w:after="0" w:line="240" w:lineRule="auto"/>
        <w:ind w:firstLine="709"/>
        <w:jc w:val="center"/>
        <w:rPr>
          <w:rFonts w:ascii="Times New Roman" w:hAnsi="Times New Roman" w:cs="Times New Roman"/>
          <w:szCs w:val="28"/>
        </w:rPr>
      </w:pPr>
    </w:p>
    <w:tbl>
      <w:tblPr>
        <w:tblW w:w="9280" w:type="dxa"/>
        <w:tblInd w:w="93" w:type="dxa"/>
        <w:tblLook w:val="04A0"/>
      </w:tblPr>
      <w:tblGrid>
        <w:gridCol w:w="3460"/>
        <w:gridCol w:w="1120"/>
        <w:gridCol w:w="3580"/>
        <w:gridCol w:w="1120"/>
      </w:tblGrid>
      <w:tr w:rsidR="00FA027B" w:rsidRPr="000A50F4" w:rsidTr="00FA027B">
        <w:trPr>
          <w:trHeight w:val="315"/>
        </w:trPr>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AE19A4" w:rsidRDefault="00FA027B" w:rsidP="00FA027B">
            <w:pPr>
              <w:spacing w:after="0" w:line="240" w:lineRule="auto"/>
              <w:jc w:val="center"/>
              <w:rPr>
                <w:rFonts w:ascii="Times New Roman" w:hAnsi="Times New Roman"/>
                <w:bCs/>
                <w:color w:val="000000"/>
                <w:sz w:val="24"/>
                <w:szCs w:val="24"/>
                <w:lang w:eastAsia="ru-RU"/>
              </w:rPr>
            </w:pPr>
            <w:r w:rsidRPr="00AE19A4">
              <w:rPr>
                <w:rFonts w:ascii="Times New Roman" w:hAnsi="Times New Roman"/>
                <w:bCs/>
                <w:color w:val="000000"/>
                <w:sz w:val="24"/>
                <w:szCs w:val="24"/>
                <w:lang w:eastAsia="ru-RU"/>
              </w:rPr>
              <w:t>Максимальные показатели</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FA027B" w:rsidRPr="00AE19A4" w:rsidRDefault="00FA027B" w:rsidP="00FA027B">
            <w:pPr>
              <w:spacing w:after="0" w:line="240" w:lineRule="auto"/>
              <w:jc w:val="center"/>
              <w:rPr>
                <w:rFonts w:ascii="Times New Roman" w:hAnsi="Times New Roman"/>
                <w:bCs/>
                <w:color w:val="000000"/>
                <w:sz w:val="24"/>
                <w:szCs w:val="24"/>
                <w:lang w:eastAsia="ru-RU"/>
              </w:rPr>
            </w:pPr>
            <w:r w:rsidRPr="00AE19A4">
              <w:rPr>
                <w:rFonts w:ascii="Times New Roman" w:hAnsi="Times New Roman"/>
                <w:bCs/>
                <w:color w:val="000000"/>
                <w:sz w:val="24"/>
                <w:szCs w:val="24"/>
                <w:lang w:eastAsia="ru-RU"/>
              </w:rPr>
              <w:t>Минимальные показатели</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Чукотский автономный округ</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4265,2</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Республика Ингушетия</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315,1</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Сахалинская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3423,2</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г. Москва</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650,7</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Курганская область</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2800,9</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Краснодарский край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658,5</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Камчатский край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2759,6</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Чеченская Республика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674,4</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Еврейская автономная область</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2695,4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г. Санкт-Петербург</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719,6</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Брянская область</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2611,4</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Республика Дагестан</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798,2</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Магаданская область</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2578,2</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Республика Карелия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818</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Республика Адыгея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2464,4</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Новосибирская область</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847,6</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Нижегородская область</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2367,1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Самарская область</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993</w:t>
            </w:r>
          </w:p>
        </w:tc>
      </w:tr>
      <w:tr w:rsidR="00FA027B" w:rsidRPr="000A50F4" w:rsidTr="00FA027B">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Воронежская область</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2266,5</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Волгоградская область</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1000</w:t>
            </w:r>
          </w:p>
        </w:tc>
      </w:tr>
    </w:tbl>
    <w:p w:rsidR="00FA027B" w:rsidRPr="005E58C6" w:rsidRDefault="00FA027B"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число лиц с впервые в жизни установленным диагнозом наркологического расстройства составило 1</w:t>
      </w:r>
      <w:r w:rsidR="00FA027B">
        <w:rPr>
          <w:rFonts w:ascii="Times New Roman" w:hAnsi="Times New Roman" w:cs="Times New Roman"/>
          <w:sz w:val="28"/>
          <w:szCs w:val="28"/>
        </w:rPr>
        <w:t xml:space="preserve">74 994 человек или 119,1 на 100 тыс. </w:t>
      </w:r>
      <w:r w:rsidRPr="005E58C6">
        <w:rPr>
          <w:rFonts w:ascii="Times New Roman" w:hAnsi="Times New Roman" w:cs="Times New Roman"/>
          <w:sz w:val="28"/>
          <w:szCs w:val="28"/>
        </w:rPr>
        <w:t>населения, что на 8,3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меньше аналогичного показателя 2017 года (190 800 человек, или 129,9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По отдельным субъектам Российской Федерации максимальный показатель (371,7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зарегистрирован в Курганской области, минимальный (40,0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Республике Ингушетия (табл. 2).</w:t>
      </w:r>
    </w:p>
    <w:p w:rsidR="00FA027B" w:rsidRPr="000A50F4" w:rsidRDefault="00FA027B" w:rsidP="00FA027B">
      <w:pPr>
        <w:keepNext/>
        <w:spacing w:before="120" w:after="0" w:line="240" w:lineRule="auto"/>
        <w:jc w:val="right"/>
        <w:rPr>
          <w:rFonts w:ascii="Times New Roman" w:hAnsi="Times New Roman"/>
          <w:sz w:val="28"/>
          <w:lang w:eastAsia="ru-RU"/>
        </w:rPr>
      </w:pPr>
      <w:r w:rsidRPr="000A50F4">
        <w:rPr>
          <w:rFonts w:ascii="Times New Roman" w:hAnsi="Times New Roman"/>
          <w:sz w:val="28"/>
          <w:lang w:eastAsia="ru-RU"/>
        </w:rPr>
        <w:t xml:space="preserve">Таблица </w:t>
      </w:r>
      <w:r>
        <w:rPr>
          <w:rFonts w:ascii="Times New Roman" w:hAnsi="Times New Roman"/>
          <w:sz w:val="28"/>
          <w:lang w:eastAsia="ru-RU"/>
        </w:rPr>
        <w:t>3.5.</w:t>
      </w:r>
    </w:p>
    <w:p w:rsidR="00FA027B" w:rsidRPr="00AE19A4" w:rsidRDefault="00FA027B" w:rsidP="00FA027B">
      <w:pPr>
        <w:autoSpaceDE w:val="0"/>
        <w:autoSpaceDN w:val="0"/>
        <w:adjustRightInd w:val="0"/>
        <w:spacing w:after="0" w:line="240" w:lineRule="auto"/>
        <w:ind w:firstLine="709"/>
        <w:jc w:val="center"/>
        <w:rPr>
          <w:rFonts w:ascii="Times New Roman" w:hAnsi="Times New Roman"/>
          <w:bCs/>
          <w:iCs/>
          <w:sz w:val="28"/>
          <w:szCs w:val="28"/>
          <w:lang w:eastAsia="ru-RU"/>
        </w:rPr>
      </w:pPr>
      <w:r w:rsidRPr="00AE19A4">
        <w:rPr>
          <w:rFonts w:ascii="Times New Roman" w:hAnsi="Times New Roman"/>
          <w:bCs/>
          <w:iCs/>
          <w:sz w:val="28"/>
          <w:szCs w:val="28"/>
          <w:lang w:eastAsia="ru-RU"/>
        </w:rPr>
        <w:t>Субъекты Российской Федерации с максимальными и минимальными показателями числа лиц с впервые в жизни установленным диагнозом наркологического расстройства в 2018 году (на 100 тыс. населения)</w:t>
      </w:r>
    </w:p>
    <w:p w:rsidR="00FA027B" w:rsidRPr="000A50F4" w:rsidRDefault="00FA027B" w:rsidP="00FA027B">
      <w:pPr>
        <w:autoSpaceDE w:val="0"/>
        <w:autoSpaceDN w:val="0"/>
        <w:adjustRightInd w:val="0"/>
        <w:spacing w:after="0" w:line="240" w:lineRule="auto"/>
        <w:jc w:val="center"/>
        <w:rPr>
          <w:rFonts w:ascii="Times New Roman" w:hAnsi="Times New Roman"/>
          <w:b/>
          <w:bCs/>
          <w:iCs/>
          <w:sz w:val="28"/>
          <w:szCs w:val="28"/>
          <w:lang w:eastAsia="ru-RU"/>
        </w:rPr>
      </w:pPr>
    </w:p>
    <w:tbl>
      <w:tblPr>
        <w:tblW w:w="9280" w:type="dxa"/>
        <w:tblInd w:w="93" w:type="dxa"/>
        <w:tblLook w:val="04A0"/>
      </w:tblPr>
      <w:tblGrid>
        <w:gridCol w:w="3460"/>
        <w:gridCol w:w="1120"/>
        <w:gridCol w:w="3580"/>
        <w:gridCol w:w="1120"/>
      </w:tblGrid>
      <w:tr w:rsidR="00FA027B" w:rsidRPr="000A50F4" w:rsidTr="00FA027B">
        <w:trPr>
          <w:trHeight w:val="315"/>
        </w:trPr>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027B" w:rsidRPr="00AE19A4" w:rsidRDefault="00FA027B" w:rsidP="00FA027B">
            <w:pPr>
              <w:spacing w:after="0" w:line="240" w:lineRule="auto"/>
              <w:jc w:val="center"/>
              <w:rPr>
                <w:rFonts w:ascii="Times New Roman" w:hAnsi="Times New Roman"/>
                <w:bCs/>
                <w:color w:val="000000"/>
                <w:sz w:val="24"/>
                <w:szCs w:val="24"/>
                <w:lang w:eastAsia="ru-RU"/>
              </w:rPr>
            </w:pPr>
            <w:r w:rsidRPr="00AE19A4">
              <w:rPr>
                <w:rFonts w:ascii="Times New Roman" w:hAnsi="Times New Roman"/>
                <w:bCs/>
                <w:color w:val="000000"/>
                <w:sz w:val="24"/>
                <w:szCs w:val="24"/>
                <w:lang w:eastAsia="ru-RU"/>
              </w:rPr>
              <w:t>Максимальные показатели</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FA027B" w:rsidRPr="00AE19A4" w:rsidRDefault="00FA027B" w:rsidP="00FA027B">
            <w:pPr>
              <w:spacing w:after="0" w:line="240" w:lineRule="auto"/>
              <w:jc w:val="center"/>
              <w:rPr>
                <w:rFonts w:ascii="Times New Roman" w:hAnsi="Times New Roman"/>
                <w:bCs/>
                <w:color w:val="000000"/>
                <w:sz w:val="24"/>
                <w:szCs w:val="24"/>
                <w:lang w:eastAsia="ru-RU"/>
              </w:rPr>
            </w:pPr>
            <w:r w:rsidRPr="00AE19A4">
              <w:rPr>
                <w:rFonts w:ascii="Times New Roman" w:hAnsi="Times New Roman"/>
                <w:bCs/>
                <w:color w:val="000000"/>
                <w:sz w:val="24"/>
                <w:szCs w:val="24"/>
                <w:lang w:eastAsia="ru-RU"/>
              </w:rPr>
              <w:t>Минимальные показатели</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Курганская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371,7</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Республика Ингушетия</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40</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Чукотский АО</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364,8</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г. Москва</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42,3</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Ненецкий АО</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268,2</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г. Санкт-Петербург</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42,9</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Республика Саха (Якутия)</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253,3</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Карачаево-Черкесская Республика</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52,1</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Пензенская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242,5</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Краснодарский край</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53,4</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Приморский край</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242,2</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Чеченская Республика</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55,3</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Сахалинская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231,8</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Ставропольский край</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63,2</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Забайкальский край</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224,6</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Ханты-Мансийский АО</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67,2</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Еврейская АО</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220,4</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Саратовская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78,4</w:t>
            </w:r>
          </w:p>
        </w:tc>
      </w:tr>
      <w:tr w:rsidR="00FA027B" w:rsidRPr="000A50F4" w:rsidTr="00FA027B">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Амурская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216,6</w:t>
            </w:r>
          </w:p>
        </w:tc>
        <w:tc>
          <w:tcPr>
            <w:tcW w:w="358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rPr>
                <w:rFonts w:ascii="Times New Roman" w:hAnsi="Times New Roman"/>
                <w:color w:val="000000"/>
                <w:sz w:val="24"/>
                <w:szCs w:val="24"/>
                <w:lang w:eastAsia="ru-RU"/>
              </w:rPr>
            </w:pPr>
            <w:r w:rsidRPr="000A50F4">
              <w:rPr>
                <w:rFonts w:ascii="Times New Roman" w:hAnsi="Times New Roman"/>
                <w:color w:val="000000"/>
                <w:sz w:val="24"/>
                <w:szCs w:val="24"/>
                <w:lang w:eastAsia="ru-RU"/>
              </w:rPr>
              <w:t>Калужская область</w:t>
            </w:r>
          </w:p>
        </w:tc>
        <w:tc>
          <w:tcPr>
            <w:tcW w:w="1120" w:type="dxa"/>
            <w:tcBorders>
              <w:top w:val="nil"/>
              <w:left w:val="nil"/>
              <w:bottom w:val="single" w:sz="4" w:space="0" w:color="auto"/>
              <w:right w:val="single" w:sz="4" w:space="0" w:color="auto"/>
            </w:tcBorders>
            <w:shd w:val="clear" w:color="auto" w:fill="auto"/>
            <w:vAlign w:val="center"/>
            <w:hideMark/>
          </w:tcPr>
          <w:p w:rsidR="00FA027B" w:rsidRPr="000A50F4" w:rsidRDefault="00FA027B" w:rsidP="00FA027B">
            <w:pPr>
              <w:spacing w:after="0" w:line="240" w:lineRule="auto"/>
              <w:jc w:val="center"/>
              <w:rPr>
                <w:rFonts w:ascii="Times New Roman" w:hAnsi="Times New Roman"/>
                <w:color w:val="000000"/>
                <w:sz w:val="24"/>
                <w:szCs w:val="24"/>
                <w:lang w:eastAsia="ru-RU"/>
              </w:rPr>
            </w:pPr>
            <w:r w:rsidRPr="000A50F4">
              <w:rPr>
                <w:rFonts w:ascii="Times New Roman" w:hAnsi="Times New Roman"/>
                <w:color w:val="000000"/>
                <w:sz w:val="24"/>
                <w:szCs w:val="24"/>
                <w:lang w:eastAsia="ru-RU"/>
              </w:rPr>
              <w:t>79,2</w:t>
            </w:r>
          </w:p>
        </w:tc>
      </w:tr>
    </w:tbl>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Как и в предыдущие годы, большинство зарегистрированных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это лица</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больные алкоголизмом, алкогольными психозами, и лица, употребляющие алкоголь с вредными последствиями (78,3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общего числа зарегистрированных пациентов). На пациентов с наркоманией и лиц, злоупотребляющих наркотиками, приходится 20,8</w:t>
      </w:r>
      <w:r w:rsidR="00000709">
        <w:rPr>
          <w:rFonts w:ascii="Times New Roman" w:hAnsi="Times New Roman" w:cs="Times New Roman"/>
          <w:sz w:val="28"/>
          <w:szCs w:val="28"/>
        </w:rPr>
        <w:t> %</w:t>
      </w:r>
      <w:r w:rsidRPr="005E58C6">
        <w:rPr>
          <w:rFonts w:ascii="Times New Roman" w:hAnsi="Times New Roman" w:cs="Times New Roman"/>
          <w:sz w:val="28"/>
          <w:szCs w:val="28"/>
        </w:rPr>
        <w:t>, токсикоманией и лиц, злоупотребляющих ненаркотическими психоактивными веществами,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Число больных алкоголизмом и алкогольными психозами, зарегистрированных в медицинских организациях, оказывающих медицинскую помощь по профилю «психиатрия-наркология», в 2018 году, составило 1 376 344 человека или 937,1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что составляет 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общей численности населения. Кроме того, в 2018 году было зарегистрировано 218 070 пациентов, употребляющих алкоголь с вредными последствиями (пагубное употребление), или 148,5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Всего в 2018 году за наркологической помощью обратились 1 594 414 пациента с алкогольными расстройствами, или 1085,5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(1,1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численности населения страны). </w:t>
      </w:r>
    </w:p>
    <w:p w:rsidR="00FA027B" w:rsidRPr="005E58C6" w:rsidRDefault="00FA027B"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FA027B">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Таблица 3.6.</w:t>
      </w:r>
    </w:p>
    <w:p w:rsidR="005E58C6" w:rsidRPr="005E58C6" w:rsidRDefault="005E58C6" w:rsidP="00FA027B">
      <w:pPr>
        <w:widowControl w:val="0"/>
        <w:spacing w:after="0" w:line="240"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Показатели общей заболеваемости алкогольными расстройствами </w:t>
      </w:r>
    </w:p>
    <w:p w:rsidR="005E58C6" w:rsidRPr="005E58C6" w:rsidRDefault="005E58C6" w:rsidP="00FA027B">
      <w:pPr>
        <w:widowControl w:val="0"/>
        <w:spacing w:after="0" w:line="240"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среднегодового населения)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1"/>
        <w:gridCol w:w="843"/>
        <w:gridCol w:w="917"/>
        <w:gridCol w:w="902"/>
        <w:gridCol w:w="835"/>
        <w:gridCol w:w="919"/>
        <w:gridCol w:w="1349"/>
        <w:gridCol w:w="944"/>
      </w:tblGrid>
      <w:tr w:rsidR="00FA027B" w:rsidRPr="000A50F4" w:rsidTr="00FA027B">
        <w:trPr>
          <w:trHeight w:val="288"/>
        </w:trPr>
        <w:tc>
          <w:tcPr>
            <w:tcW w:w="2931" w:type="dxa"/>
            <w:tcBorders>
              <w:top w:val="single" w:sz="4" w:space="0" w:color="auto"/>
              <w:left w:val="single" w:sz="4" w:space="0" w:color="auto"/>
              <w:bottom w:val="single" w:sz="4" w:space="0" w:color="auto"/>
              <w:right w:val="single" w:sz="4" w:space="0" w:color="auto"/>
            </w:tcBorders>
            <w:noWrap/>
            <w:vAlign w:val="center"/>
            <w:hideMark/>
          </w:tcPr>
          <w:p w:rsidR="00FA027B" w:rsidRPr="00FA027B" w:rsidRDefault="00FA027B" w:rsidP="00FA027B">
            <w:pPr>
              <w:spacing w:after="0" w:line="240" w:lineRule="auto"/>
              <w:jc w:val="center"/>
              <w:rPr>
                <w:rFonts w:ascii="Times New Roman" w:hAnsi="Times New Roman"/>
                <w:sz w:val="20"/>
                <w:lang w:eastAsia="ru-RU"/>
              </w:rPr>
            </w:pPr>
            <w:r w:rsidRPr="00FA027B">
              <w:rPr>
                <w:rFonts w:ascii="Times New Roman" w:hAnsi="Times New Roman"/>
                <w:sz w:val="20"/>
                <w:lang w:eastAsia="ru-RU"/>
              </w:rPr>
              <w:t>Категория</w:t>
            </w:r>
          </w:p>
        </w:tc>
        <w:tc>
          <w:tcPr>
            <w:tcW w:w="865" w:type="dxa"/>
            <w:tcBorders>
              <w:top w:val="single" w:sz="4" w:space="0" w:color="auto"/>
              <w:left w:val="single" w:sz="4" w:space="0" w:color="auto"/>
              <w:bottom w:val="single" w:sz="4" w:space="0" w:color="auto"/>
              <w:right w:val="single" w:sz="4" w:space="0" w:color="auto"/>
            </w:tcBorders>
            <w:vAlign w:val="center"/>
            <w:hideMark/>
          </w:tcPr>
          <w:p w:rsidR="00FA027B" w:rsidRPr="00FA027B" w:rsidRDefault="00FA027B" w:rsidP="00FA027B">
            <w:pPr>
              <w:spacing w:after="0" w:line="240" w:lineRule="auto"/>
              <w:jc w:val="center"/>
              <w:rPr>
                <w:rFonts w:ascii="Times New Roman" w:hAnsi="Times New Roman"/>
                <w:sz w:val="20"/>
                <w:lang w:eastAsia="ru-RU"/>
              </w:rPr>
            </w:pPr>
            <w:r w:rsidRPr="00FA027B">
              <w:rPr>
                <w:rFonts w:ascii="Times New Roman" w:hAnsi="Times New Roman"/>
                <w:sz w:val="20"/>
                <w:lang w:eastAsia="ru-RU"/>
              </w:rPr>
              <w:t>2014 г.</w:t>
            </w:r>
          </w:p>
        </w:tc>
        <w:tc>
          <w:tcPr>
            <w:tcW w:w="1011" w:type="dxa"/>
            <w:tcBorders>
              <w:top w:val="single" w:sz="4" w:space="0" w:color="auto"/>
              <w:left w:val="single" w:sz="4" w:space="0" w:color="auto"/>
              <w:bottom w:val="single" w:sz="4" w:space="0" w:color="auto"/>
              <w:right w:val="single" w:sz="4" w:space="0" w:color="auto"/>
            </w:tcBorders>
            <w:vAlign w:val="center"/>
            <w:hideMark/>
          </w:tcPr>
          <w:p w:rsidR="00FA027B" w:rsidRPr="00FA027B" w:rsidRDefault="00FA027B" w:rsidP="00FA027B">
            <w:pPr>
              <w:spacing w:after="0" w:line="240" w:lineRule="auto"/>
              <w:jc w:val="center"/>
              <w:rPr>
                <w:rFonts w:ascii="Times New Roman" w:hAnsi="Times New Roman"/>
                <w:sz w:val="20"/>
                <w:lang w:eastAsia="ru-RU"/>
              </w:rPr>
            </w:pPr>
            <w:r w:rsidRPr="00FA027B">
              <w:rPr>
                <w:rFonts w:ascii="Times New Roman" w:hAnsi="Times New Roman"/>
                <w:sz w:val="20"/>
                <w:lang w:eastAsia="ru-RU"/>
              </w:rPr>
              <w:t>2015 г.</w:t>
            </w:r>
          </w:p>
        </w:tc>
        <w:tc>
          <w:tcPr>
            <w:tcW w:w="982" w:type="dxa"/>
            <w:tcBorders>
              <w:top w:val="single" w:sz="4" w:space="0" w:color="auto"/>
              <w:left w:val="single" w:sz="4" w:space="0" w:color="auto"/>
              <w:bottom w:val="single" w:sz="4" w:space="0" w:color="auto"/>
              <w:right w:val="single" w:sz="4" w:space="0" w:color="auto"/>
            </w:tcBorders>
            <w:vAlign w:val="center"/>
            <w:hideMark/>
          </w:tcPr>
          <w:p w:rsidR="00FA027B" w:rsidRPr="00FA027B" w:rsidRDefault="00FA027B" w:rsidP="00FA027B">
            <w:pPr>
              <w:spacing w:after="0" w:line="240" w:lineRule="auto"/>
              <w:rPr>
                <w:rFonts w:ascii="Times New Roman" w:hAnsi="Times New Roman"/>
                <w:sz w:val="20"/>
                <w:lang w:eastAsia="ru-RU"/>
              </w:rPr>
            </w:pPr>
            <w:r w:rsidRPr="00FA027B">
              <w:rPr>
                <w:rFonts w:ascii="Times New Roman" w:hAnsi="Times New Roman"/>
                <w:sz w:val="20"/>
                <w:lang w:eastAsia="ru-RU"/>
              </w:rPr>
              <w:t>2016 г.</w:t>
            </w:r>
          </w:p>
        </w:tc>
        <w:tc>
          <w:tcPr>
            <w:tcW w:w="849" w:type="dxa"/>
            <w:tcBorders>
              <w:top w:val="single" w:sz="4" w:space="0" w:color="auto"/>
              <w:left w:val="single" w:sz="4" w:space="0" w:color="auto"/>
              <w:bottom w:val="single" w:sz="4" w:space="0" w:color="auto"/>
              <w:right w:val="single" w:sz="4" w:space="0" w:color="auto"/>
            </w:tcBorders>
            <w:vAlign w:val="center"/>
            <w:hideMark/>
          </w:tcPr>
          <w:p w:rsidR="00FA027B" w:rsidRPr="00FA027B" w:rsidRDefault="00FA027B" w:rsidP="00FA027B">
            <w:pPr>
              <w:spacing w:after="0" w:line="240" w:lineRule="auto"/>
              <w:ind w:right="-108"/>
              <w:rPr>
                <w:rFonts w:ascii="Times New Roman" w:hAnsi="Times New Roman"/>
                <w:sz w:val="20"/>
                <w:lang w:eastAsia="ru-RU"/>
              </w:rPr>
            </w:pPr>
            <w:r w:rsidRPr="00FA027B">
              <w:rPr>
                <w:rFonts w:ascii="Times New Roman" w:hAnsi="Times New Roman"/>
                <w:sz w:val="20"/>
                <w:lang w:eastAsia="ru-RU"/>
              </w:rPr>
              <w:t>2017 г.</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FA027B" w:rsidRPr="00FA027B" w:rsidRDefault="00FA027B" w:rsidP="00FA027B">
            <w:pPr>
              <w:spacing w:after="0" w:line="240" w:lineRule="auto"/>
              <w:jc w:val="center"/>
              <w:rPr>
                <w:rFonts w:ascii="Times New Roman" w:hAnsi="Times New Roman"/>
                <w:sz w:val="20"/>
                <w:lang w:eastAsia="ru-RU"/>
              </w:rPr>
            </w:pPr>
            <w:r w:rsidRPr="00FA027B">
              <w:rPr>
                <w:rFonts w:ascii="Times New Roman" w:hAnsi="Times New Roman"/>
                <w:sz w:val="20"/>
                <w:lang w:eastAsia="ru-RU"/>
              </w:rPr>
              <w:t>2018 г.</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FA027B" w:rsidRPr="00FA027B" w:rsidRDefault="00FA027B" w:rsidP="00FA027B">
            <w:pPr>
              <w:spacing w:after="0" w:line="240" w:lineRule="auto"/>
              <w:jc w:val="center"/>
              <w:rPr>
                <w:rFonts w:ascii="Times New Roman" w:hAnsi="Times New Roman"/>
                <w:sz w:val="20"/>
                <w:lang w:eastAsia="ru-RU"/>
              </w:rPr>
            </w:pPr>
            <w:r w:rsidRPr="00FA027B">
              <w:rPr>
                <w:rFonts w:ascii="Times New Roman" w:hAnsi="Times New Roman"/>
                <w:sz w:val="20"/>
                <w:lang w:eastAsia="ru-RU"/>
              </w:rPr>
              <w:t>Прирост  2018 г. к 2017 г., (</w:t>
            </w:r>
            <w:r w:rsidR="00000709">
              <w:rPr>
                <w:rFonts w:ascii="Times New Roman" w:hAnsi="Times New Roman"/>
                <w:sz w:val="20"/>
                <w:lang w:eastAsia="ru-RU"/>
              </w:rPr>
              <w:t> %</w:t>
            </w:r>
            <w:r w:rsidRPr="00FA027B">
              <w:rPr>
                <w:rFonts w:ascii="Times New Roman" w:hAnsi="Times New Roman"/>
                <w:sz w:val="20"/>
                <w:lang w:eastAsia="ru-RU"/>
              </w:rPr>
              <w:t>)</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FA027B" w:rsidRPr="00FA027B" w:rsidRDefault="00FA027B" w:rsidP="00FA027B">
            <w:pPr>
              <w:spacing w:after="0" w:line="240" w:lineRule="auto"/>
              <w:jc w:val="center"/>
              <w:rPr>
                <w:rFonts w:ascii="Times New Roman" w:hAnsi="Times New Roman"/>
                <w:sz w:val="20"/>
                <w:lang w:eastAsia="ru-RU"/>
              </w:rPr>
            </w:pPr>
            <w:r w:rsidRPr="00FA027B">
              <w:rPr>
                <w:rFonts w:ascii="Times New Roman" w:hAnsi="Times New Roman"/>
                <w:sz w:val="20"/>
                <w:lang w:eastAsia="ru-RU"/>
              </w:rPr>
              <w:t>Прирост 2018 г. к   2014 г.,(</w:t>
            </w:r>
            <w:r w:rsidR="00000709">
              <w:rPr>
                <w:rFonts w:ascii="Times New Roman" w:hAnsi="Times New Roman"/>
                <w:sz w:val="20"/>
                <w:lang w:eastAsia="ru-RU"/>
              </w:rPr>
              <w:t> %</w:t>
            </w:r>
            <w:r w:rsidRPr="00FA027B">
              <w:rPr>
                <w:rFonts w:ascii="Times New Roman" w:hAnsi="Times New Roman"/>
                <w:sz w:val="20"/>
                <w:lang w:eastAsia="ru-RU"/>
              </w:rPr>
              <w:t>)</w:t>
            </w:r>
          </w:p>
        </w:tc>
      </w:tr>
      <w:tr w:rsidR="00FA027B" w:rsidRPr="000A50F4" w:rsidTr="00FA027B">
        <w:trPr>
          <w:trHeight w:val="288"/>
        </w:trPr>
        <w:tc>
          <w:tcPr>
            <w:tcW w:w="2931" w:type="dxa"/>
            <w:tcBorders>
              <w:top w:val="single" w:sz="4" w:space="0" w:color="auto"/>
              <w:left w:val="single" w:sz="4" w:space="0" w:color="auto"/>
              <w:bottom w:val="single" w:sz="4" w:space="0" w:color="auto"/>
              <w:right w:val="single" w:sz="4" w:space="0" w:color="auto"/>
            </w:tcBorders>
            <w:noWrap/>
            <w:vAlign w:val="bottom"/>
            <w:hideMark/>
          </w:tcPr>
          <w:p w:rsidR="00FA027B" w:rsidRPr="000A50F4" w:rsidRDefault="00FA027B" w:rsidP="00FA027B">
            <w:pPr>
              <w:spacing w:after="0" w:line="240" w:lineRule="auto"/>
              <w:rPr>
                <w:rFonts w:ascii="Times New Roman" w:hAnsi="Times New Roman"/>
                <w:lang w:eastAsia="ru-RU"/>
              </w:rPr>
            </w:pPr>
            <w:r w:rsidRPr="000A50F4">
              <w:rPr>
                <w:rFonts w:ascii="Times New Roman" w:hAnsi="Times New Roman"/>
                <w:lang w:eastAsia="ru-RU"/>
              </w:rPr>
              <w:t xml:space="preserve">Алкогольные расстройства, </w:t>
            </w:r>
          </w:p>
          <w:p w:rsidR="00FA027B" w:rsidRPr="000A50F4" w:rsidRDefault="00FA027B" w:rsidP="00FA027B">
            <w:pPr>
              <w:spacing w:after="0" w:line="240" w:lineRule="auto"/>
              <w:rPr>
                <w:rFonts w:ascii="Times New Roman" w:hAnsi="Times New Roman"/>
                <w:lang w:eastAsia="ru-RU"/>
              </w:rPr>
            </w:pPr>
            <w:r w:rsidRPr="000A50F4">
              <w:rPr>
                <w:rFonts w:ascii="Times New Roman" w:hAnsi="Times New Roman"/>
                <w:lang w:eastAsia="ru-RU"/>
              </w:rPr>
              <w:t>из них:</w:t>
            </w:r>
          </w:p>
        </w:tc>
        <w:tc>
          <w:tcPr>
            <w:tcW w:w="865"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1497,5</w:t>
            </w:r>
          </w:p>
        </w:tc>
        <w:tc>
          <w:tcPr>
            <w:tcW w:w="1011"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1420,9</w:t>
            </w:r>
          </w:p>
        </w:tc>
        <w:tc>
          <w:tcPr>
            <w:tcW w:w="982"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1287,4</w:t>
            </w:r>
          </w:p>
        </w:tc>
        <w:tc>
          <w:tcPr>
            <w:tcW w:w="849"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119</w:t>
            </w:r>
            <w:r w:rsidRPr="000A50F4">
              <w:rPr>
                <w:rFonts w:ascii="Times New Roman" w:hAnsi="Times New Roman"/>
                <w:lang w:val="en-US" w:eastAsia="ru-RU"/>
              </w:rPr>
              <w:t>7</w:t>
            </w:r>
            <w:r w:rsidRPr="000A50F4">
              <w:rPr>
                <w:rFonts w:ascii="Times New Roman" w:hAnsi="Times New Roman"/>
                <w:lang w:eastAsia="ru-RU"/>
              </w:rPr>
              <w:t>,</w:t>
            </w:r>
            <w:r w:rsidRPr="000A50F4">
              <w:rPr>
                <w:rFonts w:ascii="Times New Roman" w:hAnsi="Times New Roman"/>
                <w:lang w:val="en-US" w:eastAsia="ru-RU"/>
              </w:rPr>
              <w:t>8</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1085,5</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-9,4</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-27,5</w:t>
            </w:r>
          </w:p>
        </w:tc>
      </w:tr>
      <w:tr w:rsidR="00FA027B" w:rsidRPr="000A50F4" w:rsidTr="00FA027B">
        <w:trPr>
          <w:trHeight w:val="288"/>
        </w:trPr>
        <w:tc>
          <w:tcPr>
            <w:tcW w:w="2931" w:type="dxa"/>
            <w:tcBorders>
              <w:top w:val="single" w:sz="4" w:space="0" w:color="auto"/>
              <w:left w:val="single" w:sz="4" w:space="0" w:color="auto"/>
              <w:bottom w:val="single" w:sz="4" w:space="0" w:color="auto"/>
              <w:right w:val="single" w:sz="4" w:space="0" w:color="auto"/>
            </w:tcBorders>
            <w:noWrap/>
            <w:vAlign w:val="bottom"/>
            <w:hideMark/>
          </w:tcPr>
          <w:p w:rsidR="00FA027B" w:rsidRPr="000A50F4" w:rsidRDefault="00FA027B" w:rsidP="00FA027B">
            <w:pPr>
              <w:spacing w:after="0" w:line="240" w:lineRule="auto"/>
              <w:rPr>
                <w:rFonts w:ascii="Times New Roman" w:hAnsi="Times New Roman"/>
                <w:lang w:eastAsia="ru-RU"/>
              </w:rPr>
            </w:pPr>
            <w:r w:rsidRPr="000A50F4">
              <w:rPr>
                <w:rFonts w:ascii="Times New Roman" w:hAnsi="Times New Roman"/>
                <w:lang w:eastAsia="ru-RU"/>
              </w:rPr>
              <w:t xml:space="preserve">синдром </w:t>
            </w:r>
            <w:r>
              <w:rPr>
                <w:rFonts w:ascii="Times New Roman" w:hAnsi="Times New Roman"/>
                <w:lang w:eastAsia="ru-RU"/>
              </w:rPr>
              <w:t xml:space="preserve">зависимости от алкоголя, включая алкогольные психозы, в том </w:t>
            </w:r>
            <w:r w:rsidRPr="000A50F4">
              <w:rPr>
                <w:rFonts w:ascii="Times New Roman" w:hAnsi="Times New Roman"/>
                <w:lang w:eastAsia="ru-RU"/>
              </w:rPr>
              <w:t>ч</w:t>
            </w:r>
            <w:r>
              <w:rPr>
                <w:rFonts w:ascii="Times New Roman" w:hAnsi="Times New Roman"/>
                <w:lang w:eastAsia="ru-RU"/>
              </w:rPr>
              <w:t>исле:</w:t>
            </w:r>
          </w:p>
        </w:tc>
        <w:tc>
          <w:tcPr>
            <w:tcW w:w="865"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1237,4</w:t>
            </w:r>
          </w:p>
        </w:tc>
        <w:tc>
          <w:tcPr>
            <w:tcW w:w="1011"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1174,2</w:t>
            </w:r>
          </w:p>
        </w:tc>
        <w:tc>
          <w:tcPr>
            <w:tcW w:w="982"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1083,7</w:t>
            </w:r>
          </w:p>
        </w:tc>
        <w:tc>
          <w:tcPr>
            <w:tcW w:w="849"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1023,0</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937,1</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-8,4</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-24,3</w:t>
            </w:r>
          </w:p>
        </w:tc>
      </w:tr>
      <w:tr w:rsidR="00FA027B" w:rsidRPr="000A50F4" w:rsidTr="00FA027B">
        <w:trPr>
          <w:trHeight w:val="288"/>
        </w:trPr>
        <w:tc>
          <w:tcPr>
            <w:tcW w:w="2931" w:type="dxa"/>
            <w:tcBorders>
              <w:top w:val="single" w:sz="4" w:space="0" w:color="auto"/>
              <w:left w:val="single" w:sz="4" w:space="0" w:color="auto"/>
              <w:bottom w:val="single" w:sz="4" w:space="0" w:color="auto"/>
              <w:right w:val="single" w:sz="4" w:space="0" w:color="auto"/>
            </w:tcBorders>
            <w:noWrap/>
            <w:vAlign w:val="bottom"/>
            <w:hideMark/>
          </w:tcPr>
          <w:p w:rsidR="00FA027B" w:rsidRPr="000A50F4" w:rsidRDefault="00FA027B" w:rsidP="00FA027B">
            <w:pPr>
              <w:spacing w:after="0" w:line="240" w:lineRule="auto"/>
              <w:rPr>
                <w:rFonts w:ascii="Times New Roman" w:hAnsi="Times New Roman"/>
                <w:lang w:eastAsia="ru-RU"/>
              </w:rPr>
            </w:pPr>
            <w:r>
              <w:rPr>
                <w:rFonts w:ascii="Times New Roman" w:hAnsi="Times New Roman"/>
                <w:lang w:eastAsia="ru-RU"/>
              </w:rPr>
              <w:t xml:space="preserve">    </w:t>
            </w:r>
            <w:r w:rsidRPr="000A50F4">
              <w:rPr>
                <w:rFonts w:ascii="Times New Roman" w:hAnsi="Times New Roman"/>
                <w:lang w:eastAsia="ru-RU"/>
              </w:rPr>
              <w:t>алкогольные психозы</w:t>
            </w:r>
          </w:p>
        </w:tc>
        <w:tc>
          <w:tcPr>
            <w:tcW w:w="865"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49,3</w:t>
            </w:r>
          </w:p>
        </w:tc>
        <w:tc>
          <w:tcPr>
            <w:tcW w:w="1011"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45,5</w:t>
            </w:r>
          </w:p>
        </w:tc>
        <w:tc>
          <w:tcPr>
            <w:tcW w:w="982"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40,5</w:t>
            </w:r>
          </w:p>
        </w:tc>
        <w:tc>
          <w:tcPr>
            <w:tcW w:w="849"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34,3</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32,1</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-6,3</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-35,0</w:t>
            </w:r>
          </w:p>
        </w:tc>
      </w:tr>
      <w:tr w:rsidR="00FA027B" w:rsidRPr="000A50F4" w:rsidTr="00FA027B">
        <w:trPr>
          <w:trHeight w:val="288"/>
        </w:trPr>
        <w:tc>
          <w:tcPr>
            <w:tcW w:w="2931" w:type="dxa"/>
            <w:tcBorders>
              <w:top w:val="single" w:sz="4" w:space="0" w:color="auto"/>
              <w:left w:val="single" w:sz="4" w:space="0" w:color="auto"/>
              <w:bottom w:val="single" w:sz="4" w:space="0" w:color="auto"/>
              <w:right w:val="single" w:sz="4" w:space="0" w:color="auto"/>
            </w:tcBorders>
            <w:noWrap/>
            <w:vAlign w:val="bottom"/>
            <w:hideMark/>
          </w:tcPr>
          <w:p w:rsidR="00FA027B" w:rsidRPr="000A50F4" w:rsidRDefault="00FA027B" w:rsidP="00FA027B">
            <w:pPr>
              <w:spacing w:after="0" w:line="240" w:lineRule="auto"/>
              <w:ind w:left="170"/>
              <w:rPr>
                <w:rFonts w:ascii="Times New Roman" w:hAnsi="Times New Roman"/>
                <w:lang w:eastAsia="ru-RU"/>
              </w:rPr>
            </w:pPr>
            <w:r w:rsidRPr="000A50F4">
              <w:rPr>
                <w:rFonts w:ascii="Times New Roman" w:hAnsi="Times New Roman"/>
                <w:lang w:eastAsia="ru-RU"/>
              </w:rPr>
              <w:t>пагубное употребление алкоголя</w:t>
            </w:r>
          </w:p>
        </w:tc>
        <w:tc>
          <w:tcPr>
            <w:tcW w:w="865"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260,1</w:t>
            </w:r>
          </w:p>
        </w:tc>
        <w:tc>
          <w:tcPr>
            <w:tcW w:w="1011"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246,7</w:t>
            </w:r>
          </w:p>
        </w:tc>
        <w:tc>
          <w:tcPr>
            <w:tcW w:w="982"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203,7</w:t>
            </w:r>
          </w:p>
        </w:tc>
        <w:tc>
          <w:tcPr>
            <w:tcW w:w="849" w:type="dxa"/>
            <w:tcBorders>
              <w:top w:val="single" w:sz="4" w:space="0" w:color="auto"/>
              <w:left w:val="single" w:sz="4" w:space="0" w:color="auto"/>
              <w:bottom w:val="single" w:sz="4" w:space="0" w:color="auto"/>
              <w:right w:val="single" w:sz="4" w:space="0" w:color="auto"/>
            </w:tcBorders>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174,8</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148,5</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-15,1</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FA027B" w:rsidRPr="000A50F4" w:rsidRDefault="00FA027B" w:rsidP="00FA027B">
            <w:pPr>
              <w:spacing w:after="0" w:line="240" w:lineRule="auto"/>
              <w:jc w:val="center"/>
              <w:rPr>
                <w:rFonts w:ascii="Times New Roman" w:hAnsi="Times New Roman"/>
                <w:lang w:eastAsia="ru-RU"/>
              </w:rPr>
            </w:pPr>
            <w:r w:rsidRPr="000A50F4">
              <w:rPr>
                <w:rFonts w:ascii="Times New Roman" w:hAnsi="Times New Roman"/>
                <w:lang w:eastAsia="ru-RU"/>
              </w:rPr>
              <w:t>-42,9</w:t>
            </w:r>
          </w:p>
        </w:tc>
      </w:tr>
    </w:tbl>
    <w:p w:rsidR="00FA027B" w:rsidRDefault="00FA027B"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сравнению с 2017 годом в 2018 году все показатели обращаемости по поводу алкогольных расстройств снизились: общая заболеваемость алкогольными психозами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6,3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34,3 на </w:t>
      </w:r>
      <w:r w:rsidR="00FA027B">
        <w:rPr>
          <w:rFonts w:ascii="Times New Roman" w:hAnsi="Times New Roman" w:cs="Times New Roman"/>
          <w:sz w:val="28"/>
          <w:szCs w:val="28"/>
        </w:rPr>
        <w:t>100 тыс. населения в 2017 </w:t>
      </w:r>
      <w:r w:rsidRPr="005E58C6">
        <w:rPr>
          <w:rFonts w:ascii="Times New Roman" w:hAnsi="Times New Roman" w:cs="Times New Roman"/>
          <w:sz w:val="28"/>
          <w:szCs w:val="28"/>
        </w:rPr>
        <w:t>году до 32,1 в 2018 году,   алкоголизмом, включая алкогольные психозы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8,4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1023,0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до 937,1, показатель обращаемости по поводу пагубного употребления алкоголя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15,1</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w:t>
      </w:r>
      <w:r w:rsidRPr="005E58C6">
        <w:rPr>
          <w:rFonts w:ascii="Times New Roman" w:hAnsi="Times New Roman" w:cs="Times New Roman"/>
          <w:sz w:val="28"/>
          <w:szCs w:val="28"/>
        </w:rPr>
        <w:lastRenderedPageBreak/>
        <w:t xml:space="preserve">174,8 до 148,5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соответственно.</w:t>
      </w:r>
    </w:p>
    <w:p w:rsidR="005E58C6" w:rsidRPr="005E58C6" w:rsidRDefault="005E58C6" w:rsidP="00FA027B">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впервые в жизни обратились за наркологической помощью 77 529 больных алкоголизмом, включая алкогольные психозы (2017 год</w:t>
      </w:r>
      <w:r w:rsidR="00051685">
        <w:rPr>
          <w:rFonts w:ascii="Times New Roman" w:hAnsi="Times New Roman" w:cs="Times New Roman"/>
          <w:sz w:val="28"/>
          <w:szCs w:val="28"/>
        </w:rPr>
        <w:t xml:space="preserve"> – </w:t>
      </w:r>
      <w:r w:rsidR="00FA027B">
        <w:rPr>
          <w:rFonts w:ascii="Times New Roman" w:hAnsi="Times New Roman" w:cs="Times New Roman"/>
          <w:sz w:val="28"/>
          <w:szCs w:val="28"/>
        </w:rPr>
        <w:t>81 </w:t>
      </w:r>
      <w:r w:rsidRPr="005E58C6">
        <w:rPr>
          <w:rFonts w:ascii="Times New Roman" w:hAnsi="Times New Roman" w:cs="Times New Roman"/>
          <w:sz w:val="28"/>
          <w:szCs w:val="28"/>
        </w:rPr>
        <w:t>809 человек). Еще 46 269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54 186)  пациентов зарегистрированы медицинскими организациями, оказывающими медицинскую помощь по профилю «психиатрия-наркология) с диагнозом «пагубное (с вредными последствиями) употребление алкоголя» Всего в 2018 году впервые в жизни обратились за наркологической помощью по поводу алкогольных расстройств 123 798 пациентов, или 84,3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135 995 человек, или 92,6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Показатель первичной заболеваемости алкоголизмом, включая алкогольные психозы, в 2018 году составил 52,8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По сравнению с уровнем 2017 года отмечено снижение на 5,3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55,7).  </w:t>
      </w:r>
    </w:p>
    <w:p w:rsidR="005E58C6" w:rsidRPr="005E58C6" w:rsidRDefault="005E58C6" w:rsidP="00FA027B">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Таблица 3.7.</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Показатели первичной заболеваемости алкогольными расстройствами</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среднегодового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5"/>
        <w:gridCol w:w="987"/>
        <w:gridCol w:w="988"/>
        <w:gridCol w:w="988"/>
        <w:gridCol w:w="988"/>
        <w:gridCol w:w="988"/>
        <w:gridCol w:w="1133"/>
        <w:gridCol w:w="1133"/>
      </w:tblGrid>
      <w:tr w:rsidR="00FA027B" w:rsidRPr="005F385B" w:rsidTr="00FA027B">
        <w:trPr>
          <w:trHeight w:val="288"/>
        </w:trPr>
        <w:tc>
          <w:tcPr>
            <w:tcW w:w="1149"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Категория</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2014</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2015</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2016</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2017</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2018</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Прирост 2018/ 2017 (</w:t>
            </w:r>
            <w:r w:rsidR="00000709">
              <w:rPr>
                <w:rFonts w:ascii="Times New Roman" w:hAnsi="Times New Roman"/>
                <w:lang w:eastAsia="ru-RU"/>
              </w:rPr>
              <w:t> %</w:t>
            </w:r>
            <w:r w:rsidRPr="00FE4FAE">
              <w:rPr>
                <w:rFonts w:ascii="Times New Roman" w:hAnsi="Times New Roman"/>
                <w:lang w:eastAsia="ru-RU"/>
              </w:rPr>
              <w:t>)</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Прирост 2018/ 2014 (</w:t>
            </w:r>
            <w:r w:rsidR="00000709">
              <w:rPr>
                <w:rFonts w:ascii="Times New Roman" w:hAnsi="Times New Roman"/>
                <w:lang w:eastAsia="ru-RU"/>
              </w:rPr>
              <w:t> %</w:t>
            </w:r>
            <w:r w:rsidRPr="00FE4FAE">
              <w:rPr>
                <w:rFonts w:ascii="Times New Roman" w:hAnsi="Times New Roman"/>
                <w:lang w:eastAsia="ru-RU"/>
              </w:rPr>
              <w:t>)</w:t>
            </w:r>
          </w:p>
        </w:tc>
      </w:tr>
      <w:tr w:rsidR="00FA027B" w:rsidRPr="005F385B" w:rsidTr="00FA027B">
        <w:trPr>
          <w:trHeight w:val="288"/>
        </w:trPr>
        <w:tc>
          <w:tcPr>
            <w:tcW w:w="1149"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 xml:space="preserve">Алкогольные расстройства, </w:t>
            </w:r>
          </w:p>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из них:</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139,0</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131,2</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112,9</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92,6</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84,3</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-9,0</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FE4FAE" w:rsidRDefault="00FA027B" w:rsidP="00FA027B">
            <w:pPr>
              <w:spacing w:after="0" w:line="240" w:lineRule="auto"/>
              <w:jc w:val="center"/>
              <w:rPr>
                <w:rFonts w:ascii="Times New Roman" w:hAnsi="Times New Roman"/>
                <w:lang w:eastAsia="ru-RU"/>
              </w:rPr>
            </w:pPr>
            <w:r w:rsidRPr="00FE4FAE">
              <w:rPr>
                <w:rFonts w:ascii="Times New Roman" w:hAnsi="Times New Roman"/>
                <w:lang w:eastAsia="ru-RU"/>
              </w:rPr>
              <w:t>-39,4</w:t>
            </w:r>
          </w:p>
        </w:tc>
      </w:tr>
      <w:tr w:rsidR="00FA027B" w:rsidRPr="005F385B" w:rsidTr="00FA027B">
        <w:trPr>
          <w:trHeight w:val="288"/>
        </w:trPr>
        <w:tc>
          <w:tcPr>
            <w:tcW w:w="1149"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 xml:space="preserve">синдром зависимости от алкоголя, включая алкогольные психозы, </w:t>
            </w:r>
          </w:p>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 xml:space="preserve">в том числе:  </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74,6</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70,8</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64,9</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55,7</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52,8</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-5,3</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-29,3</w:t>
            </w:r>
          </w:p>
        </w:tc>
      </w:tr>
      <w:tr w:rsidR="00FA027B" w:rsidRPr="005F385B" w:rsidTr="00FA027B">
        <w:trPr>
          <w:trHeight w:val="288"/>
        </w:trPr>
        <w:tc>
          <w:tcPr>
            <w:tcW w:w="1149"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алкогольные психозы</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21,9</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20,5</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17,4</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13,3</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12,6</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-5,5</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-42,5</w:t>
            </w:r>
          </w:p>
        </w:tc>
      </w:tr>
      <w:tr w:rsidR="00FA027B" w:rsidRPr="005F385B" w:rsidTr="00FA027B">
        <w:trPr>
          <w:trHeight w:val="288"/>
        </w:trPr>
        <w:tc>
          <w:tcPr>
            <w:tcW w:w="1149"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пагубное употребление алкоголя</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64,4</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60,4</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48,0</w:t>
            </w:r>
          </w:p>
        </w:tc>
        <w:tc>
          <w:tcPr>
            <w:tcW w:w="480" w:type="pct"/>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36,9</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31,5</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-14,6</w:t>
            </w:r>
          </w:p>
        </w:tc>
        <w:tc>
          <w:tcPr>
            <w:tcW w:w="550" w:type="pct"/>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-51,1</w:t>
            </w:r>
          </w:p>
        </w:tc>
      </w:tr>
    </w:tbl>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Число больных алкогольными психозами с впервые в жизни установленным диагнозом уменьшилось с 19 595 до 18 513 человек.     Показатель первичной заболеваемости алкогольными психозами снизился с 13,3 в 2017 году до 12,6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в 2018 году, или на 5,5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а по сравнению с уровнем 2008 года (40,8)  снизился в 3,2 раза. </w:t>
      </w:r>
    </w:p>
    <w:p w:rsidR="005E58C6" w:rsidRPr="005E58C6" w:rsidRDefault="005E58C6" w:rsidP="00FA027B">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обращаемости по поводу алкогольных расстройств (включая алкогольные психозы) в последние годы может быть связано, как с проводимой активной политикой государства в сфере потребления алкоголя, </w:t>
      </w:r>
      <w:r w:rsidRPr="005E58C6">
        <w:rPr>
          <w:rFonts w:ascii="Times New Roman" w:hAnsi="Times New Roman" w:cs="Times New Roman"/>
          <w:sz w:val="28"/>
          <w:szCs w:val="28"/>
        </w:rPr>
        <w:lastRenderedPageBreak/>
        <w:t>так и с изменением порядка диспансерного наблюдения пациентов наркологического профиля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порядок).</w:t>
      </w:r>
    </w:p>
    <w:p w:rsidR="005E58C6" w:rsidRPr="005E58C6" w:rsidRDefault="005E58C6" w:rsidP="00FA027B">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медицинскими организациями, оказывающими первичную медико-санитарную помощь по профилю «психиатрия-наркология» в амбулаторных условиях</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зарегистрировано 250 634 больных наркоманией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273 094), или 170,6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186,0). По сравнению с 2017 годом снижение   показателя на 8,2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FA027B">
      <w:pPr>
        <w:widowControl w:val="0"/>
        <w:spacing w:after="0" w:line="240"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Таблица 3.8.</w:t>
      </w:r>
    </w:p>
    <w:p w:rsidR="005E58C6" w:rsidRPr="005E58C6"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Показатели общей заболеваемости психическими и поведенческими расстройствами, связанными с употреблением наркотиков</w:t>
      </w:r>
    </w:p>
    <w:p w:rsidR="00FA027B" w:rsidRDefault="005E58C6" w:rsidP="00FA027B">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среднегодового населения)</w:t>
      </w:r>
    </w:p>
    <w:p w:rsidR="00FA027B" w:rsidRPr="00FA027B" w:rsidRDefault="00FA027B" w:rsidP="00FA027B">
      <w:pPr>
        <w:widowControl w:val="0"/>
        <w:spacing w:after="0" w:line="240" w:lineRule="auto"/>
        <w:ind w:firstLine="709"/>
        <w:jc w:val="center"/>
        <w:rPr>
          <w:rFonts w:ascii="Times New Roman" w:hAnsi="Times New Roman" w:cs="Times New Roman"/>
          <w:sz w:val="10"/>
          <w:szCs w:val="1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4"/>
        <w:gridCol w:w="938"/>
        <w:gridCol w:w="992"/>
        <w:gridCol w:w="993"/>
        <w:gridCol w:w="992"/>
        <w:gridCol w:w="992"/>
        <w:gridCol w:w="1276"/>
        <w:gridCol w:w="1276"/>
      </w:tblGrid>
      <w:tr w:rsidR="00FA027B" w:rsidRPr="005F385B" w:rsidTr="00FA027B">
        <w:trPr>
          <w:trHeight w:val="288"/>
          <w:tblHeader/>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Категория</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2014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2015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2016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2017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2018 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Прирост 2018/ 2017 (</w:t>
            </w:r>
            <w:r w:rsidR="00000709">
              <w:rPr>
                <w:rFonts w:ascii="Times New Roman" w:hAnsi="Times New Roman"/>
                <w:lang w:eastAsia="ru-RU"/>
              </w:rPr>
              <w:t> %</w:t>
            </w:r>
            <w:r w:rsidRPr="00F649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lang w:eastAsia="ru-RU"/>
              </w:rPr>
            </w:pPr>
            <w:r w:rsidRPr="00F6492D">
              <w:rPr>
                <w:rFonts w:ascii="Times New Roman" w:hAnsi="Times New Roman"/>
                <w:lang w:eastAsia="ru-RU"/>
              </w:rPr>
              <w:t>Прирост 2018/ 2014 (</w:t>
            </w:r>
            <w:r w:rsidR="00000709">
              <w:rPr>
                <w:rFonts w:ascii="Times New Roman" w:hAnsi="Times New Roman"/>
                <w:lang w:eastAsia="ru-RU"/>
              </w:rPr>
              <w:t> %</w:t>
            </w:r>
            <w:r w:rsidRPr="00F6492D">
              <w:rPr>
                <w:rFonts w:ascii="Times New Roman" w:hAnsi="Times New Roman"/>
                <w:lang w:eastAsia="ru-RU"/>
              </w:rPr>
              <w:t>)</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rPr>
                <w:rFonts w:ascii="Times New Roman" w:hAnsi="Times New Roman"/>
                <w:bCs/>
                <w:lang w:eastAsia="ru-RU"/>
              </w:rPr>
            </w:pPr>
            <w:r w:rsidRPr="00F6492D">
              <w:rPr>
                <w:rFonts w:ascii="Times New Roman" w:hAnsi="Times New Roman"/>
                <w:bCs/>
                <w:lang w:eastAsia="ru-RU"/>
              </w:rPr>
              <w:t>Всего, из них:</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374,1</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372,0</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338,2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312,7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288,3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F6492D" w:rsidRDefault="00FA027B" w:rsidP="00FA027B">
            <w:pPr>
              <w:spacing w:after="0" w:line="240" w:lineRule="auto"/>
              <w:jc w:val="center"/>
              <w:rPr>
                <w:rFonts w:ascii="Times New Roman" w:hAnsi="Times New Roman"/>
                <w:bCs/>
                <w:lang w:eastAsia="ru-RU"/>
              </w:rPr>
            </w:pPr>
            <w:r w:rsidRPr="00F6492D">
              <w:rPr>
                <w:rFonts w:ascii="Times New Roman" w:hAnsi="Times New Roman"/>
                <w:bCs/>
                <w:lang w:eastAsia="ru-RU"/>
              </w:rPr>
              <w:t>-23,0</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113"/>
              <w:rPr>
                <w:rFonts w:ascii="Times New Roman" w:hAnsi="Times New Roman"/>
                <w:lang w:eastAsia="ru-RU"/>
              </w:rPr>
            </w:pPr>
            <w:r w:rsidRPr="005F385B">
              <w:rPr>
                <w:rFonts w:ascii="Times New Roman" w:hAnsi="Times New Roman"/>
                <w:lang w:eastAsia="ru-RU"/>
              </w:rPr>
              <w:t>синдром зависимости от наркотиков (наркомания), в том числе от:</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199,4</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186,0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170,6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-22,4</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227"/>
              <w:rPr>
                <w:rFonts w:ascii="Times New Roman" w:hAnsi="Times New Roman"/>
                <w:lang w:eastAsia="ru-RU"/>
              </w:rPr>
            </w:pPr>
            <w:r w:rsidRPr="005F385B">
              <w:rPr>
                <w:rFonts w:ascii="Times New Roman" w:hAnsi="Times New Roman"/>
                <w:lang w:eastAsia="ru-RU"/>
              </w:rPr>
              <w:t>опиоидов</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172,4</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157,5</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121,0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103,8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-39,8</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227"/>
              <w:rPr>
                <w:rFonts w:ascii="Times New Roman" w:hAnsi="Times New Roman"/>
                <w:lang w:eastAsia="ru-RU"/>
              </w:rPr>
            </w:pPr>
            <w:r w:rsidRPr="005F385B">
              <w:rPr>
                <w:rFonts w:ascii="Times New Roman" w:hAnsi="Times New Roman"/>
                <w:lang w:eastAsia="ru-RU"/>
              </w:rPr>
              <w:t>каннабиноидов</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17,7</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19,3</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19,0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6,9</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227"/>
              <w:rPr>
                <w:rFonts w:ascii="Times New Roman" w:hAnsi="Times New Roman"/>
                <w:lang w:eastAsia="ru-RU"/>
              </w:rPr>
            </w:pPr>
            <w:r w:rsidRPr="005F385B">
              <w:rPr>
                <w:rFonts w:ascii="Times New Roman" w:hAnsi="Times New Roman"/>
                <w:lang w:eastAsia="ru-RU"/>
              </w:rPr>
              <w:t>кокаина</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0,04</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25,3</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227"/>
              <w:rPr>
                <w:rFonts w:ascii="Times New Roman" w:hAnsi="Times New Roman"/>
                <w:lang w:eastAsia="ru-RU"/>
              </w:rPr>
            </w:pPr>
            <w:r w:rsidRPr="005F385B">
              <w:rPr>
                <w:rFonts w:ascii="Times New Roman" w:hAnsi="Times New Roman"/>
                <w:lang w:eastAsia="ru-RU"/>
              </w:rPr>
              <w:t>психостимуля-торов</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8,6</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6,4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83,4</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227"/>
              <w:rPr>
                <w:rFonts w:ascii="Times New Roman" w:hAnsi="Times New Roman"/>
                <w:lang w:eastAsia="ru-RU"/>
              </w:rPr>
            </w:pPr>
            <w:r w:rsidRPr="005F385B">
              <w:rPr>
                <w:rFonts w:ascii="Times New Roman" w:hAnsi="Times New Roman"/>
                <w:lang w:eastAsia="ru-RU"/>
              </w:rPr>
              <w:t>других наркотиков и их сочетаний</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23,2</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27,5</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53,9</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ind w:left="113"/>
              <w:rPr>
                <w:rFonts w:ascii="Times New Roman" w:hAnsi="Times New Roman"/>
                <w:lang w:eastAsia="ru-RU"/>
              </w:rPr>
            </w:pPr>
            <w:r w:rsidRPr="005F385B">
              <w:rPr>
                <w:rFonts w:ascii="Times New Roman" w:hAnsi="Times New Roman"/>
                <w:lang w:eastAsia="ru-RU"/>
              </w:rPr>
              <w:t>пагубное употребление наркотиков</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154,1</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159,0</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126,7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117,6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-23,7</w:t>
            </w:r>
          </w:p>
        </w:tc>
      </w:tr>
      <w:tr w:rsidR="00FA027B" w:rsidRPr="005F385B" w:rsidTr="00FA027B">
        <w:trPr>
          <w:trHeight w:val="288"/>
        </w:trPr>
        <w:tc>
          <w:tcPr>
            <w:tcW w:w="2054"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rPr>
                <w:rFonts w:ascii="Times New Roman" w:hAnsi="Times New Roman"/>
                <w:lang w:eastAsia="ru-RU"/>
              </w:rPr>
            </w:pPr>
            <w:r w:rsidRPr="005F385B">
              <w:rPr>
                <w:rFonts w:ascii="Times New Roman" w:hAnsi="Times New Roman"/>
                <w:lang w:eastAsia="ru-RU"/>
              </w:rPr>
              <w:t>из общего числа пациентов – ПИН</w:t>
            </w:r>
          </w:p>
        </w:tc>
        <w:tc>
          <w:tcPr>
            <w:tcW w:w="938"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214,5</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203,6</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179,3</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151,2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134,0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-11,4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lang w:eastAsia="ru-RU"/>
              </w:rPr>
            </w:pPr>
            <w:r w:rsidRPr="005F385B">
              <w:rPr>
                <w:rFonts w:ascii="Times New Roman" w:hAnsi="Times New Roman"/>
                <w:lang w:eastAsia="ru-RU"/>
              </w:rPr>
              <w:t>-37,5</w:t>
            </w:r>
          </w:p>
        </w:tc>
      </w:tr>
    </w:tbl>
    <w:p w:rsidR="00FA027B" w:rsidRDefault="00FA027B"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172 757 пациентов  были зарегистрированы с диагнозом «пагубное (с вредными последствиями) употребление наркотиков», или 117,6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126,7), по сравнению с уровнем 2017 года этот показатель уменьшился на 7,2</w:t>
      </w:r>
      <w:r w:rsidR="00000709">
        <w:rPr>
          <w:rFonts w:ascii="Times New Roman" w:hAnsi="Times New Roman" w:cs="Times New Roman"/>
          <w:sz w:val="28"/>
          <w:szCs w:val="28"/>
        </w:rPr>
        <w:t>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Общее число зарегистрированных пациентов с психическим и поведенческими расстройствами, связанными с употреблением наркотиков, (включая больных наркоманией и пациентов с пагубным употреблением наркотиков) в 2018 году составило 423 391 человек, или 288,3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что на 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ниже уровня 2017 года (312,7).</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Среди больных наркоманией в 2018 году, как и в предыдущие годы, большинство составили больные с опиоидной зависимостью (60,8</w:t>
      </w:r>
      <w:r w:rsidR="00000709">
        <w:rPr>
          <w:rFonts w:ascii="Times New Roman" w:hAnsi="Times New Roman" w:cs="Times New Roman"/>
          <w:sz w:val="28"/>
          <w:szCs w:val="28"/>
        </w:rPr>
        <w:t> %</w:t>
      </w:r>
      <w:r w:rsidRPr="005E58C6">
        <w:rPr>
          <w:rFonts w:ascii="Times New Roman" w:hAnsi="Times New Roman" w:cs="Times New Roman"/>
          <w:sz w:val="28"/>
          <w:szCs w:val="28"/>
        </w:rPr>
        <w:t>), второе ранговое место заняла группа пациентов, включающая больных полинаркоманией и зависимых от других наркотиков</w:t>
      </w:r>
      <w:r w:rsidR="00757202">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20,9</w:t>
      </w:r>
      <w:r w:rsidR="00000709">
        <w:rPr>
          <w:rFonts w:ascii="Times New Roman" w:hAnsi="Times New Roman" w:cs="Times New Roman"/>
          <w:sz w:val="28"/>
          <w:szCs w:val="28"/>
        </w:rPr>
        <w:t> %</w:t>
      </w:r>
      <w:r w:rsidRPr="005E58C6">
        <w:rPr>
          <w:rFonts w:ascii="Times New Roman" w:hAnsi="Times New Roman" w:cs="Times New Roman"/>
          <w:sz w:val="28"/>
          <w:szCs w:val="28"/>
        </w:rPr>
        <w:t>, больные с зависимостью от каннабиса заняли третье ранговое место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11,1</w:t>
      </w:r>
      <w:r w:rsidR="00000709">
        <w:rPr>
          <w:rFonts w:ascii="Times New Roman" w:hAnsi="Times New Roman" w:cs="Times New Roman"/>
          <w:sz w:val="28"/>
          <w:szCs w:val="28"/>
        </w:rPr>
        <w:t> %</w:t>
      </w:r>
      <w:r w:rsidRPr="005E58C6">
        <w:rPr>
          <w:rFonts w:ascii="Times New Roman" w:hAnsi="Times New Roman" w:cs="Times New Roman"/>
          <w:sz w:val="28"/>
          <w:szCs w:val="28"/>
        </w:rPr>
        <w:t>. На четвертом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группа пациентов с зависимостью от психостимуляторов (амфетамины, кокаин и т.п.)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динамика показателей общей заболеваемости наркоманиями имела различные тенденции: снижение заболеваемости опиоидной наркоманией на 14,2</w:t>
      </w:r>
      <w:r w:rsidR="00000709">
        <w:rPr>
          <w:rFonts w:ascii="Times New Roman" w:hAnsi="Times New Roman" w:cs="Times New Roman"/>
          <w:sz w:val="28"/>
          <w:szCs w:val="28"/>
        </w:rPr>
        <w:t> %</w:t>
      </w:r>
      <w:r w:rsidRPr="005E58C6">
        <w:rPr>
          <w:rFonts w:ascii="Times New Roman" w:hAnsi="Times New Roman" w:cs="Times New Roman"/>
          <w:sz w:val="28"/>
          <w:szCs w:val="28"/>
        </w:rPr>
        <w:t>,   рост   заболеваемости с зависимостью от других наркотиков и полинаркоманией на 3,5</w:t>
      </w:r>
      <w:r w:rsidR="00000709">
        <w:rPr>
          <w:rFonts w:ascii="Times New Roman" w:hAnsi="Times New Roman" w:cs="Times New Roman"/>
          <w:sz w:val="28"/>
          <w:szCs w:val="28"/>
        </w:rPr>
        <w:t> %</w:t>
      </w:r>
      <w:r w:rsidRPr="005E58C6">
        <w:rPr>
          <w:rFonts w:ascii="Times New Roman" w:hAnsi="Times New Roman" w:cs="Times New Roman"/>
          <w:sz w:val="28"/>
          <w:szCs w:val="28"/>
        </w:rPr>
        <w:t>,  с  зависимостью от психостимуляторов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6,4</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FA027B">
        <w:rPr>
          <w:rFonts w:ascii="Times New Roman" w:hAnsi="Times New Roman" w:cs="Times New Roman"/>
          <w:sz w:val="28"/>
          <w:szCs w:val="28"/>
        </w:rPr>
        <w:t xml:space="preserve"> </w:t>
      </w:r>
      <w:r w:rsidRPr="005E58C6">
        <w:rPr>
          <w:rFonts w:ascii="Times New Roman" w:hAnsi="Times New Roman" w:cs="Times New Roman"/>
          <w:sz w:val="28"/>
          <w:szCs w:val="28"/>
        </w:rPr>
        <w:t>Заболеваемость каннабиноидной наркоманией по сравнению с 2017 годом осталась на прежнем уровне.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Из общего числа зарегистрированных потребителей наркотиков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196 854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222 056) человек употребляли наркотики инъекционным способом (потребители инъекционных наркотиков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ПИН), или 134,0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151,2). Показатель учтенной распространенности (обращаемости) этого контингента снизился на 11,4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FA027B">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Таблица 3.9.</w:t>
      </w:r>
    </w:p>
    <w:p w:rsidR="005E58C6" w:rsidRPr="005E58C6" w:rsidRDefault="005E58C6" w:rsidP="00FA027B">
      <w:pPr>
        <w:widowControl w:val="0"/>
        <w:spacing w:after="0" w:line="312"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Сведения о потребителях инъекционных наркотиков</w:t>
      </w:r>
    </w:p>
    <w:tbl>
      <w:tblPr>
        <w:tblW w:w="91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7"/>
        <w:gridCol w:w="936"/>
        <w:gridCol w:w="936"/>
        <w:gridCol w:w="936"/>
        <w:gridCol w:w="936"/>
        <w:gridCol w:w="936"/>
      </w:tblGrid>
      <w:tr w:rsidR="00FA027B" w:rsidRPr="005F385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C648B7" w:rsidRDefault="00FA027B" w:rsidP="00FA027B">
            <w:pPr>
              <w:spacing w:after="0" w:line="240" w:lineRule="auto"/>
              <w:rPr>
                <w:rFonts w:ascii="Times New Roman" w:hAnsi="Times New Roman"/>
                <w:sz w:val="24"/>
                <w:lang w:eastAsia="ru-RU"/>
              </w:rPr>
            </w:pPr>
            <w:r w:rsidRPr="00C648B7">
              <w:rPr>
                <w:rFonts w:ascii="Times New Roman" w:hAnsi="Times New Roman"/>
                <w:sz w:val="24"/>
                <w:szCs w:val="24"/>
                <w:lang w:eastAsia="ru-RU"/>
              </w:rPr>
              <w:t>Категория</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C648B7" w:rsidRDefault="00FA027B" w:rsidP="00FA027B">
            <w:pPr>
              <w:spacing w:after="0" w:line="240" w:lineRule="auto"/>
              <w:jc w:val="center"/>
              <w:rPr>
                <w:rFonts w:ascii="Times New Roman" w:hAnsi="Times New Roman"/>
                <w:sz w:val="24"/>
                <w:lang w:eastAsia="ru-RU"/>
              </w:rPr>
            </w:pPr>
            <w:r w:rsidRPr="00C648B7">
              <w:rPr>
                <w:rFonts w:ascii="Times New Roman" w:hAnsi="Times New Roman"/>
                <w:sz w:val="24"/>
                <w:szCs w:val="24"/>
                <w:lang w:eastAsia="ru-RU"/>
              </w:rPr>
              <w:t>2014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C648B7" w:rsidRDefault="00FA027B" w:rsidP="00FA027B">
            <w:pPr>
              <w:spacing w:after="0" w:line="240" w:lineRule="auto"/>
              <w:jc w:val="center"/>
              <w:rPr>
                <w:rFonts w:ascii="Times New Roman" w:hAnsi="Times New Roman"/>
                <w:sz w:val="24"/>
                <w:lang w:eastAsia="ru-RU"/>
              </w:rPr>
            </w:pPr>
            <w:r w:rsidRPr="00C648B7">
              <w:rPr>
                <w:rFonts w:ascii="Times New Roman" w:hAnsi="Times New Roman"/>
                <w:sz w:val="24"/>
                <w:szCs w:val="24"/>
                <w:lang w:eastAsia="ru-RU"/>
              </w:rPr>
              <w:t>2015</w:t>
            </w:r>
            <w:r>
              <w:rPr>
                <w:rFonts w:ascii="Times New Roman" w:hAnsi="Times New Roman"/>
                <w:sz w:val="24"/>
                <w:szCs w:val="24"/>
                <w:lang w:eastAsia="ru-RU"/>
              </w:rPr>
              <w:t xml:space="preserve">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C648B7" w:rsidRDefault="00FA027B" w:rsidP="00FA027B">
            <w:pPr>
              <w:spacing w:after="0" w:line="240" w:lineRule="auto"/>
              <w:jc w:val="center"/>
              <w:rPr>
                <w:rFonts w:ascii="Times New Roman" w:hAnsi="Times New Roman"/>
                <w:sz w:val="24"/>
                <w:lang w:eastAsia="ru-RU"/>
              </w:rPr>
            </w:pPr>
            <w:r w:rsidRPr="00C648B7">
              <w:rPr>
                <w:rFonts w:ascii="Times New Roman" w:hAnsi="Times New Roman"/>
                <w:sz w:val="24"/>
                <w:szCs w:val="24"/>
                <w:lang w:eastAsia="ru-RU"/>
              </w:rPr>
              <w:t>2016</w:t>
            </w:r>
            <w:r>
              <w:rPr>
                <w:rFonts w:ascii="Times New Roman" w:hAnsi="Times New Roman"/>
                <w:sz w:val="24"/>
                <w:szCs w:val="24"/>
                <w:lang w:eastAsia="ru-RU"/>
              </w:rPr>
              <w:t xml:space="preserve">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C648B7" w:rsidRDefault="00FA027B" w:rsidP="00FA027B">
            <w:pPr>
              <w:spacing w:after="0" w:line="240" w:lineRule="auto"/>
              <w:jc w:val="center"/>
              <w:rPr>
                <w:rFonts w:ascii="Times New Roman" w:hAnsi="Times New Roman"/>
                <w:sz w:val="24"/>
                <w:lang w:eastAsia="ru-RU"/>
              </w:rPr>
            </w:pPr>
            <w:r w:rsidRPr="00C648B7">
              <w:rPr>
                <w:rFonts w:ascii="Times New Roman" w:hAnsi="Times New Roman"/>
                <w:sz w:val="24"/>
                <w:szCs w:val="24"/>
                <w:lang w:eastAsia="ru-RU"/>
              </w:rPr>
              <w:t>2017</w:t>
            </w:r>
            <w:r>
              <w:rPr>
                <w:rFonts w:ascii="Times New Roman" w:hAnsi="Times New Roman"/>
                <w:sz w:val="24"/>
                <w:szCs w:val="24"/>
                <w:lang w:eastAsia="ru-RU"/>
              </w:rPr>
              <w:t xml:space="preserve"> г.</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C648B7" w:rsidRDefault="00FA027B" w:rsidP="00FA027B">
            <w:pPr>
              <w:spacing w:after="0" w:line="240" w:lineRule="auto"/>
              <w:jc w:val="center"/>
              <w:rPr>
                <w:rFonts w:ascii="Times New Roman" w:hAnsi="Times New Roman"/>
                <w:sz w:val="24"/>
                <w:lang w:eastAsia="ru-RU"/>
              </w:rPr>
            </w:pPr>
            <w:r w:rsidRPr="00C648B7">
              <w:rPr>
                <w:rFonts w:ascii="Times New Roman" w:hAnsi="Times New Roman"/>
                <w:szCs w:val="24"/>
                <w:lang w:eastAsia="ru-RU"/>
              </w:rPr>
              <w:t>2018</w:t>
            </w:r>
            <w:r>
              <w:rPr>
                <w:rFonts w:ascii="Times New Roman" w:hAnsi="Times New Roman"/>
                <w:szCs w:val="24"/>
                <w:lang w:eastAsia="ru-RU"/>
              </w:rPr>
              <w:t xml:space="preserve"> г.</w:t>
            </w:r>
          </w:p>
        </w:tc>
      </w:tr>
      <w:tr w:rsidR="00FA027B" w:rsidRPr="005F385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181E00" w:rsidRDefault="00FA027B" w:rsidP="00FA027B">
            <w:pPr>
              <w:spacing w:after="0" w:line="240" w:lineRule="auto"/>
              <w:rPr>
                <w:rFonts w:ascii="Times New Roman" w:hAnsi="Times New Roman"/>
                <w:sz w:val="24"/>
                <w:szCs w:val="24"/>
                <w:lang w:eastAsia="ru-RU"/>
              </w:rPr>
            </w:pPr>
            <w:r w:rsidRPr="00181E00">
              <w:rPr>
                <w:rFonts w:ascii="Times New Roman" w:hAnsi="Times New Roman"/>
                <w:sz w:val="24"/>
                <w:szCs w:val="24"/>
                <w:lang w:eastAsia="ru-RU"/>
              </w:rPr>
              <w:t>Число ВИЧ-позитивных лиц  среди зарегистрированных ПИН</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62497</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63121</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63900</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56899</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51213</w:t>
            </w:r>
          </w:p>
        </w:tc>
      </w:tr>
      <w:tr w:rsidR="00FA027B" w:rsidRPr="005F385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181E00" w:rsidRDefault="00FA027B" w:rsidP="00FA027B">
            <w:pPr>
              <w:spacing w:after="0" w:line="240" w:lineRule="auto"/>
              <w:ind w:left="283"/>
              <w:rPr>
                <w:rFonts w:ascii="Times New Roman" w:hAnsi="Times New Roman"/>
                <w:sz w:val="24"/>
                <w:szCs w:val="24"/>
                <w:lang w:eastAsia="ru-RU"/>
              </w:rPr>
            </w:pPr>
            <w:r w:rsidRPr="00181E00">
              <w:rPr>
                <w:rFonts w:ascii="Times New Roman" w:hAnsi="Times New Roman"/>
                <w:sz w:val="24"/>
                <w:szCs w:val="24"/>
                <w:lang w:eastAsia="ru-RU"/>
              </w:rPr>
              <w:t>удельный вес ВИЧ-позитивных лиц среди ПИН (</w:t>
            </w:r>
            <w:r w:rsidR="00000709">
              <w:rPr>
                <w:rFonts w:ascii="Times New Roman" w:hAnsi="Times New Roman"/>
                <w:sz w:val="24"/>
                <w:szCs w:val="24"/>
                <w:lang w:eastAsia="ru-RU"/>
              </w:rPr>
              <w:t> %</w:t>
            </w:r>
            <w:r w:rsidRPr="00181E00">
              <w:rPr>
                <w:rFonts w:ascii="Times New Roman" w:hAnsi="Times New Roman"/>
                <w:sz w:val="24"/>
                <w:szCs w:val="24"/>
                <w:lang w:eastAsia="ru-RU"/>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19,9</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21,2</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24,3</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25,6</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26,0</w:t>
            </w:r>
          </w:p>
        </w:tc>
      </w:tr>
      <w:tr w:rsidR="00FA027B" w:rsidRPr="005F385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181E00" w:rsidRDefault="00FA027B" w:rsidP="00FA027B">
            <w:pPr>
              <w:spacing w:after="0" w:line="240" w:lineRule="auto"/>
              <w:rPr>
                <w:rFonts w:ascii="Times New Roman" w:hAnsi="Times New Roman"/>
                <w:sz w:val="24"/>
                <w:szCs w:val="24"/>
                <w:lang w:eastAsia="ru-RU"/>
              </w:rPr>
            </w:pPr>
            <w:r w:rsidRPr="00181E00">
              <w:rPr>
                <w:rFonts w:ascii="Times New Roman" w:hAnsi="Times New Roman"/>
                <w:sz w:val="24"/>
                <w:szCs w:val="24"/>
                <w:lang w:eastAsia="ru-RU"/>
              </w:rPr>
              <w:t>Число гепатит С-позитивных лиц среди зарегистрированных ПИН</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136778</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130085</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124106</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111052</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97830</w:t>
            </w:r>
          </w:p>
        </w:tc>
      </w:tr>
      <w:tr w:rsidR="00FA027B" w:rsidRPr="005F385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181E00" w:rsidRDefault="00FA027B" w:rsidP="00FA027B">
            <w:pPr>
              <w:spacing w:after="0" w:line="240" w:lineRule="auto"/>
              <w:ind w:left="283"/>
              <w:rPr>
                <w:rFonts w:ascii="Times New Roman" w:hAnsi="Times New Roman"/>
                <w:sz w:val="24"/>
                <w:szCs w:val="24"/>
                <w:lang w:eastAsia="ru-RU"/>
              </w:rPr>
            </w:pPr>
            <w:r w:rsidRPr="00181E00">
              <w:rPr>
                <w:rFonts w:ascii="Times New Roman" w:hAnsi="Times New Roman"/>
                <w:sz w:val="24"/>
                <w:szCs w:val="24"/>
                <w:lang w:eastAsia="ru-RU"/>
              </w:rPr>
              <w:t>удельный вес гепатит С-позитивных лиц среди ПИН (</w:t>
            </w:r>
            <w:r w:rsidR="00000709">
              <w:rPr>
                <w:rFonts w:ascii="Times New Roman" w:hAnsi="Times New Roman"/>
                <w:sz w:val="24"/>
                <w:szCs w:val="24"/>
                <w:lang w:eastAsia="ru-RU"/>
              </w:rPr>
              <w:t> %</w:t>
            </w:r>
            <w:r w:rsidRPr="00181E00">
              <w:rPr>
                <w:rFonts w:ascii="Times New Roman" w:hAnsi="Times New Roman"/>
                <w:sz w:val="24"/>
                <w:szCs w:val="24"/>
                <w:lang w:eastAsia="ru-RU"/>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43,6</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43,6</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47,2</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50,0</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49,7</w:t>
            </w:r>
          </w:p>
        </w:tc>
      </w:tr>
      <w:tr w:rsidR="00FA027B" w:rsidRPr="005F385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181E00" w:rsidRDefault="00FA027B" w:rsidP="00FA027B">
            <w:pPr>
              <w:spacing w:after="0" w:line="240" w:lineRule="auto"/>
              <w:rPr>
                <w:rFonts w:ascii="Times New Roman" w:hAnsi="Times New Roman"/>
                <w:sz w:val="24"/>
                <w:szCs w:val="24"/>
                <w:lang w:eastAsia="ru-RU"/>
              </w:rPr>
            </w:pPr>
            <w:r w:rsidRPr="00181E00">
              <w:rPr>
                <w:rFonts w:ascii="Times New Roman" w:hAnsi="Times New Roman"/>
                <w:sz w:val="24"/>
                <w:szCs w:val="24"/>
                <w:lang w:eastAsia="ru-RU"/>
              </w:rPr>
              <w:t>Число гепатит В-позитивных лиц среди зарегистрированных ПИН</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33276</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30892</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28868</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23423</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18135</w:t>
            </w:r>
          </w:p>
        </w:tc>
      </w:tr>
      <w:tr w:rsidR="00FA027B" w:rsidRPr="00501AFB" w:rsidTr="00FA027B">
        <w:trPr>
          <w:trHeight w:val="288"/>
          <w:jc w:val="center"/>
        </w:trPr>
        <w:tc>
          <w:tcPr>
            <w:tcW w:w="4507" w:type="dxa"/>
            <w:tcBorders>
              <w:top w:val="single" w:sz="4" w:space="0" w:color="auto"/>
              <w:left w:val="single" w:sz="4" w:space="0" w:color="auto"/>
              <w:bottom w:val="single" w:sz="4" w:space="0" w:color="auto"/>
              <w:right w:val="single" w:sz="4" w:space="0" w:color="auto"/>
            </w:tcBorders>
            <w:noWrap/>
            <w:vAlign w:val="bottom"/>
            <w:hideMark/>
          </w:tcPr>
          <w:p w:rsidR="00FA027B" w:rsidRPr="00181E00" w:rsidRDefault="00FA027B" w:rsidP="00FA027B">
            <w:pPr>
              <w:spacing w:after="0" w:line="240" w:lineRule="auto"/>
              <w:ind w:left="283"/>
              <w:rPr>
                <w:rFonts w:ascii="Times New Roman" w:hAnsi="Times New Roman"/>
                <w:sz w:val="24"/>
                <w:szCs w:val="24"/>
                <w:lang w:eastAsia="ru-RU"/>
              </w:rPr>
            </w:pPr>
            <w:r w:rsidRPr="00181E00">
              <w:rPr>
                <w:rFonts w:ascii="Times New Roman" w:hAnsi="Times New Roman"/>
                <w:sz w:val="24"/>
                <w:szCs w:val="24"/>
                <w:lang w:eastAsia="ru-RU"/>
              </w:rPr>
              <w:t>удельный вес гепатит В-позитивных лиц среди ПИН (</w:t>
            </w:r>
            <w:r w:rsidR="00000709">
              <w:rPr>
                <w:rFonts w:ascii="Times New Roman" w:hAnsi="Times New Roman"/>
                <w:sz w:val="24"/>
                <w:szCs w:val="24"/>
                <w:lang w:eastAsia="ru-RU"/>
              </w:rPr>
              <w:t> %</w:t>
            </w:r>
            <w:r w:rsidRPr="00181E00">
              <w:rPr>
                <w:rFonts w:ascii="Times New Roman" w:hAnsi="Times New Roman"/>
                <w:sz w:val="24"/>
                <w:szCs w:val="24"/>
                <w:lang w:eastAsia="ru-RU"/>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10,6</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10,4</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11,0</w:t>
            </w:r>
          </w:p>
        </w:tc>
        <w:tc>
          <w:tcPr>
            <w:tcW w:w="936" w:type="dxa"/>
            <w:tcBorders>
              <w:top w:val="single" w:sz="4" w:space="0" w:color="auto"/>
              <w:left w:val="single" w:sz="4" w:space="0" w:color="auto"/>
              <w:bottom w:val="single" w:sz="4" w:space="0" w:color="auto"/>
              <w:right w:val="single" w:sz="4" w:space="0" w:color="auto"/>
            </w:tcBorders>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10,5</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FA027B" w:rsidRPr="005F385B" w:rsidRDefault="00FA027B" w:rsidP="00FA027B">
            <w:pPr>
              <w:spacing w:after="0" w:line="240" w:lineRule="auto"/>
              <w:jc w:val="center"/>
              <w:rPr>
                <w:rFonts w:ascii="Times New Roman" w:hAnsi="Times New Roman"/>
                <w:sz w:val="24"/>
                <w:lang w:eastAsia="ru-RU"/>
              </w:rPr>
            </w:pPr>
            <w:r w:rsidRPr="005F385B">
              <w:rPr>
                <w:rFonts w:ascii="Times New Roman" w:hAnsi="Times New Roman"/>
                <w:sz w:val="24"/>
                <w:szCs w:val="24"/>
                <w:lang w:eastAsia="ru-RU"/>
              </w:rPr>
              <w:t>9,2</w:t>
            </w:r>
          </w:p>
        </w:tc>
      </w:tr>
    </w:tbl>
    <w:p w:rsidR="00181E00" w:rsidRDefault="00181E00"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Категория пациентов, употребляющих наркотики инъекционным способом, является группой риска распространения ВИЧ-инфекции и других парентеральных инфекций. Из общего числа зарегистрированных в 2018 г. потребителей инъекционных наркотиков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ПИН) 51 213 были </w:t>
      </w:r>
      <w:r w:rsidRPr="005E58C6">
        <w:rPr>
          <w:rFonts w:ascii="Times New Roman" w:hAnsi="Times New Roman" w:cs="Times New Roman"/>
          <w:sz w:val="28"/>
          <w:szCs w:val="28"/>
        </w:rPr>
        <w:lastRenderedPageBreak/>
        <w:t>инфицированы вирусом иммунодефицита человека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ВИЧ)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  899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Несмотря на снижение обращаемости потребителей инъекционных наркотиков в медицинские организации, оказывающие наркологическую медицинскую помощь, уровень ВИЧ-инфекции среди зарегистрированных потребителей инъекционных наркотиков растет: если  в 2014 году эта доля   составляла 13,2</w:t>
      </w:r>
      <w:r w:rsidR="00000709">
        <w:rPr>
          <w:rFonts w:ascii="Times New Roman" w:hAnsi="Times New Roman" w:cs="Times New Roman"/>
          <w:sz w:val="28"/>
          <w:szCs w:val="28"/>
        </w:rPr>
        <w:t> %</w:t>
      </w:r>
      <w:r w:rsidRPr="005E58C6">
        <w:rPr>
          <w:rFonts w:ascii="Times New Roman" w:hAnsi="Times New Roman" w:cs="Times New Roman"/>
          <w:sz w:val="28"/>
          <w:szCs w:val="28"/>
        </w:rPr>
        <w:t>, то в 2014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19,9</w:t>
      </w:r>
      <w:r w:rsidR="00000709">
        <w:rPr>
          <w:rFonts w:ascii="Times New Roman" w:hAnsi="Times New Roman" w:cs="Times New Roman"/>
          <w:sz w:val="28"/>
          <w:szCs w:val="28"/>
        </w:rPr>
        <w:t> %</w:t>
      </w:r>
      <w:r w:rsidRPr="005E58C6">
        <w:rPr>
          <w:rFonts w:ascii="Times New Roman" w:hAnsi="Times New Roman" w:cs="Times New Roman"/>
          <w:sz w:val="28"/>
          <w:szCs w:val="28"/>
        </w:rPr>
        <w:t>,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25,6</w:t>
      </w:r>
      <w:r w:rsidR="00000709">
        <w:rPr>
          <w:rFonts w:ascii="Times New Roman" w:hAnsi="Times New Roman" w:cs="Times New Roman"/>
          <w:sz w:val="28"/>
          <w:szCs w:val="28"/>
        </w:rPr>
        <w:t> %</w:t>
      </w:r>
      <w:r w:rsidRPr="005E58C6">
        <w:rPr>
          <w:rFonts w:ascii="Times New Roman" w:hAnsi="Times New Roman" w:cs="Times New Roman"/>
          <w:sz w:val="28"/>
          <w:szCs w:val="28"/>
        </w:rPr>
        <w:t>,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Это связано как с постарением  контингента потребителей  инъекционных  наркотиков и накоплением тяжелых пациентов,   находящихся под наблюдением в медицинских организациях, оказывающих наркологическую медицинскую помощь, так и с поздним обращением потребителей инъекционных наркотиков за наркологической помощью.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впервые в жизни обратились за медицинской помощью по поводу наркомании 14 964 человек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16 386). При этом в структуре первичных  больных наркоманией в последние годы произошли следующие изменения: с 2017 по 2018 годы доля больных опиоидной наркоманией снизилась  с 32,1 до 27,9</w:t>
      </w:r>
      <w:r w:rsidR="00000709">
        <w:rPr>
          <w:rFonts w:ascii="Times New Roman" w:hAnsi="Times New Roman" w:cs="Times New Roman"/>
          <w:sz w:val="28"/>
          <w:szCs w:val="28"/>
        </w:rPr>
        <w:t> %</w:t>
      </w:r>
      <w:r w:rsidRPr="005E58C6">
        <w:rPr>
          <w:rFonts w:ascii="Times New Roman" w:hAnsi="Times New Roman" w:cs="Times New Roman"/>
          <w:sz w:val="28"/>
          <w:szCs w:val="28"/>
        </w:rPr>
        <w:t>; с зависимостью от каннабиса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возросла   с 18,1 до 18,6</w:t>
      </w:r>
      <w:r w:rsidR="00000709">
        <w:rPr>
          <w:rFonts w:ascii="Times New Roman" w:hAnsi="Times New Roman" w:cs="Times New Roman"/>
          <w:sz w:val="28"/>
          <w:szCs w:val="28"/>
        </w:rPr>
        <w:t> %</w:t>
      </w:r>
      <w:r w:rsidRPr="005E58C6">
        <w:rPr>
          <w:rFonts w:ascii="Times New Roman" w:hAnsi="Times New Roman" w:cs="Times New Roman"/>
          <w:sz w:val="28"/>
          <w:szCs w:val="28"/>
        </w:rPr>
        <w:t>; от психостимуляторов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возросла с 18,4  до 18,6</w:t>
      </w:r>
      <w:r w:rsidR="00000709">
        <w:rPr>
          <w:rFonts w:ascii="Times New Roman" w:hAnsi="Times New Roman" w:cs="Times New Roman"/>
          <w:sz w:val="28"/>
          <w:szCs w:val="28"/>
        </w:rPr>
        <w:t> %</w:t>
      </w:r>
      <w:r w:rsidRPr="005E58C6">
        <w:rPr>
          <w:rFonts w:ascii="Times New Roman" w:hAnsi="Times New Roman" w:cs="Times New Roman"/>
          <w:sz w:val="28"/>
          <w:szCs w:val="28"/>
        </w:rPr>
        <w:t>,  от  других наркотиков и полинаркомании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 31,3 до 34,9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Показатель первичной заболеваемости наркоманией в 2018 году по сравнению с   2017 годом снизился и составил  с 10,2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11,2) (табл. 7). По  отдельным видам наркоманий ситуация сложилась по-разному. Показатель первичной заболеваемости по поводу опиоидной наркомании в 2018 году  снизился на 20,9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2,8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3,6); показатель первичной заболеваемости каннабиноидной наркоманией на 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наркоманией вследствие употребления психостимуляторов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7,9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1,9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наркоманией, связанной с употреблением других наркотиков и сочетаний наркотиков различных групп (полинаркоманией) увеличился на 1,8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3,6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181E00" w:rsidRDefault="00181E00" w:rsidP="00181E00">
      <w:pPr>
        <w:widowControl w:val="0"/>
        <w:spacing w:after="0" w:line="312" w:lineRule="auto"/>
        <w:ind w:firstLine="709"/>
        <w:jc w:val="center"/>
        <w:rPr>
          <w:rFonts w:ascii="Times New Roman" w:hAnsi="Times New Roman" w:cs="Times New Roman"/>
          <w:sz w:val="28"/>
          <w:szCs w:val="28"/>
        </w:rPr>
      </w:pPr>
    </w:p>
    <w:p w:rsidR="00181E00" w:rsidRDefault="00181E00" w:rsidP="00181E00">
      <w:pPr>
        <w:widowControl w:val="0"/>
        <w:spacing w:after="0" w:line="312" w:lineRule="auto"/>
        <w:ind w:firstLine="709"/>
        <w:jc w:val="center"/>
        <w:rPr>
          <w:rFonts w:ascii="Times New Roman" w:hAnsi="Times New Roman" w:cs="Times New Roman"/>
          <w:sz w:val="28"/>
          <w:szCs w:val="28"/>
        </w:rPr>
      </w:pPr>
    </w:p>
    <w:p w:rsidR="00181E00" w:rsidRDefault="00181E00" w:rsidP="00181E00">
      <w:pPr>
        <w:widowControl w:val="0"/>
        <w:spacing w:after="0" w:line="312" w:lineRule="auto"/>
        <w:ind w:firstLine="709"/>
        <w:jc w:val="center"/>
        <w:rPr>
          <w:rFonts w:ascii="Times New Roman" w:hAnsi="Times New Roman" w:cs="Times New Roman"/>
          <w:sz w:val="28"/>
          <w:szCs w:val="28"/>
        </w:rPr>
      </w:pPr>
    </w:p>
    <w:p w:rsidR="00181E00" w:rsidRDefault="00181E00" w:rsidP="00181E00">
      <w:pPr>
        <w:widowControl w:val="0"/>
        <w:spacing w:after="0" w:line="312" w:lineRule="auto"/>
        <w:ind w:firstLine="709"/>
        <w:jc w:val="center"/>
        <w:rPr>
          <w:rFonts w:ascii="Times New Roman" w:hAnsi="Times New Roman" w:cs="Times New Roman"/>
          <w:sz w:val="28"/>
          <w:szCs w:val="28"/>
        </w:rPr>
      </w:pPr>
    </w:p>
    <w:p w:rsidR="00181E00" w:rsidRDefault="00181E00" w:rsidP="00181E00">
      <w:pPr>
        <w:widowControl w:val="0"/>
        <w:spacing w:after="0" w:line="312" w:lineRule="auto"/>
        <w:ind w:firstLine="709"/>
        <w:jc w:val="center"/>
        <w:rPr>
          <w:rFonts w:ascii="Times New Roman" w:hAnsi="Times New Roman" w:cs="Times New Roman"/>
          <w:sz w:val="28"/>
          <w:szCs w:val="28"/>
        </w:rPr>
      </w:pPr>
    </w:p>
    <w:p w:rsidR="005E58C6" w:rsidRPr="005E58C6" w:rsidRDefault="005E58C6" w:rsidP="00181E00">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lastRenderedPageBreak/>
        <w:t>Таблица 3.10</w:t>
      </w:r>
    </w:p>
    <w:p w:rsidR="005E58C6" w:rsidRPr="005E58C6" w:rsidRDefault="005E58C6" w:rsidP="00181E00">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Показатели первичной заболеваемости психическими и поведенческими расстройствами, связанными с употреблением наркотиков</w:t>
      </w:r>
    </w:p>
    <w:p w:rsidR="005E58C6" w:rsidRDefault="005E58C6" w:rsidP="00181E00">
      <w:pPr>
        <w:widowControl w:val="0"/>
        <w:spacing w:after="0" w:line="24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среднегодового населения)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3"/>
        <w:gridCol w:w="1134"/>
        <w:gridCol w:w="993"/>
        <w:gridCol w:w="992"/>
        <w:gridCol w:w="992"/>
        <w:gridCol w:w="992"/>
        <w:gridCol w:w="1276"/>
        <w:gridCol w:w="992"/>
      </w:tblGrid>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rPr>
                <w:rFonts w:ascii="Times New Roman" w:hAnsi="Times New Roman"/>
                <w:lang w:eastAsia="ru-RU"/>
              </w:rPr>
            </w:pPr>
            <w:r w:rsidRPr="00A0306E">
              <w:rPr>
                <w:rFonts w:ascii="Times New Roman" w:hAnsi="Times New Roman"/>
                <w:lang w:eastAsia="ru-RU"/>
              </w:rPr>
              <w:t>Категория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2014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2015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2016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2017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2018 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Прирост 2018/ 2017, (</w:t>
            </w:r>
            <w:r w:rsidR="00000709">
              <w:rPr>
                <w:rFonts w:ascii="Times New Roman" w:hAnsi="Times New Roman"/>
                <w:lang w:eastAsia="ru-RU"/>
              </w:rPr>
              <w:t> %</w:t>
            </w:r>
            <w:r w:rsidRPr="00A0306E">
              <w:rPr>
                <w:rFonts w:ascii="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181E00">
              <w:rPr>
                <w:rFonts w:ascii="Times New Roman" w:hAnsi="Times New Roman"/>
                <w:sz w:val="20"/>
                <w:lang w:eastAsia="ru-RU"/>
              </w:rPr>
              <w:t>Прирост 2018/ 2014, (</w:t>
            </w:r>
            <w:r w:rsidR="00000709">
              <w:rPr>
                <w:rFonts w:ascii="Times New Roman" w:hAnsi="Times New Roman"/>
                <w:sz w:val="20"/>
                <w:lang w:eastAsia="ru-RU"/>
              </w:rPr>
              <w:t> %</w:t>
            </w:r>
            <w:r w:rsidRPr="00181E00">
              <w:rPr>
                <w:rFonts w:ascii="Times New Roman" w:hAnsi="Times New Roman"/>
                <w:sz w:val="20"/>
                <w:lang w:eastAsia="ru-RU"/>
              </w:rPr>
              <w:t>)</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rPr>
                <w:rFonts w:ascii="Times New Roman" w:hAnsi="Times New Roman"/>
                <w:lang w:eastAsia="ru-RU"/>
              </w:rPr>
            </w:pPr>
            <w:r w:rsidRPr="00A0306E">
              <w:rPr>
                <w:rFonts w:ascii="Times New Roman" w:hAnsi="Times New Roman"/>
                <w:lang w:eastAsia="ru-RU"/>
              </w:rPr>
              <w:t xml:space="preserve"> психические и поведенческие расстройства, связанные с употреблением наркотиков  -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53,7</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54,7</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41,2</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-38,5</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Default="00181E00" w:rsidP="00DF1213">
            <w:pPr>
              <w:spacing w:after="0" w:line="240" w:lineRule="auto"/>
              <w:rPr>
                <w:rFonts w:ascii="Times New Roman" w:hAnsi="Times New Roman"/>
                <w:lang w:eastAsia="ru-RU"/>
              </w:rPr>
            </w:pPr>
            <w:r>
              <w:rPr>
                <w:rFonts w:ascii="Times New Roman" w:hAnsi="Times New Roman"/>
                <w:lang w:eastAsia="ru-RU"/>
              </w:rPr>
              <w:t>синдром зависимос</w:t>
            </w:r>
            <w:r w:rsidRPr="00A0306E">
              <w:rPr>
                <w:rFonts w:ascii="Times New Roman" w:hAnsi="Times New Roman"/>
                <w:lang w:eastAsia="ru-RU"/>
              </w:rPr>
              <w:t xml:space="preserve">ти от наркотиков (наркомания), </w:t>
            </w:r>
          </w:p>
          <w:p w:rsidR="00181E00" w:rsidRPr="00A0306E" w:rsidRDefault="00181E00" w:rsidP="00DF1213">
            <w:pPr>
              <w:spacing w:after="0" w:line="240" w:lineRule="auto"/>
              <w:rPr>
                <w:rFonts w:ascii="Times New Roman" w:hAnsi="Times New Roman"/>
                <w:lang w:eastAsia="ru-RU"/>
              </w:rPr>
            </w:pPr>
            <w:r w:rsidRPr="00A0306E">
              <w:rPr>
                <w:rFonts w:ascii="Times New Roman" w:hAnsi="Times New Roman"/>
                <w:lang w:eastAsia="ru-RU"/>
              </w:rPr>
              <w:t>в том числе 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14,1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11,1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-8,7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-29,6</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ind w:left="227"/>
              <w:rPr>
                <w:rFonts w:ascii="Times New Roman" w:hAnsi="Times New Roman"/>
                <w:lang w:eastAsia="ru-RU"/>
              </w:rPr>
            </w:pPr>
            <w:r w:rsidRPr="00A0306E">
              <w:rPr>
                <w:rFonts w:ascii="Times New Roman" w:hAnsi="Times New Roman"/>
                <w:lang w:eastAsia="ru-RU"/>
              </w:rPr>
              <w:t>опиоидов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7,2</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6,1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-60,6</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ind w:left="227"/>
              <w:rPr>
                <w:rFonts w:ascii="Times New Roman" w:hAnsi="Times New Roman"/>
                <w:lang w:eastAsia="ru-RU"/>
              </w:rPr>
            </w:pPr>
            <w:r w:rsidRPr="00A0306E">
              <w:rPr>
                <w:rFonts w:ascii="Times New Roman" w:hAnsi="Times New Roman"/>
                <w:lang w:eastAsia="ru-RU"/>
              </w:rPr>
              <w:t>каннабиноидов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-16,4</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ind w:left="227"/>
              <w:rPr>
                <w:rFonts w:ascii="Times New Roman" w:hAnsi="Times New Roman"/>
                <w:lang w:eastAsia="ru-RU"/>
              </w:rPr>
            </w:pPr>
            <w:r w:rsidRPr="00A0306E">
              <w:rPr>
                <w:rFonts w:ascii="Times New Roman" w:hAnsi="Times New Roman"/>
                <w:lang w:eastAsia="ru-RU"/>
              </w:rPr>
              <w:t>кокаина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0,005</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0,013</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0,005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0,005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-12,9</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ind w:left="227"/>
              <w:rPr>
                <w:rFonts w:ascii="Times New Roman" w:hAnsi="Times New Roman"/>
                <w:lang w:eastAsia="ru-RU"/>
              </w:rPr>
            </w:pPr>
            <w:r w:rsidRPr="00181E00">
              <w:rPr>
                <w:rFonts w:ascii="Times New Roman" w:hAnsi="Times New Roman"/>
                <w:sz w:val="20"/>
                <w:lang w:eastAsia="ru-RU"/>
              </w:rPr>
              <w:t>психостимуляторов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val="en-US" w:eastAsia="ru-RU"/>
              </w:rPr>
            </w:pPr>
            <w:r w:rsidRPr="00A0306E">
              <w:rPr>
                <w:rFonts w:ascii="Times New Roman" w:hAnsi="Times New Roman"/>
                <w:lang w:val="en-US" w:eastAsia="ru-RU"/>
              </w:rPr>
              <w:t>-7</w:t>
            </w:r>
            <w:r w:rsidRPr="00A0306E">
              <w:rPr>
                <w:rFonts w:ascii="Times New Roman" w:hAnsi="Times New Roman"/>
                <w:lang w:eastAsia="ru-RU"/>
              </w:rPr>
              <w:t>,</w:t>
            </w:r>
            <w:r w:rsidRPr="00A0306E">
              <w:rPr>
                <w:rFonts w:ascii="Times New Roman" w:hAnsi="Times New Roman"/>
                <w:lang w:val="en-US" w:eastAsia="ru-RU"/>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10,2</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ind w:left="227"/>
              <w:rPr>
                <w:rFonts w:ascii="Times New Roman" w:hAnsi="Times New Roman"/>
                <w:lang w:eastAsia="ru-RU"/>
              </w:rPr>
            </w:pPr>
            <w:r w:rsidRPr="00A0306E">
              <w:rPr>
                <w:rFonts w:ascii="Times New Roman" w:hAnsi="Times New Roman"/>
                <w:lang w:eastAsia="ru-RU"/>
              </w:rPr>
              <w:t>других наркотиков и их сочетаний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3,3</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8,5</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ind w:left="113"/>
              <w:rPr>
                <w:rFonts w:ascii="Times New Roman" w:hAnsi="Times New Roman"/>
                <w:lang w:eastAsia="ru-RU"/>
              </w:rPr>
            </w:pPr>
            <w:r w:rsidRPr="00A0306E">
              <w:rPr>
                <w:rFonts w:ascii="Times New Roman" w:hAnsi="Times New Roman"/>
                <w:lang w:eastAsia="ru-RU"/>
              </w:rPr>
              <w:t>пагубное употребление наркотиков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39,3</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40,6</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30,1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24,1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-41,8</w:t>
            </w:r>
          </w:p>
        </w:tc>
      </w:tr>
      <w:tr w:rsidR="00181E00" w:rsidRPr="005F385B" w:rsidTr="00181E00">
        <w:trPr>
          <w:trHeight w:val="288"/>
        </w:trPr>
        <w:tc>
          <w:tcPr>
            <w:tcW w:w="228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rPr>
                <w:rFonts w:ascii="Times New Roman" w:hAnsi="Times New Roman"/>
                <w:lang w:eastAsia="ru-RU"/>
              </w:rPr>
            </w:pPr>
            <w:r w:rsidRPr="00A0306E">
              <w:rPr>
                <w:rFonts w:ascii="Times New Roman" w:hAnsi="Times New Roman"/>
                <w:lang w:eastAsia="ru-RU"/>
              </w:rPr>
              <w:t xml:space="preserve">из общего потребителей наркотиков – употребляют наркотики инъекционным способом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17,2</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15,8</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11,5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8,9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-24,3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A0306E" w:rsidRDefault="00181E00" w:rsidP="00DF1213">
            <w:pPr>
              <w:spacing w:after="0" w:line="240" w:lineRule="auto"/>
              <w:jc w:val="center"/>
              <w:rPr>
                <w:rFonts w:ascii="Times New Roman" w:hAnsi="Times New Roman"/>
                <w:lang w:eastAsia="ru-RU"/>
              </w:rPr>
            </w:pPr>
            <w:r w:rsidRPr="00A0306E">
              <w:rPr>
                <w:rFonts w:ascii="Times New Roman" w:hAnsi="Times New Roman"/>
                <w:lang w:eastAsia="ru-RU"/>
              </w:rPr>
              <w:t>-60,8</w:t>
            </w:r>
          </w:p>
        </w:tc>
      </w:tr>
    </w:tbl>
    <w:p w:rsidR="00181E00" w:rsidRPr="005E58C6" w:rsidRDefault="00181E00"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Следует отметить, что показатель первичной обращаемости потребителей инъекционных наркотиков в  2018 году  уменьшился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24,3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8,9 до 6,8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Динамика этого показателя в Российской Федерации свидетельствует о его неуклонном снижении на протяжении последних четырёх лет: с 17,2 в 2014 году до 6,8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в 2018 году или в 2,6 раза.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Наряду со снижением первичной заболеваемости наркоманией наблюдается и снижение обращаемости по поводу пагубного употребления наркотиков: показатель за 2018 год уменьшился на 5,1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24,1 в 2017 году до 22,9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в 2018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целом показатель первичной обращаемости за наркологической помощью пациентов с психическими и поведенческими расстройствами, </w:t>
      </w:r>
      <w:r w:rsidRPr="005E58C6">
        <w:rPr>
          <w:rFonts w:ascii="Times New Roman" w:hAnsi="Times New Roman" w:cs="Times New Roman"/>
          <w:sz w:val="28"/>
          <w:szCs w:val="28"/>
        </w:rPr>
        <w:lastRenderedPageBreak/>
        <w:t>связанными с употребление</w:t>
      </w:r>
      <w:r w:rsidR="00757202">
        <w:rPr>
          <w:rFonts w:ascii="Times New Roman" w:hAnsi="Times New Roman" w:cs="Times New Roman"/>
          <w:sz w:val="28"/>
          <w:szCs w:val="28"/>
        </w:rPr>
        <w:t>м</w:t>
      </w:r>
      <w:r w:rsidRPr="005E58C6">
        <w:rPr>
          <w:rFonts w:ascii="Times New Roman" w:hAnsi="Times New Roman" w:cs="Times New Roman"/>
          <w:sz w:val="28"/>
          <w:szCs w:val="28"/>
        </w:rPr>
        <w:t xml:space="preserve"> наркотиков (включая пациентов с синдромом зависимости и пагубным употреблением наркотиков)</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в 2018 году сократился    на 6,2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33,0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35,2).</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Таким образом, несмотря на снижение показателей первичной заболеваемости в 2018 году, как и в предыдущие годы, наиболее часто за наркологической помощью обращались пациенты с опийной зависимостью.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больных токсикоманией, зарегистрированных наркологической службой в 2018 году, составило 6 614 человек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7 851). Показатель общей заболеваемости токсикоманией в Российской Федерации  в 2018 году по сравнению с уровнем 2017 года снизился почти на 16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4,5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5,3).</w:t>
      </w:r>
    </w:p>
    <w:p w:rsidR="005E58C6" w:rsidRPr="005E58C6" w:rsidRDefault="005E58C6" w:rsidP="00181E00">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Таблица 3.11</w:t>
      </w:r>
    </w:p>
    <w:p w:rsidR="005E58C6" w:rsidRPr="005E58C6" w:rsidRDefault="005E58C6" w:rsidP="00181E00">
      <w:pPr>
        <w:widowControl w:val="0"/>
        <w:spacing w:after="0" w:line="36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Показатели общей заболеваемости психическими и поведенческими расстройствами, связанными с употреблением ненаркотических ПАВ</w:t>
      </w:r>
    </w:p>
    <w:p w:rsidR="005E58C6" w:rsidRPr="005E58C6" w:rsidRDefault="005E58C6" w:rsidP="00181E00">
      <w:pPr>
        <w:widowControl w:val="0"/>
        <w:spacing w:after="0" w:line="360" w:lineRule="auto"/>
        <w:ind w:firstLine="709"/>
        <w:jc w:val="center"/>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среднегодового населения)</w:t>
      </w:r>
    </w:p>
    <w:tbl>
      <w:tblPr>
        <w:tblW w:w="998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8"/>
        <w:gridCol w:w="992"/>
        <w:gridCol w:w="922"/>
        <w:gridCol w:w="1027"/>
        <w:gridCol w:w="1081"/>
        <w:gridCol w:w="929"/>
        <w:gridCol w:w="1104"/>
        <w:gridCol w:w="1098"/>
      </w:tblGrid>
      <w:tr w:rsidR="00181E00" w:rsidRPr="005F385B" w:rsidTr="00181E00">
        <w:trPr>
          <w:trHeight w:val="288"/>
          <w:jc w:val="center"/>
        </w:trPr>
        <w:tc>
          <w:tcPr>
            <w:tcW w:w="2828" w:type="dxa"/>
            <w:tcBorders>
              <w:top w:val="single" w:sz="4" w:space="0" w:color="auto"/>
              <w:left w:val="single" w:sz="4" w:space="0" w:color="auto"/>
              <w:bottom w:val="single" w:sz="4" w:space="0" w:color="auto"/>
              <w:right w:val="single" w:sz="4" w:space="0" w:color="auto"/>
            </w:tcBorders>
            <w:noWrap/>
            <w:vAlign w:val="center"/>
            <w:hideMark/>
          </w:tcPr>
          <w:p w:rsidR="00181E00" w:rsidRPr="00D00543" w:rsidRDefault="00181E00" w:rsidP="00DF1213">
            <w:pPr>
              <w:spacing w:after="0" w:line="240" w:lineRule="auto"/>
              <w:rPr>
                <w:rFonts w:ascii="Times New Roman" w:hAnsi="Times New Roman"/>
                <w:lang w:eastAsia="ru-RU"/>
              </w:rPr>
            </w:pPr>
            <w:r w:rsidRPr="00D00543">
              <w:rPr>
                <w:rFonts w:ascii="Times New Roman" w:hAnsi="Times New Roman"/>
                <w:lang w:eastAsia="ru-RU"/>
              </w:rPr>
              <w:t>Категория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D00543" w:rsidRDefault="00181E00" w:rsidP="00DF1213">
            <w:pPr>
              <w:spacing w:after="0" w:line="240" w:lineRule="auto"/>
              <w:rPr>
                <w:rFonts w:ascii="Times New Roman" w:hAnsi="Times New Roman"/>
                <w:lang w:eastAsia="ru-RU"/>
              </w:rPr>
            </w:pPr>
            <w:r w:rsidRPr="00D00543">
              <w:rPr>
                <w:rFonts w:ascii="Times New Roman" w:hAnsi="Times New Roman"/>
                <w:lang w:eastAsia="ru-RU"/>
              </w:rPr>
              <w:t>2014</w:t>
            </w:r>
            <w:r>
              <w:rPr>
                <w:rFonts w:ascii="Times New Roman" w:hAnsi="Times New Roman"/>
                <w:lang w:eastAsia="ru-RU"/>
              </w:rPr>
              <w:t xml:space="preserve"> г.</w:t>
            </w:r>
          </w:p>
        </w:tc>
        <w:tc>
          <w:tcPr>
            <w:tcW w:w="922" w:type="dxa"/>
            <w:tcBorders>
              <w:top w:val="single" w:sz="4" w:space="0" w:color="auto"/>
              <w:left w:val="single" w:sz="4" w:space="0" w:color="auto"/>
              <w:bottom w:val="single" w:sz="4" w:space="0" w:color="auto"/>
              <w:right w:val="single" w:sz="4" w:space="0" w:color="auto"/>
            </w:tcBorders>
            <w:vAlign w:val="center"/>
            <w:hideMark/>
          </w:tcPr>
          <w:p w:rsidR="00181E00" w:rsidRPr="00D00543" w:rsidRDefault="00181E00" w:rsidP="00DF1213">
            <w:pPr>
              <w:spacing w:after="0" w:line="240" w:lineRule="auto"/>
              <w:rPr>
                <w:rFonts w:ascii="Times New Roman" w:hAnsi="Times New Roman"/>
                <w:lang w:eastAsia="ru-RU"/>
              </w:rPr>
            </w:pPr>
            <w:r w:rsidRPr="00D00543">
              <w:rPr>
                <w:rFonts w:ascii="Times New Roman" w:hAnsi="Times New Roman"/>
                <w:lang w:eastAsia="ru-RU"/>
              </w:rPr>
              <w:t>2015</w:t>
            </w:r>
            <w:r>
              <w:rPr>
                <w:rFonts w:ascii="Times New Roman" w:hAnsi="Times New Roman"/>
                <w:lang w:eastAsia="ru-RU"/>
              </w:rPr>
              <w:t xml:space="preserve"> г.</w:t>
            </w:r>
          </w:p>
        </w:tc>
        <w:tc>
          <w:tcPr>
            <w:tcW w:w="1027" w:type="dxa"/>
            <w:tcBorders>
              <w:top w:val="single" w:sz="4" w:space="0" w:color="auto"/>
              <w:left w:val="single" w:sz="4" w:space="0" w:color="auto"/>
              <w:bottom w:val="single" w:sz="4" w:space="0" w:color="auto"/>
              <w:right w:val="single" w:sz="4" w:space="0" w:color="auto"/>
            </w:tcBorders>
            <w:vAlign w:val="center"/>
            <w:hideMark/>
          </w:tcPr>
          <w:p w:rsidR="00181E00" w:rsidRPr="00D00543" w:rsidRDefault="00181E00" w:rsidP="00DF1213">
            <w:pPr>
              <w:spacing w:after="0" w:line="240" w:lineRule="auto"/>
              <w:rPr>
                <w:rFonts w:ascii="Times New Roman" w:hAnsi="Times New Roman"/>
                <w:lang w:eastAsia="ru-RU"/>
              </w:rPr>
            </w:pPr>
            <w:r w:rsidRPr="00D00543">
              <w:rPr>
                <w:rFonts w:ascii="Times New Roman" w:hAnsi="Times New Roman"/>
                <w:lang w:eastAsia="ru-RU"/>
              </w:rPr>
              <w:t>2016</w:t>
            </w:r>
            <w:r>
              <w:rPr>
                <w:rFonts w:ascii="Times New Roman" w:hAnsi="Times New Roman"/>
                <w:lang w:eastAsia="ru-RU"/>
              </w:rPr>
              <w:t xml:space="preserve"> г.</w:t>
            </w:r>
          </w:p>
        </w:tc>
        <w:tc>
          <w:tcPr>
            <w:tcW w:w="1081" w:type="dxa"/>
            <w:tcBorders>
              <w:top w:val="single" w:sz="4" w:space="0" w:color="auto"/>
              <w:left w:val="single" w:sz="4" w:space="0" w:color="auto"/>
              <w:bottom w:val="single" w:sz="4" w:space="0" w:color="auto"/>
              <w:right w:val="single" w:sz="4" w:space="0" w:color="auto"/>
            </w:tcBorders>
            <w:vAlign w:val="center"/>
            <w:hideMark/>
          </w:tcPr>
          <w:p w:rsidR="00181E00" w:rsidRPr="00D00543" w:rsidRDefault="00181E00" w:rsidP="00DF1213">
            <w:pPr>
              <w:spacing w:after="0" w:line="240" w:lineRule="auto"/>
              <w:rPr>
                <w:rFonts w:ascii="Times New Roman" w:hAnsi="Times New Roman"/>
                <w:lang w:eastAsia="ru-RU"/>
              </w:rPr>
            </w:pPr>
            <w:r w:rsidRPr="00D00543">
              <w:rPr>
                <w:rFonts w:ascii="Times New Roman" w:hAnsi="Times New Roman"/>
                <w:lang w:eastAsia="ru-RU"/>
              </w:rPr>
              <w:t>2017</w:t>
            </w:r>
            <w:r>
              <w:rPr>
                <w:rFonts w:ascii="Times New Roman" w:hAnsi="Times New Roman"/>
                <w:lang w:eastAsia="ru-RU"/>
              </w:rPr>
              <w:t xml:space="preserve"> г.</w:t>
            </w:r>
          </w:p>
        </w:tc>
        <w:tc>
          <w:tcPr>
            <w:tcW w:w="929" w:type="dxa"/>
            <w:tcBorders>
              <w:top w:val="single" w:sz="4" w:space="0" w:color="auto"/>
              <w:left w:val="single" w:sz="4" w:space="0" w:color="auto"/>
              <w:bottom w:val="single" w:sz="4" w:space="0" w:color="auto"/>
              <w:right w:val="single" w:sz="4" w:space="0" w:color="auto"/>
            </w:tcBorders>
            <w:noWrap/>
            <w:vAlign w:val="center"/>
            <w:hideMark/>
          </w:tcPr>
          <w:p w:rsidR="00181E00" w:rsidRPr="00D00543" w:rsidRDefault="00181E00" w:rsidP="00DF1213">
            <w:pPr>
              <w:spacing w:after="0" w:line="240" w:lineRule="auto"/>
              <w:rPr>
                <w:rFonts w:ascii="Times New Roman" w:hAnsi="Times New Roman"/>
                <w:lang w:eastAsia="ru-RU"/>
              </w:rPr>
            </w:pPr>
            <w:r w:rsidRPr="00D00543">
              <w:rPr>
                <w:rFonts w:ascii="Times New Roman" w:hAnsi="Times New Roman"/>
                <w:lang w:eastAsia="ru-RU"/>
              </w:rPr>
              <w:t>2018</w:t>
            </w:r>
            <w:r>
              <w:rPr>
                <w:rFonts w:ascii="Times New Roman" w:hAnsi="Times New Roman"/>
                <w:lang w:eastAsia="ru-RU"/>
              </w:rPr>
              <w:t xml:space="preserve"> г.</w:t>
            </w:r>
          </w:p>
        </w:tc>
        <w:tc>
          <w:tcPr>
            <w:tcW w:w="1104" w:type="dxa"/>
            <w:tcBorders>
              <w:top w:val="single" w:sz="4" w:space="0" w:color="auto"/>
              <w:left w:val="single" w:sz="4" w:space="0" w:color="auto"/>
              <w:bottom w:val="single" w:sz="4" w:space="0" w:color="auto"/>
              <w:right w:val="single" w:sz="4" w:space="0" w:color="auto"/>
            </w:tcBorders>
            <w:noWrap/>
            <w:vAlign w:val="center"/>
            <w:hideMark/>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Прирост 2018/ 2017 (</w:t>
            </w:r>
            <w:r w:rsidR="00000709">
              <w:rPr>
                <w:rFonts w:ascii="Times New Roman" w:hAnsi="Times New Roman"/>
                <w:lang w:eastAsia="ru-RU"/>
              </w:rPr>
              <w:t> %</w:t>
            </w:r>
            <w:r w:rsidRPr="00D00543">
              <w:rPr>
                <w:rFonts w:ascii="Times New Roman" w:hAnsi="Times New Roman"/>
                <w:lang w:eastAsia="ru-RU"/>
              </w:rPr>
              <w:t>)</w:t>
            </w:r>
          </w:p>
        </w:tc>
        <w:tc>
          <w:tcPr>
            <w:tcW w:w="1098" w:type="dxa"/>
            <w:tcBorders>
              <w:top w:val="single" w:sz="4" w:space="0" w:color="auto"/>
              <w:left w:val="single" w:sz="4" w:space="0" w:color="auto"/>
              <w:bottom w:val="single" w:sz="4" w:space="0" w:color="auto"/>
              <w:right w:val="single" w:sz="4" w:space="0" w:color="auto"/>
            </w:tcBorders>
            <w:noWrap/>
            <w:vAlign w:val="center"/>
            <w:hideMark/>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Прирост 2018/ 2014 (</w:t>
            </w:r>
            <w:r w:rsidR="00000709">
              <w:rPr>
                <w:rFonts w:ascii="Times New Roman" w:hAnsi="Times New Roman"/>
                <w:lang w:eastAsia="ru-RU"/>
              </w:rPr>
              <w:t> %</w:t>
            </w:r>
            <w:r w:rsidRPr="00D00543">
              <w:rPr>
                <w:rFonts w:ascii="Times New Roman" w:hAnsi="Times New Roman"/>
                <w:lang w:eastAsia="ru-RU"/>
              </w:rPr>
              <w:t>)</w:t>
            </w:r>
          </w:p>
        </w:tc>
      </w:tr>
      <w:tr w:rsidR="00181E00" w:rsidRPr="005F385B" w:rsidTr="00181E00">
        <w:trPr>
          <w:trHeight w:val="288"/>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181E00" w:rsidRPr="00D00543" w:rsidRDefault="00181E00" w:rsidP="00DF1213">
            <w:pPr>
              <w:spacing w:after="0" w:line="240" w:lineRule="auto"/>
              <w:ind w:left="27" w:firstLine="200"/>
              <w:rPr>
                <w:rFonts w:ascii="Times New Roman" w:hAnsi="Times New Roman"/>
                <w:lang w:eastAsia="ru-RU"/>
              </w:rPr>
            </w:pPr>
            <w:r w:rsidRPr="00D00543">
              <w:rPr>
                <w:rFonts w:ascii="Times New Roman" w:hAnsi="Times New Roman"/>
                <w:lang w:eastAsia="ru-RU"/>
              </w:rPr>
              <w:t>психически</w:t>
            </w:r>
            <w:r>
              <w:rPr>
                <w:rFonts w:ascii="Times New Roman" w:hAnsi="Times New Roman"/>
                <w:lang w:eastAsia="ru-RU"/>
              </w:rPr>
              <w:t>е</w:t>
            </w:r>
            <w:r w:rsidRPr="00D00543">
              <w:rPr>
                <w:rFonts w:ascii="Times New Roman" w:hAnsi="Times New Roman"/>
                <w:lang w:eastAsia="ru-RU"/>
              </w:rPr>
              <w:t xml:space="preserve"> и поведенчески</w:t>
            </w:r>
            <w:r>
              <w:rPr>
                <w:rFonts w:ascii="Times New Roman" w:hAnsi="Times New Roman"/>
                <w:lang w:eastAsia="ru-RU"/>
              </w:rPr>
              <w:t xml:space="preserve">е </w:t>
            </w:r>
            <w:r w:rsidRPr="00D00543">
              <w:rPr>
                <w:rFonts w:ascii="Times New Roman" w:hAnsi="Times New Roman"/>
                <w:lang w:eastAsia="ru-RU"/>
              </w:rPr>
              <w:t>расстройства</w:t>
            </w:r>
            <w:r>
              <w:rPr>
                <w:rFonts w:ascii="Times New Roman" w:hAnsi="Times New Roman"/>
                <w:lang w:eastAsia="ru-RU"/>
              </w:rPr>
              <w:t xml:space="preserve">, </w:t>
            </w:r>
            <w:r w:rsidRPr="00D00543">
              <w:rPr>
                <w:rFonts w:ascii="Times New Roman" w:hAnsi="Times New Roman"/>
                <w:lang w:eastAsia="ru-RU"/>
              </w:rPr>
              <w:t>связанны</w:t>
            </w:r>
            <w:r>
              <w:rPr>
                <w:rFonts w:ascii="Times New Roman" w:hAnsi="Times New Roman"/>
                <w:lang w:eastAsia="ru-RU"/>
              </w:rPr>
              <w:t>е</w:t>
            </w:r>
            <w:r w:rsidRPr="00D00543">
              <w:rPr>
                <w:rFonts w:ascii="Times New Roman" w:hAnsi="Times New Roman"/>
                <w:lang w:eastAsia="ru-RU"/>
              </w:rPr>
              <w:t xml:space="preserve"> с употреблением ненаркотических </w:t>
            </w:r>
            <w:r>
              <w:rPr>
                <w:rFonts w:ascii="Times New Roman" w:hAnsi="Times New Roman"/>
                <w:lang w:eastAsia="ru-RU"/>
              </w:rPr>
              <w:t>психоактивных веществ – из них:</w:t>
            </w:r>
          </w:p>
        </w:tc>
        <w:tc>
          <w:tcPr>
            <w:tcW w:w="992"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19,4</w:t>
            </w:r>
          </w:p>
        </w:tc>
        <w:tc>
          <w:tcPr>
            <w:tcW w:w="922"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18,2</w:t>
            </w:r>
          </w:p>
        </w:tc>
        <w:tc>
          <w:tcPr>
            <w:tcW w:w="1027"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15,3</w:t>
            </w:r>
          </w:p>
        </w:tc>
        <w:tc>
          <w:tcPr>
            <w:tcW w:w="1081"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13,9</w:t>
            </w:r>
          </w:p>
        </w:tc>
        <w:tc>
          <w:tcPr>
            <w:tcW w:w="929"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11,7</w:t>
            </w:r>
          </w:p>
        </w:tc>
        <w:tc>
          <w:tcPr>
            <w:tcW w:w="1104"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-16,1</w:t>
            </w:r>
          </w:p>
        </w:tc>
        <w:tc>
          <w:tcPr>
            <w:tcW w:w="1098"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-39,8</w:t>
            </w:r>
          </w:p>
        </w:tc>
      </w:tr>
      <w:tr w:rsidR="00181E00" w:rsidRPr="005F385B" w:rsidTr="00181E00">
        <w:trPr>
          <w:trHeight w:val="288"/>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181E00" w:rsidRPr="00D00543" w:rsidRDefault="00181E00" w:rsidP="00DF1213">
            <w:pPr>
              <w:spacing w:after="0" w:line="240" w:lineRule="auto"/>
              <w:ind w:left="227"/>
              <w:rPr>
                <w:rFonts w:ascii="Times New Roman" w:hAnsi="Times New Roman"/>
                <w:lang w:eastAsia="ru-RU"/>
              </w:rPr>
            </w:pPr>
            <w:r w:rsidRPr="00D00543">
              <w:rPr>
                <w:rFonts w:ascii="Times New Roman" w:hAnsi="Times New Roman"/>
                <w:lang w:eastAsia="ru-RU"/>
              </w:rPr>
              <w:t xml:space="preserve">синдром зависимости от ненаркотических </w:t>
            </w:r>
            <w:r>
              <w:rPr>
                <w:rFonts w:ascii="Times New Roman" w:hAnsi="Times New Roman"/>
                <w:lang w:eastAsia="ru-RU"/>
              </w:rPr>
              <w:t>психоактивных веществ</w:t>
            </w:r>
            <w:r w:rsidRPr="00D00543">
              <w:rPr>
                <w:rFonts w:ascii="Times New Roman" w:hAnsi="Times New Roman"/>
                <w:lang w:eastAsia="ru-RU"/>
              </w:rPr>
              <w:t xml:space="preserve"> (токсикомания)</w:t>
            </w:r>
          </w:p>
        </w:tc>
        <w:tc>
          <w:tcPr>
            <w:tcW w:w="992"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7,2</w:t>
            </w:r>
          </w:p>
        </w:tc>
        <w:tc>
          <w:tcPr>
            <w:tcW w:w="922"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6,7</w:t>
            </w:r>
          </w:p>
        </w:tc>
        <w:tc>
          <w:tcPr>
            <w:tcW w:w="1027"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5,9</w:t>
            </w:r>
          </w:p>
        </w:tc>
        <w:tc>
          <w:tcPr>
            <w:tcW w:w="1081"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5,3</w:t>
            </w:r>
          </w:p>
        </w:tc>
        <w:tc>
          <w:tcPr>
            <w:tcW w:w="929"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4,5</w:t>
            </w:r>
          </w:p>
        </w:tc>
        <w:tc>
          <w:tcPr>
            <w:tcW w:w="1104"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-15,8</w:t>
            </w:r>
          </w:p>
        </w:tc>
        <w:tc>
          <w:tcPr>
            <w:tcW w:w="1098"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-37,7</w:t>
            </w:r>
          </w:p>
        </w:tc>
      </w:tr>
      <w:tr w:rsidR="00181E00" w:rsidRPr="005F385B" w:rsidTr="00181E00">
        <w:trPr>
          <w:trHeight w:val="288"/>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181E00" w:rsidRPr="00D00543" w:rsidRDefault="00181E00" w:rsidP="00DF1213">
            <w:pPr>
              <w:spacing w:after="0" w:line="240" w:lineRule="auto"/>
              <w:ind w:left="227"/>
              <w:rPr>
                <w:rFonts w:ascii="Times New Roman" w:hAnsi="Times New Roman"/>
                <w:lang w:eastAsia="ru-RU"/>
              </w:rPr>
            </w:pPr>
            <w:r w:rsidRPr="00D00543">
              <w:rPr>
                <w:rFonts w:ascii="Times New Roman" w:hAnsi="Times New Roman"/>
                <w:lang w:eastAsia="ru-RU"/>
              </w:rPr>
              <w:t xml:space="preserve">пагубное употребление ненаркотических </w:t>
            </w:r>
            <w:r>
              <w:rPr>
                <w:rFonts w:ascii="Times New Roman" w:hAnsi="Times New Roman"/>
                <w:lang w:eastAsia="ru-RU"/>
              </w:rPr>
              <w:t>психоактивных веществ</w:t>
            </w:r>
          </w:p>
        </w:tc>
        <w:tc>
          <w:tcPr>
            <w:tcW w:w="992"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12,2</w:t>
            </w:r>
          </w:p>
        </w:tc>
        <w:tc>
          <w:tcPr>
            <w:tcW w:w="922"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11,5</w:t>
            </w:r>
          </w:p>
        </w:tc>
        <w:tc>
          <w:tcPr>
            <w:tcW w:w="1027"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9,4</w:t>
            </w:r>
          </w:p>
        </w:tc>
        <w:tc>
          <w:tcPr>
            <w:tcW w:w="1081" w:type="dxa"/>
            <w:tcBorders>
              <w:top w:val="single" w:sz="4" w:space="0" w:color="auto"/>
              <w:left w:val="single" w:sz="4" w:space="0" w:color="auto"/>
              <w:bottom w:val="single" w:sz="4" w:space="0" w:color="auto"/>
              <w:right w:val="single" w:sz="4" w:space="0" w:color="auto"/>
            </w:tcBorders>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8,6</w:t>
            </w:r>
          </w:p>
        </w:tc>
        <w:tc>
          <w:tcPr>
            <w:tcW w:w="929"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7,2</w:t>
            </w:r>
          </w:p>
        </w:tc>
        <w:tc>
          <w:tcPr>
            <w:tcW w:w="1104"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-16,2</w:t>
            </w:r>
          </w:p>
        </w:tc>
        <w:tc>
          <w:tcPr>
            <w:tcW w:w="1098" w:type="dxa"/>
            <w:tcBorders>
              <w:top w:val="single" w:sz="4" w:space="0" w:color="auto"/>
              <w:left w:val="single" w:sz="4" w:space="0" w:color="auto"/>
              <w:bottom w:val="single" w:sz="4" w:space="0" w:color="auto"/>
              <w:right w:val="single" w:sz="4" w:space="0" w:color="auto"/>
            </w:tcBorders>
            <w:noWrap/>
            <w:vAlign w:val="center"/>
          </w:tcPr>
          <w:p w:rsidR="00181E00" w:rsidRPr="00D00543" w:rsidRDefault="00181E00" w:rsidP="00DF1213">
            <w:pPr>
              <w:spacing w:after="0" w:line="240" w:lineRule="auto"/>
              <w:jc w:val="center"/>
              <w:rPr>
                <w:rFonts w:ascii="Times New Roman" w:hAnsi="Times New Roman"/>
                <w:lang w:eastAsia="ru-RU"/>
              </w:rPr>
            </w:pPr>
            <w:r w:rsidRPr="00D00543">
              <w:rPr>
                <w:rFonts w:ascii="Times New Roman" w:hAnsi="Times New Roman"/>
                <w:lang w:eastAsia="ru-RU"/>
              </w:rPr>
              <w:t>-41,0</w:t>
            </w:r>
          </w:p>
        </w:tc>
      </w:tr>
    </w:tbl>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поводу пагубного употребления ненаркотических психоактивных веществ в учреждения, оказывающие первичную медико-санитарную помощь наркологического профиля  в амбулаторных условиях, обратились 10</w:t>
      </w:r>
      <w:r w:rsidR="00181E00">
        <w:rPr>
          <w:rFonts w:ascii="Times New Roman" w:hAnsi="Times New Roman" w:cs="Times New Roman"/>
          <w:sz w:val="28"/>
          <w:szCs w:val="28"/>
        </w:rPr>
        <w:t> </w:t>
      </w:r>
      <w:r w:rsidRPr="005E58C6">
        <w:rPr>
          <w:rFonts w:ascii="Times New Roman" w:hAnsi="Times New Roman" w:cs="Times New Roman"/>
          <w:sz w:val="28"/>
          <w:szCs w:val="28"/>
        </w:rPr>
        <w:t>563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12 606) человек или 7,2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Уровень обращаемости по поводу пагубного употребления по сравнению с 2017 годом   снизился на 16,2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Суммарный показатель обращаемости лиц, употребляющих ненаркотические психоактивные вещества, в 2018 году составил 11,7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5E58C6" w:rsidRPr="005E58C6" w:rsidRDefault="005E58C6" w:rsidP="00181E00">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lastRenderedPageBreak/>
        <w:t>Таблица 3.12.</w:t>
      </w:r>
    </w:p>
    <w:p w:rsidR="00181E00" w:rsidRDefault="005E58C6" w:rsidP="00181E00">
      <w:pPr>
        <w:widowControl w:val="0"/>
        <w:spacing w:after="0" w:line="240" w:lineRule="auto"/>
        <w:jc w:val="center"/>
        <w:rPr>
          <w:rFonts w:ascii="Times New Roman" w:hAnsi="Times New Roman" w:cs="Times New Roman"/>
          <w:sz w:val="28"/>
          <w:szCs w:val="28"/>
        </w:rPr>
      </w:pPr>
      <w:r w:rsidRPr="005E58C6">
        <w:rPr>
          <w:rFonts w:ascii="Times New Roman" w:hAnsi="Times New Roman" w:cs="Times New Roman"/>
          <w:sz w:val="28"/>
          <w:szCs w:val="28"/>
        </w:rPr>
        <w:t>Показатели первичной заболеваемости пси</w:t>
      </w:r>
      <w:r w:rsidR="00181E00">
        <w:rPr>
          <w:rFonts w:ascii="Times New Roman" w:hAnsi="Times New Roman" w:cs="Times New Roman"/>
          <w:sz w:val="28"/>
          <w:szCs w:val="28"/>
        </w:rPr>
        <w:t xml:space="preserve">хическими и </w:t>
      </w:r>
      <w:r w:rsidRPr="005E58C6">
        <w:rPr>
          <w:rFonts w:ascii="Times New Roman" w:hAnsi="Times New Roman" w:cs="Times New Roman"/>
          <w:sz w:val="28"/>
          <w:szCs w:val="28"/>
        </w:rPr>
        <w:t>поведенческими расстройств</w:t>
      </w:r>
      <w:r w:rsidR="00181E00">
        <w:rPr>
          <w:rFonts w:ascii="Times New Roman" w:hAnsi="Times New Roman" w:cs="Times New Roman"/>
          <w:sz w:val="28"/>
          <w:szCs w:val="28"/>
        </w:rPr>
        <w:t>ами, связанными с употреблением</w:t>
      </w:r>
      <w:r w:rsidRPr="005E58C6">
        <w:rPr>
          <w:rFonts w:ascii="Times New Roman" w:hAnsi="Times New Roman" w:cs="Times New Roman"/>
          <w:sz w:val="28"/>
          <w:szCs w:val="28"/>
        </w:rPr>
        <w:t>ненаркотических ПАВ</w:t>
      </w:r>
      <w:r w:rsidR="00181E00">
        <w:rPr>
          <w:rFonts w:ascii="Times New Roman" w:hAnsi="Times New Roman" w:cs="Times New Roman"/>
          <w:sz w:val="28"/>
          <w:szCs w:val="28"/>
        </w:rPr>
        <w:t xml:space="preserve"> </w:t>
      </w:r>
    </w:p>
    <w:p w:rsidR="005E58C6" w:rsidRPr="005E58C6" w:rsidRDefault="005E58C6" w:rsidP="00181E00">
      <w:pPr>
        <w:widowControl w:val="0"/>
        <w:spacing w:after="0" w:line="240" w:lineRule="auto"/>
        <w:jc w:val="center"/>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среднегодового населения)</w:t>
      </w:r>
    </w:p>
    <w:tbl>
      <w:tblPr>
        <w:tblW w:w="102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9"/>
        <w:gridCol w:w="904"/>
        <w:gridCol w:w="992"/>
        <w:gridCol w:w="993"/>
        <w:gridCol w:w="992"/>
        <w:gridCol w:w="992"/>
        <w:gridCol w:w="1134"/>
        <w:gridCol w:w="1019"/>
      </w:tblGrid>
      <w:tr w:rsidR="00181E00" w:rsidRPr="005F385B" w:rsidTr="00DF1213">
        <w:trPr>
          <w:trHeight w:val="288"/>
          <w:jc w:val="center"/>
        </w:trPr>
        <w:tc>
          <w:tcPr>
            <w:tcW w:w="3269"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rPr>
                <w:rFonts w:ascii="Times New Roman" w:hAnsi="Times New Roman"/>
                <w:lang w:eastAsia="ru-RU"/>
              </w:rPr>
            </w:pPr>
            <w:r w:rsidRPr="00467F4E">
              <w:rPr>
                <w:rFonts w:ascii="Times New Roman" w:hAnsi="Times New Roman"/>
                <w:lang w:eastAsia="ru-RU"/>
              </w:rPr>
              <w:t>Категория</w:t>
            </w:r>
          </w:p>
        </w:tc>
        <w:tc>
          <w:tcPr>
            <w:tcW w:w="904"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2014</w:t>
            </w:r>
            <w:r>
              <w:rPr>
                <w:rFonts w:ascii="Times New Roman" w:hAnsi="Times New Roman"/>
                <w:lang w:eastAsia="ru-RU"/>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2015</w:t>
            </w:r>
            <w:r>
              <w:rPr>
                <w:rFonts w:ascii="Times New Roman" w:hAnsi="Times New Roman"/>
                <w:lang w:eastAsia="ru-RU"/>
              </w:rPr>
              <w:t xml:space="preserve">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2016</w:t>
            </w:r>
            <w:r>
              <w:rPr>
                <w:rFonts w:ascii="Times New Roman" w:hAnsi="Times New Roman"/>
                <w:lang w:eastAsia="ru-RU"/>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2017</w:t>
            </w:r>
            <w:r>
              <w:rPr>
                <w:rFonts w:ascii="Times New Roman" w:hAnsi="Times New Roman"/>
                <w:lang w:eastAsia="ru-RU"/>
              </w:rPr>
              <w:t xml:space="preserve"> г.</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2018</w:t>
            </w:r>
            <w:r>
              <w:rPr>
                <w:rFonts w:ascii="Times New Roman" w:hAnsi="Times New Roman"/>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Прирост 2018/ 2017 (</w:t>
            </w:r>
            <w:r w:rsidR="00000709">
              <w:rPr>
                <w:rFonts w:ascii="Times New Roman" w:hAnsi="Times New Roman"/>
                <w:lang w:eastAsia="ru-RU"/>
              </w:rPr>
              <w:t> %</w:t>
            </w:r>
            <w:r w:rsidRPr="00467F4E">
              <w:rPr>
                <w:rFonts w:ascii="Times New Roman" w:hAnsi="Times New Roman"/>
                <w:lang w:eastAsia="ru-RU"/>
              </w:rPr>
              <w:t>)</w:t>
            </w: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Прирост 2018/ 2014 (</w:t>
            </w:r>
            <w:r w:rsidR="00000709">
              <w:rPr>
                <w:rFonts w:ascii="Times New Roman" w:hAnsi="Times New Roman"/>
                <w:lang w:eastAsia="ru-RU"/>
              </w:rPr>
              <w:t> %</w:t>
            </w:r>
            <w:r w:rsidRPr="00467F4E">
              <w:rPr>
                <w:rFonts w:ascii="Times New Roman" w:hAnsi="Times New Roman"/>
                <w:lang w:eastAsia="ru-RU"/>
              </w:rPr>
              <w:t>)</w:t>
            </w:r>
          </w:p>
        </w:tc>
      </w:tr>
      <w:tr w:rsidR="00181E00" w:rsidRPr="005F385B" w:rsidTr="00DF1213">
        <w:trPr>
          <w:trHeight w:val="288"/>
          <w:jc w:val="center"/>
        </w:trPr>
        <w:tc>
          <w:tcPr>
            <w:tcW w:w="3269" w:type="dxa"/>
            <w:tcBorders>
              <w:top w:val="single" w:sz="4" w:space="0" w:color="auto"/>
              <w:left w:val="single" w:sz="4" w:space="0" w:color="auto"/>
              <w:bottom w:val="single" w:sz="4" w:space="0" w:color="auto"/>
              <w:right w:val="single" w:sz="4" w:space="0" w:color="auto"/>
            </w:tcBorders>
            <w:noWrap/>
            <w:vAlign w:val="bottom"/>
            <w:hideMark/>
          </w:tcPr>
          <w:p w:rsidR="00181E00" w:rsidRDefault="009C5CF7" w:rsidP="00DF1213">
            <w:pPr>
              <w:spacing w:after="0" w:line="240" w:lineRule="auto"/>
              <w:ind w:left="27"/>
              <w:rPr>
                <w:rFonts w:ascii="Times New Roman" w:hAnsi="Times New Roman"/>
                <w:lang w:eastAsia="ru-RU"/>
              </w:rPr>
            </w:pPr>
            <w:r>
              <w:rPr>
                <w:rFonts w:ascii="Times New Roman" w:hAnsi="Times New Roman"/>
                <w:lang w:eastAsia="ru-RU"/>
              </w:rPr>
              <w:t xml:space="preserve"> психические</w:t>
            </w:r>
            <w:r w:rsidR="00181E00" w:rsidRPr="00467F4E">
              <w:rPr>
                <w:rFonts w:ascii="Times New Roman" w:hAnsi="Times New Roman"/>
                <w:lang w:eastAsia="ru-RU"/>
              </w:rPr>
              <w:t xml:space="preserve"> и поведенчески</w:t>
            </w:r>
            <w:r>
              <w:rPr>
                <w:rFonts w:ascii="Times New Roman" w:hAnsi="Times New Roman"/>
                <w:lang w:eastAsia="ru-RU"/>
              </w:rPr>
              <w:t>е</w:t>
            </w:r>
            <w:r w:rsidR="00181E00" w:rsidRPr="00467F4E">
              <w:rPr>
                <w:rFonts w:ascii="Times New Roman" w:hAnsi="Times New Roman"/>
                <w:lang w:eastAsia="ru-RU"/>
              </w:rPr>
              <w:t xml:space="preserve"> расстройства, связанны</w:t>
            </w:r>
            <w:r>
              <w:rPr>
                <w:rFonts w:ascii="Times New Roman" w:hAnsi="Times New Roman"/>
                <w:lang w:eastAsia="ru-RU"/>
              </w:rPr>
              <w:t>е</w:t>
            </w:r>
            <w:r w:rsidR="00181E00" w:rsidRPr="00467F4E">
              <w:rPr>
                <w:rFonts w:ascii="Times New Roman" w:hAnsi="Times New Roman"/>
                <w:lang w:eastAsia="ru-RU"/>
              </w:rPr>
              <w:t xml:space="preserve"> с употреблением ненаркотических </w:t>
            </w:r>
            <w:r w:rsidR="00181E00">
              <w:rPr>
                <w:rFonts w:ascii="Times New Roman" w:hAnsi="Times New Roman"/>
                <w:lang w:eastAsia="ru-RU"/>
              </w:rPr>
              <w:t>психактивных веществ  – в</w:t>
            </w:r>
            <w:r w:rsidR="00181E00" w:rsidRPr="00467F4E">
              <w:rPr>
                <w:rFonts w:ascii="Times New Roman" w:hAnsi="Times New Roman"/>
                <w:lang w:eastAsia="ru-RU"/>
              </w:rPr>
              <w:t>сего,</w:t>
            </w:r>
          </w:p>
          <w:p w:rsidR="00181E00" w:rsidRPr="00467F4E" w:rsidRDefault="00181E00" w:rsidP="00DF1213">
            <w:pPr>
              <w:spacing w:after="0" w:line="240" w:lineRule="auto"/>
              <w:ind w:left="27"/>
              <w:rPr>
                <w:rFonts w:ascii="Times New Roman" w:hAnsi="Times New Roman"/>
                <w:lang w:eastAsia="ru-RU"/>
              </w:rPr>
            </w:pPr>
            <w:r w:rsidRPr="00467F4E">
              <w:rPr>
                <w:rFonts w:ascii="Times New Roman" w:hAnsi="Times New Roman"/>
                <w:lang w:eastAsia="ru-RU"/>
              </w:rPr>
              <w:t xml:space="preserve"> из них:</w:t>
            </w:r>
          </w:p>
        </w:tc>
        <w:tc>
          <w:tcPr>
            <w:tcW w:w="904"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-13,4</w:t>
            </w: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-54,2</w:t>
            </w:r>
          </w:p>
        </w:tc>
      </w:tr>
      <w:tr w:rsidR="00181E00" w:rsidRPr="005F385B" w:rsidTr="00DF1213">
        <w:trPr>
          <w:trHeight w:val="288"/>
          <w:jc w:val="center"/>
        </w:trPr>
        <w:tc>
          <w:tcPr>
            <w:tcW w:w="3269" w:type="dxa"/>
            <w:tcBorders>
              <w:top w:val="single" w:sz="4" w:space="0" w:color="auto"/>
              <w:left w:val="single" w:sz="4" w:space="0" w:color="auto"/>
              <w:bottom w:val="single" w:sz="4" w:space="0" w:color="auto"/>
              <w:right w:val="single" w:sz="4" w:space="0" w:color="auto"/>
            </w:tcBorders>
            <w:noWrap/>
            <w:vAlign w:val="bottom"/>
            <w:hideMark/>
          </w:tcPr>
          <w:p w:rsidR="00181E00" w:rsidRPr="00467F4E" w:rsidRDefault="00181E00" w:rsidP="00DF1213">
            <w:pPr>
              <w:spacing w:after="0" w:line="240" w:lineRule="auto"/>
              <w:ind w:left="227"/>
              <w:rPr>
                <w:rFonts w:ascii="Times New Roman" w:hAnsi="Times New Roman"/>
                <w:lang w:eastAsia="ru-RU"/>
              </w:rPr>
            </w:pPr>
            <w:r w:rsidRPr="00467F4E">
              <w:rPr>
                <w:rFonts w:ascii="Times New Roman" w:hAnsi="Times New Roman"/>
                <w:lang w:eastAsia="ru-RU"/>
              </w:rPr>
              <w:t>синдром зав</w:t>
            </w:r>
            <w:r w:rsidR="009C5CF7">
              <w:rPr>
                <w:rFonts w:ascii="Times New Roman" w:hAnsi="Times New Roman"/>
                <w:lang w:eastAsia="ru-RU"/>
              </w:rPr>
              <w:t xml:space="preserve">исимости от ненаркотических психоактивных веществ </w:t>
            </w:r>
            <w:r w:rsidRPr="00467F4E">
              <w:rPr>
                <w:rFonts w:ascii="Times New Roman" w:hAnsi="Times New Roman"/>
                <w:lang w:eastAsia="ru-RU"/>
              </w:rPr>
              <w:t>(токсикомания)</w:t>
            </w:r>
          </w:p>
        </w:tc>
        <w:tc>
          <w:tcPr>
            <w:tcW w:w="904"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0,3</w:t>
            </w: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-53,9</w:t>
            </w:r>
          </w:p>
        </w:tc>
      </w:tr>
      <w:tr w:rsidR="00181E00" w:rsidRPr="005F385B" w:rsidTr="00DF1213">
        <w:trPr>
          <w:trHeight w:val="288"/>
          <w:jc w:val="center"/>
        </w:trPr>
        <w:tc>
          <w:tcPr>
            <w:tcW w:w="3269" w:type="dxa"/>
            <w:tcBorders>
              <w:top w:val="single" w:sz="4" w:space="0" w:color="auto"/>
              <w:left w:val="single" w:sz="4" w:space="0" w:color="auto"/>
              <w:bottom w:val="single" w:sz="4" w:space="0" w:color="auto"/>
              <w:right w:val="single" w:sz="4" w:space="0" w:color="auto"/>
            </w:tcBorders>
            <w:noWrap/>
            <w:vAlign w:val="bottom"/>
            <w:hideMark/>
          </w:tcPr>
          <w:p w:rsidR="00181E00" w:rsidRPr="00467F4E" w:rsidRDefault="00181E00" w:rsidP="009C5CF7">
            <w:pPr>
              <w:spacing w:after="0" w:line="240" w:lineRule="auto"/>
              <w:ind w:left="227"/>
              <w:rPr>
                <w:rFonts w:ascii="Times New Roman" w:hAnsi="Times New Roman"/>
                <w:lang w:eastAsia="ru-RU"/>
              </w:rPr>
            </w:pPr>
            <w:r w:rsidRPr="00467F4E">
              <w:rPr>
                <w:rFonts w:ascii="Times New Roman" w:hAnsi="Times New Roman"/>
                <w:lang w:eastAsia="ru-RU"/>
              </w:rPr>
              <w:t xml:space="preserve">пагубное употребление ненаркотических </w:t>
            </w:r>
            <w:r w:rsidR="009C5CF7">
              <w:rPr>
                <w:rFonts w:ascii="Times New Roman" w:hAnsi="Times New Roman"/>
                <w:lang w:eastAsia="ru-RU"/>
              </w:rPr>
              <w:t>психоактивных веществ</w:t>
            </w:r>
          </w:p>
        </w:tc>
        <w:tc>
          <w:tcPr>
            <w:tcW w:w="904"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-15,1</w:t>
            </w: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181E00" w:rsidRPr="00467F4E" w:rsidRDefault="00181E00" w:rsidP="00DF1213">
            <w:pPr>
              <w:spacing w:after="0" w:line="240" w:lineRule="auto"/>
              <w:jc w:val="center"/>
              <w:rPr>
                <w:rFonts w:ascii="Times New Roman" w:hAnsi="Times New Roman"/>
                <w:lang w:eastAsia="ru-RU"/>
              </w:rPr>
            </w:pPr>
            <w:r w:rsidRPr="00467F4E">
              <w:rPr>
                <w:rFonts w:ascii="Times New Roman" w:hAnsi="Times New Roman"/>
                <w:lang w:eastAsia="ru-RU"/>
              </w:rPr>
              <w:t>-54,2</w:t>
            </w:r>
          </w:p>
        </w:tc>
      </w:tr>
    </w:tbl>
    <w:p w:rsidR="00181E00" w:rsidRDefault="00181E00"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Впервые в жизни обратились за наркологической помощью в 2018 году 346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345) больных токсикоманией. Уровень первичной заболеваемости токсикоманией в 2018 году составил, как и в 2017 году, 0,2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стране функциони</w:t>
      </w:r>
      <w:r w:rsidR="00181E00">
        <w:rPr>
          <w:rFonts w:ascii="Times New Roman" w:hAnsi="Times New Roman" w:cs="Times New Roman"/>
          <w:sz w:val="28"/>
          <w:szCs w:val="28"/>
        </w:rPr>
        <w:t>ровал 1 реабилитационный центр</w:t>
      </w:r>
      <w:r w:rsidRPr="005E58C6">
        <w:rPr>
          <w:rFonts w:ascii="Times New Roman" w:hAnsi="Times New Roman" w:cs="Times New Roman"/>
          <w:sz w:val="28"/>
          <w:szCs w:val="28"/>
        </w:rPr>
        <w:t xml:space="preserve"> (в Ханты-Мансийском автономном округе), где  было развернуто 50 коек круглосуточного пребывания для медицинской реабилитации пациентов наркологического профиля.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Наряду с этим в 2018 году в регионах страны на базе медицинских организаций, оказывающих медицинскую помощь по профилю «психиатрия-наркология», функционировало 10 реабилитационных отделений, имеющих статус реабилитационных центров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 123 стационарных отделения медицинской реабилитации, не имеющих статуса реабилитационного центра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122). Суммарный коечный фонд медицинских организаций, оказывающих медицинскую реабилитацию пациентам наркологического профиля  в 2018 году составил 3 166 коек, что на 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меньше, чем в 2017 году (3 194 койки).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Кроме того, в медицинских организациях, оказывающих медицинскую помощь по профилю «психиатрия-наркология», развернуто 67 амбулаторных отделений медицинской реабилитации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66).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Дополнительным ресурсом для оказания реабилитационной помощи наркологическим больным является использование для проведения реабилитационных мероприятий коечного фонда дневных стационаров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505,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552 койки дневного пребывания).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Таким образом, структурные изменения в медицинских организациях, осуществляющих медицинскую деятельность по профилю «психиатрия-наркология», свидетельствуют о сохранении реабилитационного направления в деятельности указанных медицинских организаций. Следует отметить, что сложившаяся в стране модель медицинской реабилитации для пациентов наркологического профиля, которая осуществляется в стационарных, амбулаторных условиях или в условиях дневного стационара, в большей степени соответствует потребностям пациентов, в отличие от реализации реабилитационных программ в самостоятельных реабилитационных центрах, где преобладает стационарная модель реабилитации без амбулаторного этапа.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пациентов, прошедших медицинскую реабилитацию в условиях стационара</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в 2018 году составило 31 668 человек, (5,7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проходивших стационарное лечение). Успешно закончили этап реабилитации в условиях стационара 85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больных. Средняя длительность реабилитации в стационарных условиях составила 39,1 койко-дня. После прохождения реабилитации в стационарных условиях было направлено для прохождения амбулаторного этапа 15 665 человек, (58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успешно завершивших медицинскую реабилитацию в стационарных условиях). Однако следует отметить, что 42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окончивших реабилитацию в условиях стационара, остаются вне реабилитационных программ в  амбулаторных условиях.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программы медицинской реабилитации в амбулаторных условиях в 2018 году включено 87 072 пациента наркологического профиля, что составляет 4,3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обратившихся за наркологической помощью в амбулаторных условиях.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Из числа успешно окончивших реабилитацию в стационаре и направленных в отделения реабилитации медицинских организаций, оказывающих медицинскую помощь в амбулаторных условиях, включены в амбулаторные реабилитационные программы 8 839 пациентов (56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направленных из после стационарной реабилитации пациентов).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Из числа пациентов с зависимостью от психоактивных веществ, включенных в реабилитационные программы в амбулаторных условиях, успешно завершили амбулаторный этап 48 583 пациента, или 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проходивших реабилитацию в амбулаторных условиях.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Основные показатели, характеризующие качество оказания наркологической помощи</w:t>
      </w:r>
      <w:r w:rsidR="00757202">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это ремиссии и прекращение диспансерного наблюдения в связи с выздоровлением (стойким улучшением), повторность госпитализаций.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Показатели ремиссии во всех группах в 2018 году свидетельствуют об увеличении числа таких больных. Число больных алкоголизмом, находящихся в ремиссии от 1 года до 2 лет на 100 больных   в 2017 году составило 13,3,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13,5; наркоманией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соответственно 11,8 и 12,4, токсикоманией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соответственно 13,2 и 13,9. Показатели, характеризующие долгосрочную ремиссию (продолжительность ремиссии 2 года и более), возросли у больных алкоголизмом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 10,7 в 2017 году до 10,9 в 2018 году; наркоманией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 11,1 до 11,6 соответственно; показатель ремиссии у больных токсикоманией остался на уровне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12,4 на 100 больных среднегодового контингента.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Таким образом, в 2018 году в ремиссии 1 год и более находился каждый четвертый больной алкоголизмом, наркоманией и токсикоманией из числа пациентов, состоящих под диспансерным наблюдением в течение отчетного года.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Показатели прекращения диспансерного наблюдения в связи с выздоровлением (длительным воздержанием) в 2018 г. снизились: у больных алкоголизмом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 3,6 на 100 больных в 2017 году до 3,4 в 2018 году; у больных наркоманией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 5,1 до 4,6; у больных токсикоманией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5,1 до 4,6 соответственно.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Показатели повторности госпитализации пациентов наркологического профиля различаются в зависимости от диагноза: наиболее высокий уровень повторности отмечается у больных алкоголизмом, наркоманией, токсикоманией, а также пагубным употреблением алкоголя. Значительно ниже этот показатель у пациентов с психозами и пагубным употреблением наркотиков и ненаркотических психоактивных веществ.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отмечалось снижение повторности госпитализации больных алкогольными психозами (с 16,9 в 2017 году до 16,1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   </w:t>
      </w:r>
      <w:r w:rsidRPr="005E58C6">
        <w:rPr>
          <w:rFonts w:ascii="Times New Roman" w:hAnsi="Times New Roman" w:cs="Times New Roman"/>
          <w:sz w:val="28"/>
          <w:szCs w:val="28"/>
        </w:rPr>
        <w:lastRenderedPageBreak/>
        <w:t>пациентов с пагубным употреблением наркотиков (с 19,8 до 15,4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соответственно) и ненаркотических психоактивных веществ (с 20,7 до 17,6</w:t>
      </w:r>
      <w:r w:rsidR="00000709">
        <w:rPr>
          <w:rFonts w:ascii="Times New Roman" w:hAnsi="Times New Roman" w:cs="Times New Roman"/>
          <w:sz w:val="28"/>
          <w:szCs w:val="28"/>
        </w:rPr>
        <w:t> %</w:t>
      </w:r>
      <w:r w:rsidRPr="005E58C6">
        <w:rPr>
          <w:rFonts w:ascii="Times New Roman" w:hAnsi="Times New Roman" w:cs="Times New Roman"/>
          <w:sz w:val="28"/>
          <w:szCs w:val="28"/>
        </w:rPr>
        <w:t>);  рост повторных госпитализаций больных психозами, вызванными употреблением наркотиков (соответственно с 14,9 до 15,8</w:t>
      </w:r>
      <w:r w:rsidR="00000709">
        <w:rPr>
          <w:rFonts w:ascii="Times New Roman" w:hAnsi="Times New Roman" w:cs="Times New Roman"/>
          <w:sz w:val="28"/>
          <w:szCs w:val="28"/>
        </w:rPr>
        <w:t> %</w:t>
      </w:r>
      <w:r w:rsidRPr="005E58C6">
        <w:rPr>
          <w:rFonts w:ascii="Times New Roman" w:hAnsi="Times New Roman" w:cs="Times New Roman"/>
          <w:sz w:val="28"/>
          <w:szCs w:val="28"/>
        </w:rPr>
        <w:t>) и ненаркотических психоактивных веществ (с 14,1 до 17,4</w:t>
      </w:r>
      <w:r w:rsidR="00000709">
        <w:rPr>
          <w:rFonts w:ascii="Times New Roman" w:hAnsi="Times New Roman" w:cs="Times New Roman"/>
          <w:sz w:val="28"/>
          <w:szCs w:val="28"/>
        </w:rPr>
        <w:t> %</w:t>
      </w:r>
      <w:r w:rsidRPr="005E58C6">
        <w:rPr>
          <w:rFonts w:ascii="Times New Roman" w:hAnsi="Times New Roman" w:cs="Times New Roman"/>
          <w:sz w:val="28"/>
          <w:szCs w:val="28"/>
        </w:rPr>
        <w:t>), алкоголизмом (с 26,3 до 26,8</w:t>
      </w:r>
      <w:r w:rsidR="00000709">
        <w:rPr>
          <w:rFonts w:ascii="Times New Roman" w:hAnsi="Times New Roman" w:cs="Times New Roman"/>
          <w:sz w:val="28"/>
          <w:szCs w:val="28"/>
        </w:rPr>
        <w:t> %</w:t>
      </w:r>
      <w:r w:rsidRPr="005E58C6">
        <w:rPr>
          <w:rFonts w:ascii="Times New Roman" w:hAnsi="Times New Roman" w:cs="Times New Roman"/>
          <w:sz w:val="28"/>
          <w:szCs w:val="28"/>
        </w:rPr>
        <w:t>), наркоманией (с 28,3 до 28,6</w:t>
      </w:r>
      <w:r w:rsidR="00000709">
        <w:rPr>
          <w:rFonts w:ascii="Times New Roman" w:hAnsi="Times New Roman" w:cs="Times New Roman"/>
          <w:sz w:val="28"/>
          <w:szCs w:val="28"/>
        </w:rPr>
        <w:t> %</w:t>
      </w:r>
      <w:r w:rsidRPr="005E58C6">
        <w:rPr>
          <w:rFonts w:ascii="Times New Roman" w:hAnsi="Times New Roman" w:cs="Times New Roman"/>
          <w:sz w:val="28"/>
          <w:szCs w:val="28"/>
        </w:rPr>
        <w:t>), токсикоманией (с 29,8 до 32,9</w:t>
      </w:r>
      <w:r w:rsidR="00000709">
        <w:rPr>
          <w:rFonts w:ascii="Times New Roman" w:hAnsi="Times New Roman" w:cs="Times New Roman"/>
          <w:sz w:val="28"/>
          <w:szCs w:val="28"/>
        </w:rPr>
        <w:t> %</w:t>
      </w:r>
      <w:r w:rsidRPr="005E58C6">
        <w:rPr>
          <w:rFonts w:ascii="Times New Roman" w:hAnsi="Times New Roman" w:cs="Times New Roman"/>
          <w:sz w:val="28"/>
          <w:szCs w:val="28"/>
        </w:rPr>
        <w:t>), а также пациентов с пагубным употреблением алкоголя (с 18,0 до 23,8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последние годы наблюдается выраженная тенденция снижения обращаемости за наркологической помощью. В 2018 году, как и в предыдущие годы, уменьшается уровень общей и первичной заболеваемости алкоголизмом, алкогольными психозами, опиоидной наркоманией, токсикоманией;   наметилась тенденция снижения показателей обращаемости по поводу пагубного употребления алкоголя, наркотиков и ненаркотических психоактивных веществ.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общей заболеваемости наркологическими расстройствами повлекло за собой сокращение числа пациентов с наркологическими расстройствами, состоящих под диспансерным наблюдением</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на 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 сравнению с 2017 годом.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Уменьшение общего показателя госпитализации п</w:t>
      </w:r>
      <w:r w:rsidR="00757202">
        <w:rPr>
          <w:rFonts w:ascii="Times New Roman" w:hAnsi="Times New Roman" w:cs="Times New Roman"/>
          <w:sz w:val="28"/>
          <w:szCs w:val="28"/>
        </w:rPr>
        <w:t>о сравнению с уровнем 2017 года</w:t>
      </w:r>
      <w:r w:rsidRPr="005E58C6">
        <w:rPr>
          <w:rFonts w:ascii="Times New Roman" w:hAnsi="Times New Roman" w:cs="Times New Roman"/>
          <w:sz w:val="28"/>
          <w:szCs w:val="28"/>
        </w:rPr>
        <w:t xml:space="preserve"> было обусловлено сокращением числа случаев госпитализации пациентов с алкогольными психозами, алкоголизмом, опиоидной наркоманией, токсикоманией, пагубным употреблением ненаркотических психоактивных веществ.  Показатели госпитализации пациентов с зависимостью от психостимуляторов, с зависимостью от других наркотиков, включая полинаркоманию, а также пациентов с пагубным употреблением алкоголя и наркотиков   увеличились.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Показатели ремиссии и  вовлечения пациентов наркологического профиля в амбулаторные и стационарные реабилитационные программы имели в 2018 году позитивную динамику.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Однако в 2018 году сохранилась на высоком уровне повторность госпитализации пациентов наркологического профиля на специализированные койки. Кроме того, в 2018 году сократились показатели выздоровления (стойкого улучшения), снижение которых наблюдалось почти во всех диагностических категориях.</w:t>
      </w:r>
    </w:p>
    <w:p w:rsidR="005E58C6" w:rsidRPr="00181E00" w:rsidRDefault="005E58C6" w:rsidP="005E58C6">
      <w:pPr>
        <w:widowControl w:val="0"/>
        <w:spacing w:after="0" w:line="312" w:lineRule="auto"/>
        <w:ind w:firstLine="709"/>
        <w:jc w:val="both"/>
        <w:rPr>
          <w:rFonts w:ascii="Times New Roman" w:hAnsi="Times New Roman" w:cs="Times New Roman"/>
          <w:b/>
          <w:i/>
          <w:sz w:val="28"/>
          <w:szCs w:val="28"/>
        </w:rPr>
      </w:pPr>
      <w:r w:rsidRPr="00181E00">
        <w:rPr>
          <w:rFonts w:ascii="Times New Roman" w:hAnsi="Times New Roman" w:cs="Times New Roman"/>
          <w:b/>
          <w:i/>
          <w:sz w:val="28"/>
          <w:szCs w:val="28"/>
        </w:rPr>
        <w:lastRenderedPageBreak/>
        <w:t>Заболеваемость туберкулезом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 сравнению с 2017 годом показатель заболеваемости туберкулезом снизился на 8,1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48,3 до 44,4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по сравнению с 2008 годом (85,1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снижение составило 47,8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Показатели заболеваемости туберкулезом (в расчете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в 2018 году колебались: от 27,9 (Центральный федеральный округ) и 28,7 (Северо-Западный федеральный округ) до 80,2 (Сибирский федеральный округ) и 74,0 (Дальневосточный федеральный округ); от 11,4 (Ненецкий автономный округ), 17,1 (Белгородская область) и 15,7 (Вологодская область) до 109,5 (Приморский край), 138,9 (Республика Тыва) и 188,5 (Чукотский автономный округ).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заболеваемости туберкулезом детей в возрасте 0-14 лет уменьшился на 13,5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8,3;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9,6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детей), 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сравнению с 2012 годом, когда отмечался максимальный показатель (16,4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детей)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49,4</w:t>
      </w:r>
      <w:r w:rsidR="00000709">
        <w:rPr>
          <w:rFonts w:ascii="Times New Roman" w:hAnsi="Times New Roman" w:cs="Times New Roman"/>
          <w:sz w:val="28"/>
          <w:szCs w:val="28"/>
        </w:rPr>
        <w:t> %</w:t>
      </w:r>
      <w:r w:rsidRPr="005E58C6">
        <w:rPr>
          <w:rFonts w:ascii="Times New Roman" w:hAnsi="Times New Roman" w:cs="Times New Roman"/>
          <w:sz w:val="28"/>
          <w:szCs w:val="28"/>
        </w:rPr>
        <w:t>. Среди детей 0-14 лет преобладают лица в возрасте 7-14 лет (43,9</w:t>
      </w:r>
      <w:r w:rsidR="00000709">
        <w:rPr>
          <w:rFonts w:ascii="Times New Roman" w:hAnsi="Times New Roman" w:cs="Times New Roman"/>
          <w:sz w:val="28"/>
          <w:szCs w:val="28"/>
        </w:rPr>
        <w:t> %</w:t>
      </w:r>
      <w:r w:rsidRPr="005E58C6">
        <w:rPr>
          <w:rFonts w:ascii="Times New Roman" w:hAnsi="Times New Roman" w:cs="Times New Roman"/>
          <w:sz w:val="28"/>
          <w:szCs w:val="28"/>
        </w:rPr>
        <w:t>) и 3-6 лет (39,3</w:t>
      </w:r>
      <w:r w:rsidR="00000709">
        <w:rPr>
          <w:rFonts w:ascii="Times New Roman" w:hAnsi="Times New Roman" w:cs="Times New Roman"/>
          <w:sz w:val="28"/>
          <w:szCs w:val="28"/>
        </w:rPr>
        <w:t> %</w:t>
      </w:r>
      <w:r w:rsidRPr="005E58C6">
        <w:rPr>
          <w:rFonts w:ascii="Times New Roman" w:hAnsi="Times New Roman" w:cs="Times New Roman"/>
          <w:sz w:val="28"/>
          <w:szCs w:val="28"/>
        </w:rPr>
        <w:t>). Дети раннего возраста (0-2 года) составили 16,8</w:t>
      </w:r>
      <w:r w:rsidR="00000709">
        <w:rPr>
          <w:rFonts w:ascii="Times New Roman" w:hAnsi="Times New Roman" w:cs="Times New Roman"/>
          <w:sz w:val="28"/>
          <w:szCs w:val="28"/>
        </w:rPr>
        <w:t> %</w:t>
      </w:r>
      <w:r w:rsidRPr="005E58C6">
        <w:rPr>
          <w:rFonts w:ascii="Times New Roman" w:hAnsi="Times New Roman" w:cs="Times New Roman"/>
          <w:sz w:val="28"/>
          <w:szCs w:val="28"/>
        </w:rPr>
        <w:t>. Заболеваемость детей в возрасте до 1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4,8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 1-2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7,3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7,6); 3-4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13,6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16,5); 5-6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8,7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10,2); 7-14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7,4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8,6)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детей соответствующего возраста.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заболеваемости туберкулезом детей в возрасте 15-17 лет также уменьшился в 2018 году по сравнению с 2017 годом на 13,2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21,2 до 18,4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детей), а с 2006 годом, когда отмечался максимальный показатель (39,0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детей)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52,8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Заболевают туберкулезом преимущественно лица в возрасте 18-44 года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60,5</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61,3</w:t>
      </w:r>
      <w:r w:rsidR="00000709">
        <w:rPr>
          <w:rFonts w:ascii="Times New Roman" w:hAnsi="Times New Roman" w:cs="Times New Roman"/>
          <w:sz w:val="28"/>
          <w:szCs w:val="28"/>
        </w:rPr>
        <w:t> %</w:t>
      </w:r>
      <w:r w:rsidRPr="005E58C6">
        <w:rPr>
          <w:rFonts w:ascii="Times New Roman" w:hAnsi="Times New Roman" w:cs="Times New Roman"/>
          <w:sz w:val="28"/>
          <w:szCs w:val="28"/>
        </w:rPr>
        <w:t>). Пик заболеваемости туберкулезом приходится на возраст 35-44 года. Сокращается доля заболевших туберкулезом в возрасте 18-24 года: 2010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12,6</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5,4</w:t>
      </w:r>
      <w:r w:rsidR="00000709">
        <w:rPr>
          <w:rFonts w:ascii="Times New Roman" w:hAnsi="Times New Roman" w:cs="Times New Roman"/>
          <w:sz w:val="28"/>
          <w:szCs w:val="28"/>
        </w:rPr>
        <w:t> %</w:t>
      </w:r>
      <w:r w:rsidRPr="005E58C6">
        <w:rPr>
          <w:rFonts w:ascii="Times New Roman" w:hAnsi="Times New Roman" w:cs="Times New Roman"/>
          <w:sz w:val="28"/>
          <w:szCs w:val="28"/>
        </w:rPr>
        <w:t>.   Растет доля заболевших в возрасте 25-44 года: соответственно 49,7</w:t>
      </w:r>
      <w:r w:rsidR="00000709">
        <w:rPr>
          <w:rFonts w:ascii="Times New Roman" w:hAnsi="Times New Roman" w:cs="Times New Roman"/>
          <w:sz w:val="28"/>
          <w:szCs w:val="28"/>
        </w:rPr>
        <w:t> %</w:t>
      </w:r>
      <w:r w:rsidRPr="005E58C6">
        <w:rPr>
          <w:rFonts w:ascii="Times New Roman" w:hAnsi="Times New Roman" w:cs="Times New Roman"/>
          <w:sz w:val="28"/>
          <w:szCs w:val="28"/>
        </w:rPr>
        <w:t>; 55,1</w:t>
      </w:r>
      <w:r w:rsidR="00000709">
        <w:rPr>
          <w:rFonts w:ascii="Times New Roman" w:hAnsi="Times New Roman" w:cs="Times New Roman"/>
          <w:sz w:val="28"/>
          <w:szCs w:val="28"/>
        </w:rPr>
        <w:t> %</w:t>
      </w:r>
      <w:r w:rsidRPr="005E58C6">
        <w:rPr>
          <w:rFonts w:ascii="Times New Roman" w:hAnsi="Times New Roman" w:cs="Times New Roman"/>
          <w:sz w:val="28"/>
          <w:szCs w:val="28"/>
        </w:rPr>
        <w:t>. Более старший возраст зарегистрированных с туберкулезом говорит о положительном прогнозе по эпидемической ситуации по туберкулезу в стране.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Мужчины составили 67,8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впервые заболевших туберкулезом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67,9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Доля лиц, находящихся в учреждениях Федеральной службы исполнения наказаний Российской Федерации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ФСИН), в структуре впервые заболевших туберкулезом сократилась с 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году до 7,6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 Среди мужчин доля ФСИН составила в 2018 году 10,4</w:t>
      </w:r>
      <w:r w:rsidR="00000709">
        <w:rPr>
          <w:rFonts w:ascii="Times New Roman" w:hAnsi="Times New Roman" w:cs="Times New Roman"/>
          <w:sz w:val="28"/>
          <w:szCs w:val="28"/>
        </w:rPr>
        <w:t> %</w:t>
      </w:r>
      <w:r w:rsidRPr="005E58C6">
        <w:rPr>
          <w:rFonts w:ascii="Times New Roman" w:hAnsi="Times New Roman" w:cs="Times New Roman"/>
          <w:sz w:val="28"/>
          <w:szCs w:val="28"/>
        </w:rPr>
        <w:t>; среди женщин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иностранных граждан сократилась с 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году до 3,2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 лица без определенного места жительства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БОМЖ)  составили в 2018 году 2,5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w:t>
      </w:r>
      <w:r w:rsidR="00000709">
        <w:rPr>
          <w:rFonts w:ascii="Times New Roman" w:hAnsi="Times New Roman" w:cs="Times New Roman"/>
          <w:sz w:val="28"/>
          <w:szCs w:val="28"/>
        </w:rPr>
        <w:t> %</w:t>
      </w:r>
      <w:r w:rsidRPr="005E58C6">
        <w:rPr>
          <w:rFonts w:ascii="Times New Roman" w:hAnsi="Times New Roman" w:cs="Times New Roman"/>
          <w:sz w:val="28"/>
          <w:szCs w:val="28"/>
        </w:rPr>
        <w:t>). Доля постоянного населения выросла с 86,3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году до 86,8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 доля сельских жителей уменьшилась с 28,4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27,8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Среди впервые выявленных пациентов с туберкулезом в 2018 году высокая доля  иностранных граждан: в городах Москве (27,1</w:t>
      </w:r>
      <w:r w:rsidR="00000709">
        <w:rPr>
          <w:rFonts w:ascii="Times New Roman" w:hAnsi="Times New Roman" w:cs="Times New Roman"/>
          <w:sz w:val="28"/>
          <w:szCs w:val="28"/>
        </w:rPr>
        <w:t> %</w:t>
      </w:r>
      <w:r w:rsidRPr="005E58C6">
        <w:rPr>
          <w:rFonts w:ascii="Times New Roman" w:hAnsi="Times New Roman" w:cs="Times New Roman"/>
          <w:sz w:val="28"/>
          <w:szCs w:val="28"/>
        </w:rPr>
        <w:t>) и Санкт-Петербурге (13,7</w:t>
      </w:r>
      <w:r w:rsidR="00000709">
        <w:rPr>
          <w:rFonts w:ascii="Times New Roman" w:hAnsi="Times New Roman" w:cs="Times New Roman"/>
          <w:sz w:val="28"/>
          <w:szCs w:val="28"/>
        </w:rPr>
        <w:t> %</w:t>
      </w:r>
      <w:r w:rsidRPr="005E58C6">
        <w:rPr>
          <w:rFonts w:ascii="Times New Roman" w:hAnsi="Times New Roman" w:cs="Times New Roman"/>
          <w:sz w:val="28"/>
          <w:szCs w:val="28"/>
        </w:rPr>
        <w:t>), Калужской (20,2</w:t>
      </w:r>
      <w:r w:rsidR="00000709">
        <w:rPr>
          <w:rFonts w:ascii="Times New Roman" w:hAnsi="Times New Roman" w:cs="Times New Roman"/>
          <w:sz w:val="28"/>
          <w:szCs w:val="28"/>
        </w:rPr>
        <w:t> %</w:t>
      </w:r>
      <w:r w:rsidRPr="005E58C6">
        <w:rPr>
          <w:rFonts w:ascii="Times New Roman" w:hAnsi="Times New Roman" w:cs="Times New Roman"/>
          <w:sz w:val="28"/>
          <w:szCs w:val="28"/>
        </w:rPr>
        <w:t>) и Тульской (11,3</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лиц БОМЖ</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Волгоградской (6,2</w:t>
      </w:r>
      <w:r w:rsidR="00000709">
        <w:rPr>
          <w:rFonts w:ascii="Times New Roman" w:hAnsi="Times New Roman" w:cs="Times New Roman"/>
          <w:sz w:val="28"/>
          <w:szCs w:val="28"/>
        </w:rPr>
        <w:t> %</w:t>
      </w:r>
      <w:r w:rsidRPr="005E58C6">
        <w:rPr>
          <w:rFonts w:ascii="Times New Roman" w:hAnsi="Times New Roman" w:cs="Times New Roman"/>
          <w:sz w:val="28"/>
          <w:szCs w:val="28"/>
        </w:rPr>
        <w:t>), Оренбургской (6,1</w:t>
      </w:r>
      <w:r w:rsidR="00000709">
        <w:rPr>
          <w:rFonts w:ascii="Times New Roman" w:hAnsi="Times New Roman" w:cs="Times New Roman"/>
          <w:sz w:val="28"/>
          <w:szCs w:val="28"/>
        </w:rPr>
        <w:t> %</w:t>
      </w:r>
      <w:r w:rsidRPr="005E58C6">
        <w:rPr>
          <w:rFonts w:ascii="Times New Roman" w:hAnsi="Times New Roman" w:cs="Times New Roman"/>
          <w:sz w:val="28"/>
          <w:szCs w:val="28"/>
        </w:rPr>
        <w:t>), Ростовской (7,4</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заключенных и подследственных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Архангельской (13,9</w:t>
      </w:r>
      <w:r w:rsidR="00000709">
        <w:rPr>
          <w:rFonts w:ascii="Times New Roman" w:hAnsi="Times New Roman" w:cs="Times New Roman"/>
          <w:sz w:val="28"/>
          <w:szCs w:val="28"/>
        </w:rPr>
        <w:t> %</w:t>
      </w:r>
      <w:r w:rsidRPr="005E58C6">
        <w:rPr>
          <w:rFonts w:ascii="Times New Roman" w:hAnsi="Times New Roman" w:cs="Times New Roman"/>
          <w:sz w:val="28"/>
          <w:szCs w:val="28"/>
        </w:rPr>
        <w:t>), Кировской (15,1</w:t>
      </w:r>
      <w:r w:rsidR="00000709">
        <w:rPr>
          <w:rFonts w:ascii="Times New Roman" w:hAnsi="Times New Roman" w:cs="Times New Roman"/>
          <w:sz w:val="28"/>
          <w:szCs w:val="28"/>
        </w:rPr>
        <w:t> %</w:t>
      </w:r>
      <w:r w:rsidRPr="005E58C6">
        <w:rPr>
          <w:rFonts w:ascii="Times New Roman" w:hAnsi="Times New Roman" w:cs="Times New Roman"/>
          <w:sz w:val="28"/>
          <w:szCs w:val="28"/>
        </w:rPr>
        <w:t>), Псковской (14,8</w:t>
      </w:r>
      <w:r w:rsidR="00000709">
        <w:rPr>
          <w:rFonts w:ascii="Times New Roman" w:hAnsi="Times New Roman" w:cs="Times New Roman"/>
          <w:sz w:val="28"/>
          <w:szCs w:val="28"/>
        </w:rPr>
        <w:t> %</w:t>
      </w:r>
      <w:r w:rsidRPr="005E58C6">
        <w:rPr>
          <w:rFonts w:ascii="Times New Roman" w:hAnsi="Times New Roman" w:cs="Times New Roman"/>
          <w:sz w:val="28"/>
          <w:szCs w:val="28"/>
        </w:rPr>
        <w:t>), Рязанской (13,4</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республиках Алтай (13,0</w:t>
      </w:r>
      <w:r w:rsidR="00000709">
        <w:rPr>
          <w:rFonts w:ascii="Times New Roman" w:hAnsi="Times New Roman" w:cs="Times New Roman"/>
          <w:sz w:val="28"/>
          <w:szCs w:val="28"/>
        </w:rPr>
        <w:t> %</w:t>
      </w:r>
      <w:r w:rsidRPr="005E58C6">
        <w:rPr>
          <w:rFonts w:ascii="Times New Roman" w:hAnsi="Times New Roman" w:cs="Times New Roman"/>
          <w:sz w:val="28"/>
          <w:szCs w:val="28"/>
        </w:rPr>
        <w:t>), Карелия (16,0</w:t>
      </w:r>
      <w:r w:rsidR="00000709">
        <w:rPr>
          <w:rFonts w:ascii="Times New Roman" w:hAnsi="Times New Roman" w:cs="Times New Roman"/>
          <w:sz w:val="28"/>
          <w:szCs w:val="28"/>
        </w:rPr>
        <w:t> %</w:t>
      </w:r>
      <w:r w:rsidRPr="005E58C6">
        <w:rPr>
          <w:rFonts w:ascii="Times New Roman" w:hAnsi="Times New Roman" w:cs="Times New Roman"/>
          <w:sz w:val="28"/>
          <w:szCs w:val="28"/>
        </w:rPr>
        <w:t>) и Мордовия (19,6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Среди всех пациентов, зарегистрированных как впервые зарегистрированные с туберкулезом в </w:t>
      </w:r>
      <w:r w:rsidR="00181E00">
        <w:rPr>
          <w:rFonts w:ascii="Times New Roman" w:hAnsi="Times New Roman" w:cs="Times New Roman"/>
          <w:sz w:val="28"/>
          <w:szCs w:val="28"/>
        </w:rPr>
        <w:t>г. Москве, постоянные жители г. </w:t>
      </w:r>
      <w:r w:rsidRPr="005E58C6">
        <w:rPr>
          <w:rFonts w:ascii="Times New Roman" w:hAnsi="Times New Roman" w:cs="Times New Roman"/>
          <w:sz w:val="28"/>
          <w:szCs w:val="28"/>
        </w:rPr>
        <w:t>Москвы   составляют менее половины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41,3</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42,2</w:t>
      </w:r>
      <w:r w:rsidR="00000709">
        <w:rPr>
          <w:rFonts w:ascii="Times New Roman" w:hAnsi="Times New Roman" w:cs="Times New Roman"/>
          <w:sz w:val="28"/>
          <w:szCs w:val="28"/>
        </w:rPr>
        <w:t> %</w:t>
      </w:r>
      <w:r w:rsidRPr="005E58C6">
        <w:rPr>
          <w:rFonts w:ascii="Times New Roman" w:hAnsi="Times New Roman" w:cs="Times New Roman"/>
          <w:sz w:val="28"/>
          <w:szCs w:val="28"/>
        </w:rPr>
        <w:t>);  жителей других субъектов Российской Федерации составляли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заболеваемости туберкулезом постоянного населения России снизился на 7,5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41,6 до 38,5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вставших на диспансерный учет по туберкулезу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39,8 до 36,6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Среди постоянных жителей, впервые зарегистрированных и вставших на учет в 2018 году по  туберкулезу, 23,1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имели заболевание, вызванное вирусом иммунодефицита человека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ВИЧ)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20,9</w:t>
      </w:r>
      <w:r w:rsidR="00000709">
        <w:rPr>
          <w:rFonts w:ascii="Times New Roman" w:hAnsi="Times New Roman" w:cs="Times New Roman"/>
          <w:sz w:val="28"/>
          <w:szCs w:val="28"/>
        </w:rPr>
        <w:t> %</w:t>
      </w:r>
      <w:r w:rsidRPr="005E58C6">
        <w:rPr>
          <w:rFonts w:ascii="Times New Roman" w:hAnsi="Times New Roman" w:cs="Times New Roman"/>
          <w:sz w:val="28"/>
          <w:szCs w:val="28"/>
        </w:rPr>
        <w:t>). В 2018 году отмечен рост показателя заболеваемости туберкулезом при сочетании с ВИЧ-инфекцией среди постоянного населения России (вместе с посмертной диагностикой ВИЧ-инфекции):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8,6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8,4;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4,4.</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местах лишения свободы также растет доля инфицированных ВИЧ среди впервые зарегистрированных случаев туберкулеза: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33,3</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34,4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заболеваемость туберкулезом инфицированных ВИЧ   среди постоянного населения   составила 1 764,3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пациентов, что в 58,6 раз больше, чем в среднем по России без учета инфицированных ВИЧ (30,1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Показатель заболеваемости туберкулезом инфицированных ВИЧ меняется несущественно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1 845,2), в то</w:t>
      </w:r>
      <w:r w:rsidR="00757202">
        <w:rPr>
          <w:rFonts w:ascii="Times New Roman" w:hAnsi="Times New Roman" w:cs="Times New Roman"/>
          <w:sz w:val="28"/>
          <w:szCs w:val="28"/>
        </w:rPr>
        <w:t xml:space="preserve"> же время </w:t>
      </w:r>
      <w:r w:rsidRPr="005E58C6">
        <w:rPr>
          <w:rFonts w:ascii="Times New Roman" w:hAnsi="Times New Roman" w:cs="Times New Roman"/>
          <w:sz w:val="28"/>
          <w:szCs w:val="28"/>
        </w:rPr>
        <w:t>растет разница с показателями заболеваемости туберкулезом населения, которое не инфицировано ВИЧ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62,4; разница в 29,6 раз).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показатели заболеваемости туберкулезом инфицированных ВИЧ существенное влияние оказывает общая эпидемическая ситуация по туберкулезу в </w:t>
      </w:r>
      <w:r w:rsidR="00757202">
        <w:rPr>
          <w:rFonts w:ascii="Times New Roman" w:hAnsi="Times New Roman" w:cs="Times New Roman"/>
          <w:sz w:val="28"/>
          <w:szCs w:val="28"/>
        </w:rPr>
        <w:t>регионе</w:t>
      </w:r>
      <w:r w:rsidRPr="005E58C6">
        <w:rPr>
          <w:rFonts w:ascii="Times New Roman" w:hAnsi="Times New Roman" w:cs="Times New Roman"/>
          <w:sz w:val="28"/>
          <w:szCs w:val="28"/>
        </w:rPr>
        <w:t>, пораженность населения туберкулезом, уровень инфицированности населения микобактериями туберкулеза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МБТ). Наиболее низкие уровни заболеваемости туберкулезом инфицированных ВИЧ среди постоянного населения в 2018 г</w:t>
      </w:r>
      <w:r w:rsidR="00181E00">
        <w:rPr>
          <w:rFonts w:ascii="Times New Roman" w:hAnsi="Times New Roman" w:cs="Times New Roman"/>
          <w:sz w:val="28"/>
          <w:szCs w:val="28"/>
        </w:rPr>
        <w:t>оду в Центральном (954,6 на 100 тыс.</w:t>
      </w:r>
      <w:r w:rsidRPr="005E58C6">
        <w:rPr>
          <w:rFonts w:ascii="Times New Roman" w:hAnsi="Times New Roman" w:cs="Times New Roman"/>
          <w:sz w:val="28"/>
          <w:szCs w:val="28"/>
        </w:rPr>
        <w:t xml:space="preserve"> инфицированных ВИЧ) и Северо-Западном (864,9) федеральных округах России, а самые высокие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Сибирском</w:t>
      </w:r>
      <w:r w:rsidR="00181E00">
        <w:rPr>
          <w:rFonts w:ascii="Times New Roman" w:hAnsi="Times New Roman" w:cs="Times New Roman"/>
          <w:sz w:val="28"/>
          <w:szCs w:val="28"/>
        </w:rPr>
        <w:t xml:space="preserve"> (2 916,0) и Дальневосточном (1 </w:t>
      </w:r>
      <w:r w:rsidRPr="005E58C6">
        <w:rPr>
          <w:rFonts w:ascii="Times New Roman" w:hAnsi="Times New Roman" w:cs="Times New Roman"/>
          <w:sz w:val="28"/>
          <w:szCs w:val="28"/>
        </w:rPr>
        <w:t>959,2) федеральных округах, как и среди населения, не инфицированного ВИЧ: Центральный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19,1; Северо-Западный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19,7; Сибирский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49,7; Дальневосточный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58,5 на 100 000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Практически все впервые выявленные пациенты с диагнозом «туберкулез»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95,8</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95,3</w:t>
      </w:r>
      <w:r w:rsidR="00000709">
        <w:rPr>
          <w:rFonts w:ascii="Times New Roman" w:hAnsi="Times New Roman" w:cs="Times New Roman"/>
          <w:sz w:val="28"/>
          <w:szCs w:val="28"/>
        </w:rPr>
        <w:t> %</w:t>
      </w:r>
      <w:r w:rsidRPr="005E58C6">
        <w:rPr>
          <w:rFonts w:ascii="Times New Roman" w:hAnsi="Times New Roman" w:cs="Times New Roman"/>
          <w:sz w:val="28"/>
          <w:szCs w:val="28"/>
        </w:rPr>
        <w:t>) и большая часть пациентов</w:t>
      </w:r>
      <w:r w:rsidR="00757202">
        <w:rPr>
          <w:rFonts w:ascii="Times New Roman" w:hAnsi="Times New Roman" w:cs="Times New Roman"/>
          <w:sz w:val="28"/>
          <w:szCs w:val="28"/>
        </w:rPr>
        <w:t xml:space="preserve"> с активным туберкулезом</w:t>
      </w:r>
      <w:r w:rsidRPr="005E58C6">
        <w:rPr>
          <w:rFonts w:ascii="Times New Roman" w:hAnsi="Times New Roman" w:cs="Times New Roman"/>
          <w:sz w:val="28"/>
          <w:szCs w:val="28"/>
        </w:rPr>
        <w:t>, которые наблюдались в медицинских организациях, оказывающих   противотуберкулезную  помощь</w:t>
      </w:r>
      <w:r w:rsidR="00757202">
        <w:rPr>
          <w:rFonts w:ascii="Times New Roman" w:hAnsi="Times New Roman" w:cs="Times New Roman"/>
          <w:sz w:val="28"/>
          <w:szCs w:val="28"/>
        </w:rPr>
        <w:t>,</w:t>
      </w:r>
      <w:r w:rsidRPr="005E58C6">
        <w:rPr>
          <w:rFonts w:ascii="Times New Roman" w:hAnsi="Times New Roman" w:cs="Times New Roman"/>
          <w:sz w:val="28"/>
          <w:szCs w:val="28"/>
        </w:rPr>
        <w:t xml:space="preserve"> </w:t>
      </w:r>
      <w:r w:rsidR="00757202">
        <w:rPr>
          <w:rFonts w:ascii="Times New Roman" w:hAnsi="Times New Roman" w:cs="Times New Roman"/>
          <w:sz w:val="28"/>
          <w:szCs w:val="28"/>
        </w:rPr>
        <w:t xml:space="preserve"> </w:t>
      </w:r>
      <w:r w:rsidRPr="005E58C6">
        <w:rPr>
          <w:rFonts w:ascii="Times New Roman" w:hAnsi="Times New Roman" w:cs="Times New Roman"/>
          <w:sz w:val="28"/>
          <w:szCs w:val="28"/>
        </w:rPr>
        <w:t>на окончание года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85,7</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85,0</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757202">
        <w:rPr>
          <w:rFonts w:ascii="Times New Roman" w:hAnsi="Times New Roman" w:cs="Times New Roman"/>
          <w:sz w:val="28"/>
          <w:szCs w:val="28"/>
        </w:rPr>
        <w:t xml:space="preserve"> </w:t>
      </w:r>
      <w:r w:rsidRPr="005E58C6">
        <w:rPr>
          <w:rFonts w:ascii="Times New Roman" w:hAnsi="Times New Roman" w:cs="Times New Roman"/>
          <w:sz w:val="28"/>
          <w:szCs w:val="28"/>
        </w:rPr>
        <w:t xml:space="preserve"> были обследованы на антитела к ВИЧ.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показателя общей заболеваемости туберкулезом происходит на фоне улучшения организации профилактических осмотров на туберкулез и снижения доли запущенных форм туберкулеза среди впервые выявленных пациентов: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охват профилактическими осмотрами на туберкулез всего населения всеми методами составил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71,3</w:t>
      </w:r>
      <w:r w:rsidR="00000709">
        <w:rPr>
          <w:rFonts w:ascii="Times New Roman" w:hAnsi="Times New Roman" w:cs="Times New Roman"/>
          <w:sz w:val="28"/>
          <w:szCs w:val="28"/>
        </w:rPr>
        <w:t> %</w:t>
      </w:r>
      <w:r w:rsidRPr="005E58C6">
        <w:rPr>
          <w:rFonts w:ascii="Times New Roman" w:hAnsi="Times New Roman" w:cs="Times New Roman"/>
          <w:sz w:val="28"/>
          <w:szCs w:val="28"/>
        </w:rPr>
        <w:t>); детей в возрасте 0-14 лет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86,5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84,9</w:t>
      </w:r>
      <w:r w:rsidR="00000709">
        <w:rPr>
          <w:rFonts w:ascii="Times New Roman" w:hAnsi="Times New Roman" w:cs="Times New Roman"/>
          <w:sz w:val="28"/>
          <w:szCs w:val="28"/>
        </w:rPr>
        <w:t> %</w:t>
      </w:r>
      <w:r w:rsidRPr="005E58C6">
        <w:rPr>
          <w:rFonts w:ascii="Times New Roman" w:hAnsi="Times New Roman" w:cs="Times New Roman"/>
          <w:sz w:val="28"/>
          <w:szCs w:val="28"/>
        </w:rPr>
        <w:t>); подростков и взрослых флюорографией органов грудной клетки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67,3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65,0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Не </w:t>
      </w:r>
      <w:r w:rsidRPr="005E58C6">
        <w:rPr>
          <w:rFonts w:ascii="Times New Roman" w:hAnsi="Times New Roman" w:cs="Times New Roman"/>
          <w:sz w:val="28"/>
          <w:szCs w:val="28"/>
        </w:rPr>
        <w:lastRenderedPageBreak/>
        <w:t>учтены лица, осмотренные с профилактической целью в медицинских организациях, не относящихся к системе Минздрава России (иные ведомства, частная медицина);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доля посмертной диагностики туберкулеза составила 1,7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w:t>
      </w:r>
      <w:r w:rsidR="00000709">
        <w:rPr>
          <w:rFonts w:ascii="Times New Roman" w:hAnsi="Times New Roman" w:cs="Times New Roman"/>
          <w:sz w:val="28"/>
          <w:szCs w:val="28"/>
        </w:rPr>
        <w:t> %</w:t>
      </w:r>
      <w:r w:rsidRPr="005E58C6">
        <w:rPr>
          <w:rFonts w:ascii="Times New Roman" w:hAnsi="Times New Roman" w:cs="Times New Roman"/>
          <w:sz w:val="28"/>
          <w:szCs w:val="28"/>
        </w:rPr>
        <w:t>), одногодичная летальность вставших на диспансерный учет больных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уменьшилась доля пациентов, выявленных с распадом легочной ткани при туберкулезе легких</w:t>
      </w:r>
      <w:r w:rsidR="00757202">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до 41,8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42,3</w:t>
      </w:r>
      <w:r w:rsidR="00000709">
        <w:rPr>
          <w:rFonts w:ascii="Times New Roman" w:hAnsi="Times New Roman" w:cs="Times New Roman"/>
          <w:sz w:val="28"/>
          <w:szCs w:val="28"/>
        </w:rPr>
        <w:t> %</w:t>
      </w:r>
      <w:r w:rsidRPr="005E58C6">
        <w:rPr>
          <w:rFonts w:ascii="Times New Roman" w:hAnsi="Times New Roman" w:cs="Times New Roman"/>
          <w:sz w:val="28"/>
          <w:szCs w:val="28"/>
        </w:rPr>
        <w:t>;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51,6</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фиброзно-кавернозного туберкулеза по отношению ко всем впервые зарегистрированным пациентам с туберкулезом легких составила 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w:t>
      </w:r>
      <w:r w:rsidR="00000709">
        <w:rPr>
          <w:rFonts w:ascii="Times New Roman" w:hAnsi="Times New Roman" w:cs="Times New Roman"/>
          <w:sz w:val="28"/>
          <w:szCs w:val="28"/>
        </w:rPr>
        <w:t> %</w:t>
      </w:r>
      <w:r w:rsidRPr="005E58C6">
        <w:rPr>
          <w:rFonts w:ascii="Times New Roman" w:hAnsi="Times New Roman" w:cs="Times New Roman"/>
          <w:sz w:val="28"/>
          <w:szCs w:val="28"/>
        </w:rPr>
        <w:t>); среди пациентов с туберкулезом легких из числа постоянного населения России составила  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рецидивов туберкулеза (повторная заболеваемость) снизился в 2018 году по сравнению с 2017 годом на 3,3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9,0 до 8,7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Среди вставших на учет пациентов преобладают поздние рецидивы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68,1</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67,7</w:t>
      </w:r>
      <w:r w:rsidR="00000709">
        <w:rPr>
          <w:rFonts w:ascii="Times New Roman" w:hAnsi="Times New Roman" w:cs="Times New Roman"/>
          <w:sz w:val="28"/>
          <w:szCs w:val="28"/>
        </w:rPr>
        <w:t> %</w:t>
      </w:r>
      <w:r w:rsidRPr="005E58C6">
        <w:rPr>
          <w:rFonts w:ascii="Times New Roman" w:hAnsi="Times New Roman" w:cs="Times New Roman"/>
          <w:sz w:val="28"/>
          <w:szCs w:val="28"/>
        </w:rPr>
        <w:t>), которые в большинстве случаев являются новым заболеванием, не связанным с первичным туберкулезным процессом.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 сравнению с 2017 годом показатель распространенности туберкулеза (на окончание года) снизился на 7,5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109,8 до 101,6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Показатели (в расчете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общей распространенности туберкулезом в 2018 году колеблются: от 45,8 (Центральный федеральный округ) до 191,2 (Сибирский федеральный округ); от 17,1 (Архангельская область) и 19,8 (Белгородская область) до 512,6 (Республика Тыва) и 526,9 (Чукотский автономный округ).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Среди пациентов с туберкулезом, состоявших на диспансерном наблюдении в противотуберкулезных медицинских организациях   на конец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2018 года, 20,7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имели ВИЧ-инфекцию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18,5</w:t>
      </w:r>
      <w:r w:rsidR="00000709">
        <w:rPr>
          <w:rFonts w:ascii="Times New Roman" w:hAnsi="Times New Roman" w:cs="Times New Roman"/>
          <w:sz w:val="28"/>
          <w:szCs w:val="28"/>
        </w:rPr>
        <w:t> %</w:t>
      </w:r>
      <w:r w:rsidRPr="005E58C6">
        <w:rPr>
          <w:rFonts w:ascii="Times New Roman" w:hAnsi="Times New Roman" w:cs="Times New Roman"/>
          <w:sz w:val="28"/>
          <w:szCs w:val="28"/>
        </w:rPr>
        <w:t>). Сохраняется высокая распространенность сочетания туберкулеза и ВИЧ-инфекции: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21,0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r w:rsidR="00181E00">
        <w:rPr>
          <w:rFonts w:ascii="Times New Roman" w:hAnsi="Times New Roman" w:cs="Times New Roman"/>
          <w:sz w:val="28"/>
          <w:szCs w:val="28"/>
        </w:rPr>
        <w:t xml:space="preserve"> 2017 </w:t>
      </w:r>
      <w:r w:rsidRPr="005E58C6">
        <w:rPr>
          <w:rFonts w:ascii="Times New Roman" w:hAnsi="Times New Roman" w:cs="Times New Roman"/>
          <w:sz w:val="28"/>
          <w:szCs w:val="28"/>
        </w:rPr>
        <w:t>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20,3;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10,2;</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местах лишения свободы растет доля инфицированных ВИЧ среди состоявших на учете больных туберкулезом: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11,5</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26,8</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учреждениях ФСИН среди состоявших на учете </w:t>
      </w:r>
      <w:r w:rsidRPr="005E58C6">
        <w:rPr>
          <w:rFonts w:ascii="Times New Roman" w:hAnsi="Times New Roman" w:cs="Times New Roman"/>
          <w:sz w:val="28"/>
          <w:szCs w:val="28"/>
        </w:rPr>
        <w:lastRenderedPageBreak/>
        <w:t>больных туберкулезом сочетанная патология отмечается чаще, чем среди общего населения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Среди пациентов с туберкулезом, состоявших на  диспансерном наблюдении в противотуберкулезных медицинских организациях на конец 2018 года   больше всего пациентов с сочетанием туберкулеза и ВИЧ-инфекции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ВИЧ-ТБ) в следующих субъектах Российской Федерации: Волгоградская, Иркутская, Кемеровская, Курганская, Ленинградская, Московская, Нижегородская, Новосибирская, Омская, Оренбургская, Ростовская, Самарская, Саратовская, Свердловская, Томская, Ульяновская, Тюменская, Челябинская области, республики Башкортостан,   Крым,   Татарстан, Удмуртия, Ханты-Мансийский автономный округ, Алтайский, Краснодарский, Красноярский, Пермский, Приморский края, городах Москва, и Санкт-Петербург.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этих 30 субъектах Российской Федерации состоит на учете 27 231 пациент  с сочетанной патологией ВИЧ-ТБ, что составляет 88,2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всех больных, зарегистрированных в Российской Федерации (30 862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Распространенность наиболее тяжелой и эпидемиологически опасной формы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фиброзно-кавернозного туберкулеза легких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снизилась в 2018 году по сравнению с 2017 годом на 8,8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10,2 до 9,3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а с 2005 годом  (24,8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или в 2,6 раза.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бациллярности пациентов с туберкулезом (распространенность туберкулеза с бактериовыделением на конец года) снизился в 2018 году по сравнению с 2017 годом на 7,0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46,0 до 42,8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а с 2005 годом (86,4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или в 2,0 раза.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Показатели (в расчете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бациллярности пациентов с туберкулезом в 2018 году колеблются: от 18,5 (Центральный федеральный округ) до 87,0 (Сибирский федеральный округ); от 6,5 (г. Москва) до 279,8 (Республика Тыва).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инвалидности по причине туберкулеза в 2018 году по сравнению с 2017 годом снизился на 8,9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 28,1 до 25,6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а с 2006 года, когда отмечался пик показателя (68,2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снижение инвалидности по туберкулезу произошло в 2,7 раза.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Инвалиды по причине туберкулеза составляют 25,2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больных туберкулезом, состоящих на учете на конец 2018 года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Показатели (в расчете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инвалидности по причине туберкулеза в 2018 году колеблются: от 11,0 (Центральный федеральный округ) до 42,5 (Сибирский федеральный округ); от 0,8 (Белгородская область) до 148,8 (Республика Тыва).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Растет доля обследованных на множественную лекарственную устойчивость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МЛУ) микобактерий туберкулеза к противотуберкулезным препаратам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ПТП) среди впервые выявленных пациентов с туберкулезом органов дыхания: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48,9</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46,4</w:t>
      </w:r>
      <w:r w:rsidR="00000709">
        <w:rPr>
          <w:rFonts w:ascii="Times New Roman" w:hAnsi="Times New Roman" w:cs="Times New Roman"/>
          <w:sz w:val="28"/>
          <w:szCs w:val="28"/>
        </w:rPr>
        <w:t> %</w:t>
      </w:r>
      <w:r w:rsidRPr="005E58C6">
        <w:rPr>
          <w:rFonts w:ascii="Times New Roman" w:hAnsi="Times New Roman" w:cs="Times New Roman"/>
          <w:sz w:val="28"/>
          <w:szCs w:val="28"/>
        </w:rPr>
        <w:t>;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36,9</w:t>
      </w:r>
      <w:r w:rsidR="00000709">
        <w:rPr>
          <w:rFonts w:ascii="Times New Roman" w:hAnsi="Times New Roman" w:cs="Times New Roman"/>
          <w:sz w:val="28"/>
          <w:szCs w:val="28"/>
        </w:rPr>
        <w:t> %</w:t>
      </w:r>
      <w:r w:rsidRPr="005E58C6">
        <w:rPr>
          <w:rFonts w:ascii="Times New Roman" w:hAnsi="Times New Roman" w:cs="Times New Roman"/>
          <w:sz w:val="28"/>
          <w:szCs w:val="28"/>
        </w:rPr>
        <w:t>) и среди состоящих на диспансерном наблюдении по туберкулезу на окончание года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41,7</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40,0</w:t>
      </w:r>
      <w:r w:rsidR="00000709">
        <w:rPr>
          <w:rFonts w:ascii="Times New Roman" w:hAnsi="Times New Roman" w:cs="Times New Roman"/>
          <w:sz w:val="28"/>
          <w:szCs w:val="28"/>
        </w:rPr>
        <w:t> %</w:t>
      </w:r>
      <w:r w:rsidRPr="005E58C6">
        <w:rPr>
          <w:rFonts w:ascii="Times New Roman" w:hAnsi="Times New Roman" w:cs="Times New Roman"/>
          <w:sz w:val="28"/>
          <w:szCs w:val="28"/>
        </w:rPr>
        <w:t>;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улучшением бактериологической диагностики связан рост показателя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соотношение бактериовыделителей и деструктивных форм при впервые выявленном туберкулезе органов дыхания: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1,12;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1,32;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1,38.</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не отмечен существенный рост заболеваемости туберкулеза с МЛУ к ПТП среди вставших на учет пациентов: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4,0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Продолжается рост доли пациентов с МЛУ к ПТП среди пациентов с туберкулезом органов дыхания, выделяющих МБТ: соответственно 13,0</w:t>
      </w:r>
      <w:r w:rsidR="00000709">
        <w:rPr>
          <w:rFonts w:ascii="Times New Roman" w:hAnsi="Times New Roman" w:cs="Times New Roman"/>
          <w:sz w:val="28"/>
          <w:szCs w:val="28"/>
        </w:rPr>
        <w:t> %</w:t>
      </w:r>
      <w:r w:rsidRPr="005E58C6">
        <w:rPr>
          <w:rFonts w:ascii="Times New Roman" w:hAnsi="Times New Roman" w:cs="Times New Roman"/>
          <w:sz w:val="28"/>
          <w:szCs w:val="28"/>
        </w:rPr>
        <w:t>; 27,4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29,3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стабилизировалась распространенность МЛУ к ПТП среди контингентов, состоящих на учете на окончание года: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23,6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24,7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При этом продолжается рост доли пациентов с МЛУ к ПТП среди пациентов с туберкулезом органов дыхания, выделяющих МБТ: соответственно 55,3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54,0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Существенно не изменилось влияние хирургических методов на излечение туберкулеза. В 2018 году прооперировано 7,2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с туберкулезом органов дыхания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6,9</w:t>
      </w:r>
      <w:r w:rsidR="00000709">
        <w:rPr>
          <w:rFonts w:ascii="Times New Roman" w:hAnsi="Times New Roman" w:cs="Times New Roman"/>
          <w:sz w:val="28"/>
          <w:szCs w:val="28"/>
        </w:rPr>
        <w:t> %</w:t>
      </w:r>
      <w:r w:rsidRPr="005E58C6">
        <w:rPr>
          <w:rFonts w:ascii="Times New Roman" w:hAnsi="Times New Roman" w:cs="Times New Roman"/>
          <w:sz w:val="28"/>
          <w:szCs w:val="28"/>
        </w:rPr>
        <w:t>) и 10,9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с фиброзно-кавернозным туберкулезом легких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к 12 месяцам лечения впервые выявленных пациентов с туберкулезом органов дыхания полости распада закрылись в 61,4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случаев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62,9</w:t>
      </w:r>
      <w:r w:rsidR="00000709">
        <w:rPr>
          <w:rFonts w:ascii="Times New Roman" w:hAnsi="Times New Roman" w:cs="Times New Roman"/>
          <w:sz w:val="28"/>
          <w:szCs w:val="28"/>
        </w:rPr>
        <w:t> %</w:t>
      </w:r>
      <w:r w:rsidRPr="005E58C6">
        <w:rPr>
          <w:rFonts w:ascii="Times New Roman" w:hAnsi="Times New Roman" w:cs="Times New Roman"/>
          <w:sz w:val="28"/>
          <w:szCs w:val="28"/>
        </w:rPr>
        <w:t>;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56,0</w:t>
      </w:r>
      <w:r w:rsidR="00000709">
        <w:rPr>
          <w:rFonts w:ascii="Times New Roman" w:hAnsi="Times New Roman" w:cs="Times New Roman"/>
          <w:sz w:val="28"/>
          <w:szCs w:val="28"/>
        </w:rPr>
        <w:t> %</w:t>
      </w:r>
      <w:r w:rsidRPr="005E58C6">
        <w:rPr>
          <w:rFonts w:ascii="Times New Roman" w:hAnsi="Times New Roman" w:cs="Times New Roman"/>
          <w:sz w:val="28"/>
          <w:szCs w:val="28"/>
        </w:rPr>
        <w:t>), бактериовыделение прекратилось у 69,5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70,7</w:t>
      </w:r>
      <w:r w:rsidR="00000709">
        <w:rPr>
          <w:rFonts w:ascii="Times New Roman" w:hAnsi="Times New Roman" w:cs="Times New Roman"/>
          <w:sz w:val="28"/>
          <w:szCs w:val="28"/>
        </w:rPr>
        <w:t> %</w:t>
      </w:r>
      <w:r w:rsidRPr="005E58C6">
        <w:rPr>
          <w:rFonts w:ascii="Times New Roman" w:hAnsi="Times New Roman" w:cs="Times New Roman"/>
          <w:sz w:val="28"/>
          <w:szCs w:val="28"/>
        </w:rPr>
        <w:t>;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65,4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 Результаты лечения больных с рецидивами улучшаются, но меньшими темпами, чем при первичном туберкулезном процессе: к 12 месяцам лечения полости распада закрылись в 2018 году в 43,4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случаев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44,1</w:t>
      </w:r>
      <w:r w:rsidR="00000709">
        <w:rPr>
          <w:rFonts w:ascii="Times New Roman" w:hAnsi="Times New Roman" w:cs="Times New Roman"/>
          <w:sz w:val="28"/>
          <w:szCs w:val="28"/>
        </w:rPr>
        <w:t> %</w:t>
      </w:r>
      <w:r w:rsidRPr="005E58C6">
        <w:rPr>
          <w:rFonts w:ascii="Times New Roman" w:hAnsi="Times New Roman" w:cs="Times New Roman"/>
          <w:sz w:val="28"/>
          <w:szCs w:val="28"/>
        </w:rPr>
        <w:t>;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35,7</w:t>
      </w:r>
      <w:r w:rsidR="00000709">
        <w:rPr>
          <w:rFonts w:ascii="Times New Roman" w:hAnsi="Times New Roman" w:cs="Times New Roman"/>
          <w:sz w:val="28"/>
          <w:szCs w:val="28"/>
        </w:rPr>
        <w:t> %</w:t>
      </w:r>
      <w:r w:rsidRPr="005E58C6">
        <w:rPr>
          <w:rFonts w:ascii="Times New Roman" w:hAnsi="Times New Roman" w:cs="Times New Roman"/>
          <w:sz w:val="28"/>
          <w:szCs w:val="28"/>
        </w:rPr>
        <w:t>;), бактериовыделение прекратилось у 50,9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пациентов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51,8</w:t>
      </w:r>
      <w:r w:rsidR="00000709">
        <w:rPr>
          <w:rFonts w:ascii="Times New Roman" w:hAnsi="Times New Roman" w:cs="Times New Roman"/>
          <w:sz w:val="28"/>
          <w:szCs w:val="28"/>
        </w:rPr>
        <w:t> %</w:t>
      </w:r>
      <w:r w:rsidRPr="005E58C6">
        <w:rPr>
          <w:rFonts w:ascii="Times New Roman" w:hAnsi="Times New Roman" w:cs="Times New Roman"/>
          <w:sz w:val="28"/>
          <w:szCs w:val="28"/>
        </w:rPr>
        <w:t>;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43,5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Показатели клинического излечения туберкулеза достигли в 2018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37,3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38,2</w:t>
      </w:r>
      <w:r w:rsidR="00000709">
        <w:rPr>
          <w:rFonts w:ascii="Times New Roman" w:hAnsi="Times New Roman" w:cs="Times New Roman"/>
          <w:sz w:val="28"/>
          <w:szCs w:val="28"/>
        </w:rPr>
        <w:t> %</w:t>
      </w:r>
      <w:r w:rsidRPr="005E58C6">
        <w:rPr>
          <w:rFonts w:ascii="Times New Roman" w:hAnsi="Times New Roman" w:cs="Times New Roman"/>
          <w:sz w:val="28"/>
          <w:szCs w:val="28"/>
        </w:rPr>
        <w:t>;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28,5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Существенно выросли показатели абациллирования среди контингентов пациентов, выделявших МБТ: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30,8</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51,5</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51,3</w:t>
      </w:r>
      <w:r w:rsidR="00000709">
        <w:rPr>
          <w:rFonts w:ascii="Times New Roman" w:hAnsi="Times New Roman" w:cs="Times New Roman"/>
          <w:sz w:val="28"/>
          <w:szCs w:val="28"/>
        </w:rPr>
        <w:t> %</w:t>
      </w:r>
      <w:r w:rsidRPr="005E58C6">
        <w:rPr>
          <w:rFonts w:ascii="Times New Roman" w:hAnsi="Times New Roman" w:cs="Times New Roman"/>
          <w:sz w:val="28"/>
          <w:szCs w:val="28"/>
        </w:rPr>
        <w:t>. Улучшился показатель абациллирования при МЛУ больных туберкулезом: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5,7</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28,7</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31,1</w:t>
      </w:r>
      <w:r w:rsidR="00000709">
        <w:rPr>
          <w:rFonts w:ascii="Times New Roman" w:hAnsi="Times New Roman" w:cs="Times New Roman"/>
          <w:sz w:val="28"/>
          <w:szCs w:val="28"/>
        </w:rPr>
        <w:t> %</w:t>
      </w:r>
      <w:r w:rsidRPr="005E58C6">
        <w:rPr>
          <w:rFonts w:ascii="Times New Roman" w:hAnsi="Times New Roman" w:cs="Times New Roman"/>
          <w:sz w:val="28"/>
          <w:szCs w:val="28"/>
        </w:rPr>
        <w:t>,  что является результатлм выделения средств федерального бюджета на приобретение дорогостоящих ПТП резервного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Наблюдается стабилизация показателя летальности состоявших на диспансерном учете пациентов с туберкулезом, который не изменился по сравнению с 2017 годом и составил 13,3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(2012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11,6</w:t>
      </w:r>
      <w:r w:rsidR="00000709">
        <w:rPr>
          <w:rFonts w:ascii="Times New Roman" w:hAnsi="Times New Roman" w:cs="Times New Roman"/>
          <w:sz w:val="28"/>
          <w:szCs w:val="28"/>
        </w:rPr>
        <w:t> %</w:t>
      </w:r>
      <w:r w:rsidRPr="005E58C6">
        <w:rPr>
          <w:rFonts w:ascii="Times New Roman" w:hAnsi="Times New Roman" w:cs="Times New Roman"/>
          <w:sz w:val="28"/>
          <w:szCs w:val="28"/>
        </w:rPr>
        <w:t>). При этом в структуре летальности   сокращается доля пациентов, причиной смерти которых был туберкулез: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56,3</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31,8</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30,7</w:t>
      </w:r>
      <w:r w:rsidR="00000709">
        <w:rPr>
          <w:rFonts w:ascii="Times New Roman" w:hAnsi="Times New Roman" w:cs="Times New Roman"/>
          <w:sz w:val="28"/>
          <w:szCs w:val="28"/>
        </w:rPr>
        <w:t> %</w:t>
      </w:r>
      <w:r w:rsidRPr="005E58C6">
        <w:rPr>
          <w:rFonts w:ascii="Times New Roman" w:hAnsi="Times New Roman" w:cs="Times New Roman"/>
          <w:sz w:val="28"/>
          <w:szCs w:val="28"/>
        </w:rPr>
        <w:t>. Среди умерших по разных причинам пациентов с туберкулезом, состоявших на учете, были инфицированы ВИЧ: 2009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11,7</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37,4</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39,0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Летальность в туберкулезном стационаре для взрослых в 2018 г. составила в целом по России 6,1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6,3</w:t>
      </w:r>
      <w:r w:rsidR="00000709">
        <w:rPr>
          <w:rFonts w:ascii="Times New Roman" w:hAnsi="Times New Roman" w:cs="Times New Roman"/>
          <w:sz w:val="28"/>
          <w:szCs w:val="28"/>
        </w:rPr>
        <w:t> %</w:t>
      </w:r>
      <w:r w:rsidRPr="005E58C6">
        <w:rPr>
          <w:rFonts w:ascii="Times New Roman" w:hAnsi="Times New Roman" w:cs="Times New Roman"/>
          <w:sz w:val="28"/>
          <w:szCs w:val="28"/>
        </w:rPr>
        <w:t>). В туберкулезных стационарах для детей умерло 5 детей (2005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 детей,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 детей).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Летальность пациентов с туберкулезом органов дыхания в стационарах России сокращается: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3,4</w:t>
      </w:r>
      <w:r w:rsidR="00000709">
        <w:rPr>
          <w:rFonts w:ascii="Times New Roman" w:hAnsi="Times New Roman" w:cs="Times New Roman"/>
          <w:sz w:val="28"/>
          <w:szCs w:val="28"/>
        </w:rPr>
        <w:t> %</w:t>
      </w:r>
      <w:r w:rsidRPr="005E58C6">
        <w:rPr>
          <w:rFonts w:ascii="Times New Roman" w:hAnsi="Times New Roman" w:cs="Times New Roman"/>
          <w:sz w:val="28"/>
          <w:szCs w:val="28"/>
        </w:rPr>
        <w:t>. Растет доля проведенных вскрытий по отношению к умершим пациентам: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81,9</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86,7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Доля расхождения диагноза от числа проведенных вскрытий при выписке из стационаров при туберкулезе органов дыхания находится примерно на одном уровне: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3,6</w:t>
      </w:r>
      <w:r w:rsidR="00000709">
        <w:rPr>
          <w:rFonts w:ascii="Times New Roman" w:hAnsi="Times New Roman" w:cs="Times New Roman"/>
          <w:sz w:val="28"/>
          <w:szCs w:val="28"/>
        </w:rPr>
        <w:t> %</w:t>
      </w:r>
      <w:r w:rsidRPr="005E58C6">
        <w:rPr>
          <w:rFonts w:ascii="Times New Roman" w:hAnsi="Times New Roman" w:cs="Times New Roman"/>
          <w:sz w:val="28"/>
          <w:szCs w:val="28"/>
        </w:rPr>
        <w:t>; 2018 год –3,5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Сохраняется  низкой доля привитых вакциной Кальметта-Герена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БЦЖ) в роддомах России: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89,1</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81,4</w:t>
      </w:r>
      <w:r w:rsidR="00000709">
        <w:rPr>
          <w:rFonts w:ascii="Times New Roman" w:hAnsi="Times New Roman" w:cs="Times New Roman"/>
          <w:sz w:val="28"/>
          <w:szCs w:val="28"/>
        </w:rPr>
        <w:t> %</w:t>
      </w:r>
      <w:r w:rsidRPr="005E58C6">
        <w:rPr>
          <w:rFonts w:ascii="Times New Roman" w:hAnsi="Times New Roman" w:cs="Times New Roman"/>
          <w:sz w:val="28"/>
          <w:szCs w:val="28"/>
        </w:rPr>
        <w:t>;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81,8</w:t>
      </w:r>
      <w:r w:rsidR="00000709">
        <w:rPr>
          <w:rFonts w:ascii="Times New Roman" w:hAnsi="Times New Roman" w:cs="Times New Roman"/>
          <w:sz w:val="28"/>
          <w:szCs w:val="28"/>
        </w:rPr>
        <w:t> %</w:t>
      </w:r>
      <w:r w:rsidRPr="005E58C6">
        <w:rPr>
          <w:rFonts w:ascii="Times New Roman" w:hAnsi="Times New Roman" w:cs="Times New Roman"/>
          <w:sz w:val="28"/>
          <w:szCs w:val="28"/>
        </w:rPr>
        <w:t>. Одна из причин сокращения доли привитых вакциной БЦЖ детей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рост доли детей, родившихся от матерей с ВИЧ-инфекцией: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2013-2015 годы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0,8</w:t>
      </w:r>
      <w:r w:rsidR="00000709">
        <w:rPr>
          <w:rFonts w:ascii="Times New Roman" w:hAnsi="Times New Roman" w:cs="Times New Roman"/>
          <w:sz w:val="28"/>
          <w:szCs w:val="28"/>
        </w:rPr>
        <w:t> %</w:t>
      </w:r>
      <w:r w:rsidRPr="005E58C6">
        <w:rPr>
          <w:rFonts w:ascii="Times New Roman" w:hAnsi="Times New Roman" w:cs="Times New Roman"/>
          <w:sz w:val="28"/>
          <w:szCs w:val="28"/>
        </w:rPr>
        <w:t>; 2016-2018 годы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всех родившихся живыми детей.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часто ВИЧ-инфекцию имели родившие женщины в Иркутской (2,6</w:t>
      </w:r>
      <w:r w:rsidR="00000709">
        <w:rPr>
          <w:rFonts w:ascii="Times New Roman" w:hAnsi="Times New Roman" w:cs="Times New Roman"/>
          <w:sz w:val="28"/>
          <w:szCs w:val="28"/>
        </w:rPr>
        <w:t> %</w:t>
      </w:r>
      <w:r w:rsidRPr="005E58C6">
        <w:rPr>
          <w:rFonts w:ascii="Times New Roman" w:hAnsi="Times New Roman" w:cs="Times New Roman"/>
          <w:sz w:val="28"/>
          <w:szCs w:val="28"/>
        </w:rPr>
        <w:t>), Кемеровской (2,6</w:t>
      </w:r>
      <w:r w:rsidR="00000709">
        <w:rPr>
          <w:rFonts w:ascii="Times New Roman" w:hAnsi="Times New Roman" w:cs="Times New Roman"/>
          <w:sz w:val="28"/>
          <w:szCs w:val="28"/>
        </w:rPr>
        <w:t> %</w:t>
      </w:r>
      <w:r w:rsidRPr="005E58C6">
        <w:rPr>
          <w:rFonts w:ascii="Times New Roman" w:hAnsi="Times New Roman" w:cs="Times New Roman"/>
          <w:sz w:val="28"/>
          <w:szCs w:val="28"/>
        </w:rPr>
        <w:t>), Оренбургской (1,9</w:t>
      </w:r>
      <w:r w:rsidR="00000709">
        <w:rPr>
          <w:rFonts w:ascii="Times New Roman" w:hAnsi="Times New Roman" w:cs="Times New Roman"/>
          <w:sz w:val="28"/>
          <w:szCs w:val="28"/>
        </w:rPr>
        <w:t> %</w:t>
      </w:r>
      <w:r w:rsidRPr="005E58C6">
        <w:rPr>
          <w:rFonts w:ascii="Times New Roman" w:hAnsi="Times New Roman" w:cs="Times New Roman"/>
          <w:sz w:val="28"/>
          <w:szCs w:val="28"/>
        </w:rPr>
        <w:t>), Самарской (2,3</w:t>
      </w:r>
      <w:r w:rsidR="00000709">
        <w:rPr>
          <w:rFonts w:ascii="Times New Roman" w:hAnsi="Times New Roman" w:cs="Times New Roman"/>
          <w:sz w:val="28"/>
          <w:szCs w:val="28"/>
        </w:rPr>
        <w:t> %</w:t>
      </w:r>
      <w:r w:rsidRPr="005E58C6">
        <w:rPr>
          <w:rFonts w:ascii="Times New Roman" w:hAnsi="Times New Roman" w:cs="Times New Roman"/>
          <w:sz w:val="28"/>
          <w:szCs w:val="28"/>
        </w:rPr>
        <w:t>) и Свердловской (2,7</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Алтайском (1,8</w:t>
      </w:r>
      <w:r w:rsidR="00000709">
        <w:rPr>
          <w:rFonts w:ascii="Times New Roman" w:hAnsi="Times New Roman" w:cs="Times New Roman"/>
          <w:sz w:val="28"/>
          <w:szCs w:val="28"/>
        </w:rPr>
        <w:t> %</w:t>
      </w:r>
      <w:r w:rsidRPr="005E58C6">
        <w:rPr>
          <w:rFonts w:ascii="Times New Roman" w:hAnsi="Times New Roman" w:cs="Times New Roman"/>
          <w:sz w:val="28"/>
          <w:szCs w:val="28"/>
        </w:rPr>
        <w:t>) и Пермском (1,9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краях.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Всего число детей в возрасте 0-14 лет, взятых на учет с поствакцинальными осложнениями по всем группам диспансерного учета, существенно сократилось: 2005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947 детей,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139 детей, 2018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149 детей. За 2005-2018 годы число поствакцинальных осложнений сократилось в 6,4 раза.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Таким образом, в России улучшается эпидемическая ситуация по туберкулезу, о чем говорит динамика основных эпидемиологических показателей по туберкулезу. </w:t>
      </w:r>
      <w:r w:rsidR="0081736E">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Среди постоянного населения 85 субъектов Российской Федерации наиболее </w:t>
      </w:r>
      <w:r w:rsidR="0081736E">
        <w:rPr>
          <w:rFonts w:ascii="Times New Roman" w:hAnsi="Times New Roman" w:cs="Times New Roman"/>
          <w:sz w:val="28"/>
          <w:szCs w:val="28"/>
        </w:rPr>
        <w:t xml:space="preserve">сложная </w:t>
      </w:r>
      <w:r w:rsidRPr="005E58C6">
        <w:rPr>
          <w:rFonts w:ascii="Times New Roman" w:hAnsi="Times New Roman" w:cs="Times New Roman"/>
          <w:sz w:val="28"/>
          <w:szCs w:val="28"/>
        </w:rPr>
        <w:t>эпидемическая ситуация по туберкулезу: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Центральный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Смоленская область (54 ранговое место), Тверская область (50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Северо-Западный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Псковская область (47 ранговое место), республика Коми (37 ранговое место);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Южный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Республика Калмыкия (64 ранговое место), Астраханская область (69 ранговое место), Волгоградская область (71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Северо-Кавказский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Республика Ингушетия (42 ранговое место), Кабардино-Балкарская Республика (58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Приволжский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Оренбургская область (67 ранговое место), Самарская область (62 ранговое место), Ульяновская область (59 ранговое место), Пермский край (73-74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Уральский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Курганская область (78 ранговое место), Свердловская область (75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Сибирский федеральный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Иркутская область (81 ранговое место), Кемеровская область (73-74 ранговое место), Новосибирская область (80 ранговое место), Алтайский край (78 ранговое место), Красноярский край (76 ранговое место), Республика Алтай (72 ранговое место), Республика Тыва (85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Дальневосточный федеральный округ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Амурская область (77 ранговое место), Приморский край (82 ранговое место), Еврейская автономная область (83 ранговое место), Чукотский автономный округ (84 ранговое место).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w:t>
      </w:r>
    </w:p>
    <w:p w:rsid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w:t>
      </w: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181E00" w:rsidRDefault="00181E00"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181E00" w:rsidRPr="005E58C6" w:rsidRDefault="00181E00" w:rsidP="005E58C6">
      <w:pPr>
        <w:widowControl w:val="0"/>
        <w:spacing w:after="0" w:line="312" w:lineRule="auto"/>
        <w:ind w:firstLine="709"/>
        <w:jc w:val="both"/>
        <w:rPr>
          <w:rFonts w:ascii="Times New Roman" w:hAnsi="Times New Roman" w:cs="Times New Roman"/>
          <w:sz w:val="28"/>
          <w:szCs w:val="28"/>
        </w:rPr>
      </w:pPr>
    </w:p>
    <w:p w:rsidR="005E58C6" w:rsidRPr="00181E00" w:rsidRDefault="005E58C6" w:rsidP="005E58C6">
      <w:pPr>
        <w:widowControl w:val="0"/>
        <w:spacing w:after="0" w:line="312" w:lineRule="auto"/>
        <w:ind w:firstLine="709"/>
        <w:jc w:val="both"/>
        <w:rPr>
          <w:rFonts w:ascii="Times New Roman" w:hAnsi="Times New Roman" w:cs="Times New Roman"/>
          <w:b/>
          <w:sz w:val="28"/>
          <w:szCs w:val="28"/>
        </w:rPr>
      </w:pPr>
      <w:r w:rsidRPr="00181E00">
        <w:rPr>
          <w:rFonts w:ascii="Times New Roman" w:hAnsi="Times New Roman" w:cs="Times New Roman"/>
          <w:b/>
          <w:sz w:val="28"/>
          <w:szCs w:val="28"/>
        </w:rPr>
        <w:lastRenderedPageBreak/>
        <w:t>Раздел 4. Реализация программы государственных гарантий бесплатного оказания гражданам медицинской помощи, в том числе с участием медицинских организаций частной системы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обеспечения конституционных прав граждан Российской Федерации на бесплатное оказание медицинской помощи постановлением Правительства Российской Федерации от 8 декабря 2017 г. </w:t>
      </w:r>
      <w:r>
        <w:rPr>
          <w:rFonts w:ascii="Times New Roman" w:hAnsi="Times New Roman" w:cs="Times New Roman"/>
          <w:sz w:val="28"/>
          <w:szCs w:val="28"/>
        </w:rPr>
        <w:t>№ </w:t>
      </w:r>
      <w:r w:rsidRPr="005E58C6">
        <w:rPr>
          <w:rFonts w:ascii="Times New Roman" w:hAnsi="Times New Roman" w:cs="Times New Roman"/>
          <w:sz w:val="28"/>
          <w:szCs w:val="28"/>
        </w:rPr>
        <w:t>1492 утверждена Программа государственных гарантий бесплатного оказания гражданам медицинской помощи на 2018 год и на плановый период 2019 и 2020 годов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Программа государственных гарантий).</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Программой государственных гарантий на 2018 год  определены 2 основных приоритета: дальнейшее развитие медицинской помощи по профилям «онкология» и «медицинская реабилитация».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Для пациентов с онкологическими заболеваниями сокращен предельный срок ожидания оказания специализированной медицинской помощи до 14  календарных дней с момента установления диагноза заболевания.</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профилю «медицинская реабилитация» предусмотрено существенное увеличение нормативов объема и финансовых затрат на единицу объема медицинской реабилитации в стационарных условиях в 2018 году по сравнению с 2017 годом (по объему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23,1</w:t>
      </w:r>
      <w:r w:rsidR="00000709">
        <w:rPr>
          <w:rFonts w:ascii="Times New Roman" w:hAnsi="Times New Roman" w:cs="Times New Roman"/>
          <w:sz w:val="28"/>
          <w:szCs w:val="28"/>
        </w:rPr>
        <w:t> %</w:t>
      </w:r>
      <w:r w:rsidRPr="005E58C6">
        <w:rPr>
          <w:rFonts w:ascii="Times New Roman" w:hAnsi="Times New Roman" w:cs="Times New Roman"/>
          <w:sz w:val="28"/>
          <w:szCs w:val="28"/>
        </w:rPr>
        <w:t>; по стоимости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40,7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Программой на 2018 год предусмотрено, что транспортировка пациентов, страдающих хронической почечной недостаточностью, до места получения медицинской помощи методом заместительной почечной терапии  и обратно может осуществляться за счет бюджетных ассигнований бюджетов субъектов Российской Федерации.</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повышения доступности высокотехнологичной медицинской помощи в 2018 году в базовую программу ОМС включено дополнительно 6  методов высокотехнологичной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Программой на 2018 год установлен новый способ финансирования медицинских организаций: по подушевому нормативу финансирования на прикрепившихся к медицинской организации лиц для оплаты медицинской помощи в амбулаторных, стационарных условиях и в условиях дневного стационара, то есть по всем видам и условиям предоставляемой медицинской организацией медицинской помощи с учетом показателей результативности </w:t>
      </w:r>
      <w:r w:rsidRPr="005E58C6">
        <w:rPr>
          <w:rFonts w:ascii="Times New Roman" w:hAnsi="Times New Roman" w:cs="Times New Roman"/>
          <w:sz w:val="28"/>
          <w:szCs w:val="28"/>
        </w:rPr>
        <w:lastRenderedPageBreak/>
        <w:t>ее деятельности (включая показатели объема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Реализация территориальных программ государственных гарантий бесплатного оказания гражданам медицинской помощи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территориальные программы) в субъектах Российской Федерации в 2018 году осуществлялась в соответствии с Программой государственных гарантий.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Расходы на реализацию территориальных программ в 2018 году (без учета средств федерального бюджета) составили 2 584,2 млрд рублей, что на 18,8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выше соответствующих расходов 2017 года (2 175,4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Расходы   бюджетных ассигнований  субъектов Российской  Федерации (без учета межбюджетных трансфертов, передаваемых в систему обязательного медицинского страхования) в 2018 году составили 632,1 млрд рублей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545,9  млрд рублей), средства обязательного медицинского страхования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1 952,1 млрд рублей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1 629,5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61 субъекте Российской Федерации сохранялся дефицит финансового обеспечения территориальных программ за счет бюджетных ассигнований консолидированных бюджетов субъектов Российской Федерации, который составил 103,8 млрд рублей (28,6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потребности в бюджетных ассигнованиях бюджетов субъектов Российской Федерации, рассчитанной в соответствии с установленными на 2018 год федеральными нормативами).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Наибольший размер дефицита финансового обеспечения территориальных программ за счет бюджетных ассигнований бюджетов субъектов Российской Федерации (более 50,0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потребности) в 2018 году имели 12 субъектов Российской Федерации: Республика Марий-Эл (71,0</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 Дагестан (67,3</w:t>
      </w:r>
      <w:r w:rsidR="00000709">
        <w:rPr>
          <w:rFonts w:ascii="Times New Roman" w:hAnsi="Times New Roman" w:cs="Times New Roman"/>
          <w:sz w:val="28"/>
          <w:szCs w:val="28"/>
        </w:rPr>
        <w:t> %</w:t>
      </w:r>
      <w:r w:rsidRPr="005E58C6">
        <w:rPr>
          <w:rFonts w:ascii="Times New Roman" w:hAnsi="Times New Roman" w:cs="Times New Roman"/>
          <w:sz w:val="28"/>
          <w:szCs w:val="28"/>
        </w:rPr>
        <w:t>), Карачаево-Черкесская Республика (62,7</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 Ингушетия (62,6</w:t>
      </w:r>
      <w:r w:rsidR="00000709">
        <w:rPr>
          <w:rFonts w:ascii="Times New Roman" w:hAnsi="Times New Roman" w:cs="Times New Roman"/>
          <w:sz w:val="28"/>
          <w:szCs w:val="28"/>
        </w:rPr>
        <w:t> %</w:t>
      </w:r>
      <w:r w:rsidRPr="005E58C6">
        <w:rPr>
          <w:rFonts w:ascii="Times New Roman" w:hAnsi="Times New Roman" w:cs="Times New Roman"/>
          <w:sz w:val="28"/>
          <w:szCs w:val="28"/>
        </w:rPr>
        <w:t>),  Забайкальский край (61,6</w:t>
      </w:r>
      <w:r w:rsidR="00000709">
        <w:rPr>
          <w:rFonts w:ascii="Times New Roman" w:hAnsi="Times New Roman" w:cs="Times New Roman"/>
          <w:sz w:val="28"/>
          <w:szCs w:val="28"/>
        </w:rPr>
        <w:t> %</w:t>
      </w:r>
      <w:r w:rsidRPr="005E58C6">
        <w:rPr>
          <w:rFonts w:ascii="Times New Roman" w:hAnsi="Times New Roman" w:cs="Times New Roman"/>
          <w:sz w:val="28"/>
          <w:szCs w:val="28"/>
        </w:rPr>
        <w:t>), Саратовская область (57,6</w:t>
      </w:r>
      <w:r w:rsidR="00000709">
        <w:rPr>
          <w:rFonts w:ascii="Times New Roman" w:hAnsi="Times New Roman" w:cs="Times New Roman"/>
          <w:sz w:val="28"/>
          <w:szCs w:val="28"/>
        </w:rPr>
        <w:t> %</w:t>
      </w:r>
      <w:r w:rsidRPr="005E58C6">
        <w:rPr>
          <w:rFonts w:ascii="Times New Roman" w:hAnsi="Times New Roman" w:cs="Times New Roman"/>
          <w:sz w:val="28"/>
          <w:szCs w:val="28"/>
        </w:rPr>
        <w:t>), Астраханская область (56,1</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 Алтай (55,9</w:t>
      </w:r>
      <w:r w:rsidR="00000709">
        <w:rPr>
          <w:rFonts w:ascii="Times New Roman" w:hAnsi="Times New Roman" w:cs="Times New Roman"/>
          <w:sz w:val="28"/>
          <w:szCs w:val="28"/>
        </w:rPr>
        <w:t> %</w:t>
      </w:r>
      <w:r w:rsidRPr="005E58C6">
        <w:rPr>
          <w:rFonts w:ascii="Times New Roman" w:hAnsi="Times New Roman" w:cs="Times New Roman"/>
          <w:sz w:val="28"/>
          <w:szCs w:val="28"/>
        </w:rPr>
        <w:t>), Кировская область (55,9</w:t>
      </w:r>
      <w:r w:rsidR="00000709">
        <w:rPr>
          <w:rFonts w:ascii="Times New Roman" w:hAnsi="Times New Roman" w:cs="Times New Roman"/>
          <w:sz w:val="28"/>
          <w:szCs w:val="28"/>
        </w:rPr>
        <w:t> %</w:t>
      </w:r>
      <w:r w:rsidRPr="005E58C6">
        <w:rPr>
          <w:rFonts w:ascii="Times New Roman" w:hAnsi="Times New Roman" w:cs="Times New Roman"/>
          <w:sz w:val="28"/>
          <w:szCs w:val="28"/>
        </w:rPr>
        <w:t>), Тамбовская область (52,8</w:t>
      </w:r>
      <w:r w:rsidR="00000709">
        <w:rPr>
          <w:rFonts w:ascii="Times New Roman" w:hAnsi="Times New Roman" w:cs="Times New Roman"/>
          <w:sz w:val="28"/>
          <w:szCs w:val="28"/>
        </w:rPr>
        <w:t> %</w:t>
      </w:r>
      <w:r w:rsidRPr="005E58C6">
        <w:rPr>
          <w:rFonts w:ascii="Times New Roman" w:hAnsi="Times New Roman" w:cs="Times New Roman"/>
          <w:sz w:val="28"/>
          <w:szCs w:val="28"/>
        </w:rPr>
        <w:t>), Кабардино-Балкарская Республика (52,2</w:t>
      </w:r>
      <w:r w:rsidR="00000709">
        <w:rPr>
          <w:rFonts w:ascii="Times New Roman" w:hAnsi="Times New Roman" w:cs="Times New Roman"/>
          <w:sz w:val="28"/>
          <w:szCs w:val="28"/>
        </w:rPr>
        <w:t> %</w:t>
      </w:r>
      <w:r w:rsidRPr="005E58C6">
        <w:rPr>
          <w:rFonts w:ascii="Times New Roman" w:hAnsi="Times New Roman" w:cs="Times New Roman"/>
          <w:sz w:val="28"/>
          <w:szCs w:val="28"/>
        </w:rPr>
        <w:t>), Амурская область (52,1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Территориальные программы в 2018 году являлись бездефицитными в 24  субъектах Российской Федерации: республиках Коми, Крым, Саха (Якутия); Камчатском и Краснодарском краях; Белгородской, Владимирской, Калужской, Ленинградской, Московской, Свердловской, Тверской, Тульской, </w:t>
      </w:r>
      <w:r w:rsidRPr="005E58C6">
        <w:rPr>
          <w:rFonts w:ascii="Times New Roman" w:hAnsi="Times New Roman" w:cs="Times New Roman"/>
          <w:sz w:val="28"/>
          <w:szCs w:val="28"/>
        </w:rPr>
        <w:lastRenderedPageBreak/>
        <w:t>Ярославской, Магаданской, Сахалинской, Тюменской областях; городах Москве, Санкт-Петербурге, Севастополе; Ненецком, Ханты-Мансийском, Ямало-Ненецком, Чукотском автономных округах.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Утвержденная стоимость территориальных программ обязательного медицинского страхования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ОМС) в целом по Российской Федерации в 2018 году составила 1 953,5 млрд рублей, не включая затраты на обеспечение выполнения территориальными фондами обязательного медицинского страхования своих функций.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Фактические расходы на реализацию территориальных программ ОМС (включая затраты на обеспечение выполнения территориальными фондами обязательного медицинского страхования своих функций) составили 1 913,9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Уровень исполнения территориальных программ обязательного медицинского страхования в части оплаты оказанной медицинской помощи     (не включены затраты на обеспечение выполнения территориальными фондами обязательного медицинского страхования своих функций и ведение дела страховыми медицинскими организациями) в целом по Российской Федерации в 2018 году составил 97,3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их утвержденной стоимости. </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3  субъектах Российской Федерации и в г. Байконуре указанный показатель составил менее 90</w:t>
      </w:r>
      <w:r w:rsidR="00000709">
        <w:rPr>
          <w:rFonts w:ascii="Times New Roman" w:hAnsi="Times New Roman" w:cs="Times New Roman"/>
          <w:sz w:val="28"/>
          <w:szCs w:val="28"/>
        </w:rPr>
        <w:t> %</w:t>
      </w:r>
      <w:r w:rsidRPr="005E58C6">
        <w:rPr>
          <w:rFonts w:ascii="Times New Roman" w:hAnsi="Times New Roman" w:cs="Times New Roman"/>
          <w:sz w:val="28"/>
          <w:szCs w:val="28"/>
        </w:rPr>
        <w:t>, при этом наименьшее исполнение выявлено в г. Байконуре (80,2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Финансовое обеспечение территориальных программ ОМС в отчетном году осуществлялось за счет субвенций Федерального фонда обязательного медицинского страхования, межбюджетных трансфертов</w:t>
      </w:r>
      <w:r w:rsidR="0081736E">
        <w:rPr>
          <w:rFonts w:ascii="Times New Roman" w:hAnsi="Times New Roman" w:cs="Times New Roman"/>
          <w:sz w:val="28"/>
          <w:szCs w:val="28"/>
        </w:rPr>
        <w:t xml:space="preserve"> из</w:t>
      </w:r>
      <w:r w:rsidRPr="005E58C6">
        <w:rPr>
          <w:rFonts w:ascii="Times New Roman" w:hAnsi="Times New Roman" w:cs="Times New Roman"/>
          <w:sz w:val="28"/>
          <w:szCs w:val="28"/>
        </w:rPr>
        <w:t xml:space="preserve"> бюджетов субъектов Российской Федерации и прочих поступлений.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общий размер предоставленных из бюджета Федерального фонда обязательного медицинского страхования средств на финансовое обеспечение территориальных программ ОМС составил 1 870,5 млрд рублей (95,8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утвержденной стоимости территориальных программ ОМС</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1 953,5 млрд рублей), в том числе в виде субвенций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1 856,9 млрд. рублей, которые являлись основным источником финансового обеспечения территориальных программ ОМС.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Размер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определялся исходя из </w:t>
      </w:r>
      <w:r w:rsidRPr="005E58C6">
        <w:rPr>
          <w:rFonts w:ascii="Times New Roman" w:hAnsi="Times New Roman" w:cs="Times New Roman"/>
          <w:sz w:val="28"/>
          <w:szCs w:val="28"/>
        </w:rPr>
        <w:lastRenderedPageBreak/>
        <w:t>численности застрахованных лиц, норматива финансового обеспечения базовой программы ОМС, установленного в Программе государственных гарантий, и коэффициентов дифференциации, рассчитываемых в целях учета спецификации субъектов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счет субвенции Федерального фонда обязательного медицинского страхования оказывались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включенных в базовую программу ОМС.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Фактические расходы средств ОМС на реализацию территориальных программ ОМС в части оплаты оказанной медицинской помощи (без учета средств на обеспечение выполнения территориальными фондами обязательного медицинского страхования своих функций и ведение дела страховыми медицинскими организациями)  в расчете на 1 застрахованное лицо составили 12 982,8 рублей, без учета влияния коэффициентов дифференциации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10 985,3 рублей, что на 1,6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выше установленного Программой государственных гарантий подушевого норматива финансирования (10 812,7 рублей).</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Фактические расходы средств ОМС на реализацию территориальных программ ОМС в части оплаты оказанной медицинской помощи в расчете на 1</w:t>
      </w:r>
      <w:r w:rsidR="00181E00">
        <w:rPr>
          <w:rFonts w:ascii="Times New Roman" w:hAnsi="Times New Roman" w:cs="Times New Roman"/>
          <w:sz w:val="28"/>
          <w:szCs w:val="28"/>
        </w:rPr>
        <w:t> </w:t>
      </w:r>
      <w:r w:rsidRPr="005E58C6">
        <w:rPr>
          <w:rFonts w:ascii="Times New Roman" w:hAnsi="Times New Roman" w:cs="Times New Roman"/>
          <w:sz w:val="28"/>
          <w:szCs w:val="28"/>
        </w:rPr>
        <w:t xml:space="preserve">застрахованное лицо в 66 субъектах Российской Федерации и в </w:t>
      </w:r>
      <w:r w:rsidR="00181E00">
        <w:rPr>
          <w:rFonts w:ascii="Times New Roman" w:hAnsi="Times New Roman" w:cs="Times New Roman"/>
          <w:sz w:val="28"/>
          <w:szCs w:val="28"/>
        </w:rPr>
        <w:t>г. </w:t>
      </w:r>
      <w:r w:rsidRPr="005E58C6">
        <w:rPr>
          <w:rFonts w:ascii="Times New Roman" w:hAnsi="Times New Roman" w:cs="Times New Roman"/>
          <w:sz w:val="28"/>
          <w:szCs w:val="28"/>
        </w:rPr>
        <w:t>Байконуре не достигли величины установленного Программой госгарантий норматива. Наименьший уровень указанных расходов отмечен: в Республике Калмыкии (-18,0</w:t>
      </w:r>
      <w:r w:rsidR="00000709">
        <w:rPr>
          <w:rFonts w:ascii="Times New Roman" w:hAnsi="Times New Roman" w:cs="Times New Roman"/>
          <w:sz w:val="28"/>
          <w:szCs w:val="28"/>
        </w:rPr>
        <w:t> %</w:t>
      </w:r>
      <w:r w:rsidRPr="005E58C6">
        <w:rPr>
          <w:rFonts w:ascii="Times New Roman" w:hAnsi="Times New Roman" w:cs="Times New Roman"/>
          <w:sz w:val="28"/>
          <w:szCs w:val="28"/>
        </w:rPr>
        <w:t>), Карачаево-Черкесской Республике (-10,6</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 (-12,6</w:t>
      </w:r>
      <w:r w:rsidR="00000709">
        <w:rPr>
          <w:rFonts w:ascii="Times New Roman" w:hAnsi="Times New Roman" w:cs="Times New Roman"/>
          <w:sz w:val="28"/>
          <w:szCs w:val="28"/>
        </w:rPr>
        <w:t> %</w:t>
      </w:r>
      <w:r w:rsidRPr="005E58C6">
        <w:rPr>
          <w:rFonts w:ascii="Times New Roman" w:hAnsi="Times New Roman" w:cs="Times New Roman"/>
          <w:sz w:val="28"/>
          <w:szCs w:val="28"/>
        </w:rPr>
        <w:t>), Новгородской (-14,2</w:t>
      </w:r>
      <w:r w:rsidR="00000709">
        <w:rPr>
          <w:rFonts w:ascii="Times New Roman" w:hAnsi="Times New Roman" w:cs="Times New Roman"/>
          <w:sz w:val="28"/>
          <w:szCs w:val="28"/>
        </w:rPr>
        <w:t> %</w:t>
      </w:r>
      <w:r w:rsidRPr="005E58C6">
        <w:rPr>
          <w:rFonts w:ascii="Times New Roman" w:hAnsi="Times New Roman" w:cs="Times New Roman"/>
          <w:sz w:val="28"/>
          <w:szCs w:val="28"/>
        </w:rPr>
        <w:t>), Тульской (-10,1</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г. Байконуре (-23,3</w:t>
      </w:r>
      <w:r w:rsidR="00000709">
        <w:rPr>
          <w:rFonts w:ascii="Times New Roman" w:hAnsi="Times New Roman" w:cs="Times New Roman"/>
          <w:sz w:val="28"/>
          <w:szCs w:val="28"/>
        </w:rPr>
        <w:t> %</w:t>
      </w:r>
      <w:r w:rsidRPr="005E58C6">
        <w:rPr>
          <w:rFonts w:ascii="Times New Roman" w:hAnsi="Times New Roman" w:cs="Times New Roman"/>
          <w:sz w:val="28"/>
          <w:szCs w:val="28"/>
        </w:rPr>
        <w:t>); наибольший: в Чукотском (+40,8</w:t>
      </w:r>
      <w:r w:rsidR="00000709">
        <w:rPr>
          <w:rFonts w:ascii="Times New Roman" w:hAnsi="Times New Roman" w:cs="Times New Roman"/>
          <w:sz w:val="28"/>
          <w:szCs w:val="28"/>
        </w:rPr>
        <w:t> %</w:t>
      </w:r>
      <w:r w:rsidRPr="005E58C6">
        <w:rPr>
          <w:rFonts w:ascii="Times New Roman" w:hAnsi="Times New Roman" w:cs="Times New Roman"/>
          <w:sz w:val="28"/>
          <w:szCs w:val="28"/>
        </w:rPr>
        <w:t>),   Ямало-Ненецком (+27,8</w:t>
      </w:r>
      <w:r w:rsidR="00000709">
        <w:rPr>
          <w:rFonts w:ascii="Times New Roman" w:hAnsi="Times New Roman" w:cs="Times New Roman"/>
          <w:sz w:val="28"/>
          <w:szCs w:val="28"/>
        </w:rPr>
        <w:t> %</w:t>
      </w:r>
      <w:r w:rsidRPr="005E58C6">
        <w:rPr>
          <w:rFonts w:ascii="Times New Roman" w:hAnsi="Times New Roman" w:cs="Times New Roman"/>
          <w:sz w:val="28"/>
          <w:szCs w:val="28"/>
        </w:rPr>
        <w:t>) автономных округах, Ленинградской (+24,3</w:t>
      </w:r>
      <w:r w:rsidR="00000709">
        <w:rPr>
          <w:rFonts w:ascii="Times New Roman" w:hAnsi="Times New Roman" w:cs="Times New Roman"/>
          <w:sz w:val="28"/>
          <w:szCs w:val="28"/>
        </w:rPr>
        <w:t> %</w:t>
      </w:r>
      <w:r w:rsidRPr="005E58C6">
        <w:rPr>
          <w:rFonts w:ascii="Times New Roman" w:hAnsi="Times New Roman" w:cs="Times New Roman"/>
          <w:sz w:val="28"/>
          <w:szCs w:val="28"/>
        </w:rPr>
        <w:t>), Тюменской (+20,2</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(+52,5</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в г.</w:t>
      </w:r>
      <w:r w:rsidR="00181E00">
        <w:rPr>
          <w:rFonts w:ascii="Times New Roman" w:hAnsi="Times New Roman" w:cs="Times New Roman"/>
          <w:sz w:val="28"/>
          <w:szCs w:val="28"/>
        </w:rPr>
        <w:t> </w:t>
      </w:r>
      <w:r w:rsidRPr="005E58C6">
        <w:rPr>
          <w:rFonts w:ascii="Times New Roman" w:hAnsi="Times New Roman" w:cs="Times New Roman"/>
          <w:sz w:val="28"/>
          <w:szCs w:val="28"/>
        </w:rPr>
        <w:t>Санкт-Петербурге (+26,3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181E00" w:rsidRDefault="005E58C6" w:rsidP="005E58C6">
      <w:pPr>
        <w:widowControl w:val="0"/>
        <w:spacing w:after="0" w:line="312" w:lineRule="auto"/>
        <w:ind w:firstLine="709"/>
        <w:jc w:val="both"/>
        <w:rPr>
          <w:rFonts w:ascii="Times New Roman" w:hAnsi="Times New Roman" w:cs="Times New Roman"/>
          <w:i/>
          <w:sz w:val="28"/>
          <w:szCs w:val="28"/>
        </w:rPr>
      </w:pPr>
      <w:r w:rsidRPr="00181E00">
        <w:rPr>
          <w:rFonts w:ascii="Times New Roman" w:hAnsi="Times New Roman" w:cs="Times New Roman"/>
          <w:i/>
          <w:sz w:val="28"/>
          <w:szCs w:val="28"/>
        </w:rPr>
        <w:t>Реализация территориальных программ обязательного медицинского страхования по видам и условиям оказания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Средние нормативы объема медицинской помощи по видам и условиям </w:t>
      </w:r>
      <w:r w:rsidRPr="005E58C6">
        <w:rPr>
          <w:rFonts w:ascii="Times New Roman" w:hAnsi="Times New Roman" w:cs="Times New Roman"/>
          <w:sz w:val="28"/>
          <w:szCs w:val="28"/>
        </w:rPr>
        <w:lastRenderedPageBreak/>
        <w:t>ее оказания и их фактическая реализация в рамках территориальных программ ОМС, отражены в табл. 4.1.</w:t>
      </w:r>
    </w:p>
    <w:p w:rsidR="005E58C6" w:rsidRPr="005E58C6" w:rsidRDefault="005E58C6" w:rsidP="00181E00">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t xml:space="preserve">     Таблица 4.1.</w:t>
      </w:r>
    </w:p>
    <w:p w:rsidR="005E58C6" w:rsidRPr="00181E00" w:rsidRDefault="005E58C6" w:rsidP="00181E00">
      <w:pPr>
        <w:widowControl w:val="0"/>
        <w:spacing w:after="0" w:line="240" w:lineRule="auto"/>
        <w:jc w:val="center"/>
        <w:rPr>
          <w:rFonts w:ascii="Times New Roman" w:hAnsi="Times New Roman" w:cs="Times New Roman"/>
          <w:b/>
          <w:sz w:val="28"/>
          <w:szCs w:val="28"/>
        </w:rPr>
      </w:pPr>
      <w:r w:rsidRPr="00181E00">
        <w:rPr>
          <w:rFonts w:ascii="Times New Roman" w:hAnsi="Times New Roman" w:cs="Times New Roman"/>
          <w:b/>
          <w:sz w:val="28"/>
          <w:szCs w:val="28"/>
        </w:rPr>
        <w:t>Средние нормативы объема медицинской помощи по видам и</w:t>
      </w:r>
    </w:p>
    <w:p w:rsidR="005E58C6" w:rsidRPr="00181E00" w:rsidRDefault="005E58C6" w:rsidP="00181E00">
      <w:pPr>
        <w:widowControl w:val="0"/>
        <w:spacing w:after="0" w:line="240" w:lineRule="auto"/>
        <w:jc w:val="center"/>
        <w:rPr>
          <w:rFonts w:ascii="Times New Roman" w:hAnsi="Times New Roman" w:cs="Times New Roman"/>
          <w:b/>
          <w:sz w:val="28"/>
          <w:szCs w:val="28"/>
        </w:rPr>
      </w:pPr>
      <w:r w:rsidRPr="00181E00">
        <w:rPr>
          <w:rFonts w:ascii="Times New Roman" w:hAnsi="Times New Roman" w:cs="Times New Roman"/>
          <w:b/>
          <w:sz w:val="28"/>
          <w:szCs w:val="28"/>
        </w:rPr>
        <w:t>условиям ее оказания и их фактическая реализация в рамках</w:t>
      </w:r>
    </w:p>
    <w:p w:rsidR="00181E00" w:rsidRDefault="005E58C6" w:rsidP="00181E00">
      <w:pPr>
        <w:widowControl w:val="0"/>
        <w:spacing w:after="0" w:line="240" w:lineRule="auto"/>
        <w:jc w:val="center"/>
        <w:rPr>
          <w:rFonts w:ascii="Times New Roman" w:hAnsi="Times New Roman" w:cs="Times New Roman"/>
          <w:b/>
          <w:sz w:val="28"/>
          <w:szCs w:val="28"/>
        </w:rPr>
      </w:pPr>
      <w:r w:rsidRPr="00181E00">
        <w:rPr>
          <w:rFonts w:ascii="Times New Roman" w:hAnsi="Times New Roman" w:cs="Times New Roman"/>
          <w:b/>
          <w:sz w:val="28"/>
          <w:szCs w:val="28"/>
        </w:rPr>
        <w:t>территориальных программ обязательного медицинского страхования</w:t>
      </w:r>
    </w:p>
    <w:p w:rsidR="005E58C6" w:rsidRPr="00181E00" w:rsidRDefault="005E58C6" w:rsidP="00181E00">
      <w:pPr>
        <w:widowControl w:val="0"/>
        <w:spacing w:after="0" w:line="240" w:lineRule="auto"/>
        <w:jc w:val="center"/>
        <w:rPr>
          <w:rFonts w:ascii="Times New Roman" w:hAnsi="Times New Roman" w:cs="Times New Roman"/>
          <w:b/>
          <w:sz w:val="28"/>
          <w:szCs w:val="28"/>
        </w:rPr>
      </w:pPr>
      <w:r w:rsidRPr="00181E00">
        <w:rPr>
          <w:rFonts w:ascii="Times New Roman" w:hAnsi="Times New Roman" w:cs="Times New Roman"/>
          <w:b/>
          <w:sz w:val="28"/>
          <w:szCs w:val="28"/>
        </w:rPr>
        <w:t>в 2018 году</w:t>
      </w:r>
    </w:p>
    <w:tbl>
      <w:tblPr>
        <w:tblStyle w:val="a9"/>
        <w:tblW w:w="0" w:type="auto"/>
        <w:tblLook w:val="04A0"/>
      </w:tblPr>
      <w:tblGrid>
        <w:gridCol w:w="1885"/>
        <w:gridCol w:w="2144"/>
        <w:gridCol w:w="1895"/>
        <w:gridCol w:w="1798"/>
        <w:gridCol w:w="1848"/>
      </w:tblGrid>
      <w:tr w:rsidR="00181E00" w:rsidRPr="00595981" w:rsidTr="00DF1213">
        <w:tc>
          <w:tcPr>
            <w:tcW w:w="1900" w:type="dxa"/>
            <w:vMerge w:val="restart"/>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Виды и условия оказания медицинской помощи</w:t>
            </w:r>
          </w:p>
        </w:tc>
        <w:tc>
          <w:tcPr>
            <w:tcW w:w="2042" w:type="dxa"/>
            <w:vMerge w:val="restart"/>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Единица измерения</w:t>
            </w:r>
          </w:p>
        </w:tc>
        <w:tc>
          <w:tcPr>
            <w:tcW w:w="1903" w:type="dxa"/>
            <w:vMerge w:val="restart"/>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Норматив базовой программы обязательного медицинского страхования (на 1 застрахованное лицо)</w:t>
            </w:r>
          </w:p>
        </w:tc>
        <w:tc>
          <w:tcPr>
            <w:tcW w:w="3726" w:type="dxa"/>
            <w:gridSpan w:val="2"/>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Фактический объем медицинской помощи, оказанной за счет средств обязательного медицинского страхования ( на 1 застрахованное лицо)</w:t>
            </w:r>
          </w:p>
        </w:tc>
      </w:tr>
      <w:tr w:rsidR="00181E00" w:rsidRPr="00595981" w:rsidTr="00DF1213">
        <w:tc>
          <w:tcPr>
            <w:tcW w:w="1900" w:type="dxa"/>
            <w:vMerge/>
          </w:tcPr>
          <w:p w:rsidR="00181E00" w:rsidRPr="00595981" w:rsidRDefault="00181E00" w:rsidP="00DF1213">
            <w:pPr>
              <w:jc w:val="center"/>
              <w:rPr>
                <w:rFonts w:ascii="Times New Roman" w:hAnsi="Times New Roman"/>
                <w:b/>
                <w:sz w:val="24"/>
                <w:szCs w:val="24"/>
              </w:rPr>
            </w:pPr>
          </w:p>
        </w:tc>
        <w:tc>
          <w:tcPr>
            <w:tcW w:w="2042" w:type="dxa"/>
            <w:vMerge/>
          </w:tcPr>
          <w:p w:rsidR="00181E00" w:rsidRPr="00595981" w:rsidRDefault="00181E00" w:rsidP="00DF1213">
            <w:pPr>
              <w:jc w:val="center"/>
              <w:rPr>
                <w:rFonts w:ascii="Times New Roman" w:hAnsi="Times New Roman"/>
                <w:b/>
                <w:sz w:val="24"/>
                <w:szCs w:val="24"/>
              </w:rPr>
            </w:pPr>
          </w:p>
        </w:tc>
        <w:tc>
          <w:tcPr>
            <w:tcW w:w="1903" w:type="dxa"/>
            <w:vMerge/>
          </w:tcPr>
          <w:p w:rsidR="00181E00" w:rsidRPr="00595981" w:rsidRDefault="00181E00" w:rsidP="00DF1213">
            <w:pPr>
              <w:jc w:val="center"/>
              <w:rPr>
                <w:rFonts w:ascii="Times New Roman" w:hAnsi="Times New Roman"/>
                <w:b/>
                <w:sz w:val="24"/>
                <w:szCs w:val="24"/>
              </w:rPr>
            </w:pPr>
          </w:p>
        </w:tc>
        <w:tc>
          <w:tcPr>
            <w:tcW w:w="1864"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всего</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 т.ч. в рамках базовой программы обязательного медицинского страхования</w:t>
            </w:r>
          </w:p>
        </w:tc>
      </w:tr>
      <w:tr w:rsidR="00181E00" w:rsidRPr="00595981" w:rsidTr="00DF1213">
        <w:tc>
          <w:tcPr>
            <w:tcW w:w="1900"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Скорая медицинская помощь</w:t>
            </w:r>
          </w:p>
        </w:tc>
        <w:tc>
          <w:tcPr>
            <w:tcW w:w="204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вызов</w:t>
            </w:r>
          </w:p>
        </w:tc>
        <w:tc>
          <w:tcPr>
            <w:tcW w:w="1903"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0,300</w:t>
            </w:r>
          </w:p>
        </w:tc>
        <w:tc>
          <w:tcPr>
            <w:tcW w:w="1864"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0,268</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0,267</w:t>
            </w:r>
          </w:p>
        </w:tc>
      </w:tr>
      <w:tr w:rsidR="00181E00" w:rsidRPr="00595981" w:rsidTr="00DF1213">
        <w:tc>
          <w:tcPr>
            <w:tcW w:w="1900" w:type="dxa"/>
            <w:vMerge w:val="restart"/>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 амбулаторных условиях</w:t>
            </w:r>
          </w:p>
        </w:tc>
        <w:tc>
          <w:tcPr>
            <w:tcW w:w="204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посещение с профилактической целью</w:t>
            </w:r>
          </w:p>
        </w:tc>
        <w:tc>
          <w:tcPr>
            <w:tcW w:w="1903"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2,350</w:t>
            </w:r>
          </w:p>
        </w:tc>
        <w:tc>
          <w:tcPr>
            <w:tcW w:w="1864" w:type="dxa"/>
          </w:tcPr>
          <w:p w:rsidR="00181E00" w:rsidRPr="00595981" w:rsidRDefault="00181E00" w:rsidP="00DF1213">
            <w:pPr>
              <w:jc w:val="center"/>
              <w:rPr>
                <w:rFonts w:ascii="Times New Roman" w:hAnsi="Times New Roman"/>
                <w:sz w:val="24"/>
                <w:szCs w:val="24"/>
              </w:rPr>
            </w:pPr>
            <w:r>
              <w:rPr>
                <w:rFonts w:ascii="Times New Roman" w:hAnsi="Times New Roman"/>
                <w:sz w:val="24"/>
                <w:szCs w:val="24"/>
              </w:rPr>
              <w:t>2,9</w:t>
            </w:r>
            <w:bookmarkStart w:id="0" w:name="_GoBack"/>
            <w:bookmarkEnd w:id="0"/>
            <w:r w:rsidRPr="00595981">
              <w:rPr>
                <w:rFonts w:ascii="Times New Roman" w:hAnsi="Times New Roman"/>
                <w:sz w:val="24"/>
                <w:szCs w:val="24"/>
              </w:rPr>
              <w:t>48</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2,928</w:t>
            </w:r>
          </w:p>
        </w:tc>
      </w:tr>
      <w:tr w:rsidR="00181E00" w:rsidRPr="00595981" w:rsidTr="00DF1213">
        <w:tc>
          <w:tcPr>
            <w:tcW w:w="1900" w:type="dxa"/>
            <w:vMerge/>
          </w:tcPr>
          <w:p w:rsidR="00181E00" w:rsidRPr="00595981" w:rsidRDefault="00181E00" w:rsidP="00DF1213">
            <w:pPr>
              <w:jc w:val="center"/>
              <w:rPr>
                <w:rFonts w:ascii="Times New Roman" w:hAnsi="Times New Roman"/>
                <w:sz w:val="24"/>
                <w:szCs w:val="24"/>
              </w:rPr>
            </w:pPr>
          </w:p>
        </w:tc>
        <w:tc>
          <w:tcPr>
            <w:tcW w:w="204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посещение в неотложной форме</w:t>
            </w:r>
          </w:p>
        </w:tc>
        <w:tc>
          <w:tcPr>
            <w:tcW w:w="1903"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0,560</w:t>
            </w:r>
          </w:p>
        </w:tc>
        <w:tc>
          <w:tcPr>
            <w:tcW w:w="1864"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0,430</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0,43</w:t>
            </w:r>
          </w:p>
        </w:tc>
      </w:tr>
      <w:tr w:rsidR="00181E00" w:rsidRPr="00595981" w:rsidTr="00DF1213">
        <w:tc>
          <w:tcPr>
            <w:tcW w:w="1900" w:type="dxa"/>
            <w:vMerge/>
          </w:tcPr>
          <w:p w:rsidR="00181E00" w:rsidRPr="00595981" w:rsidRDefault="00181E00" w:rsidP="00DF1213">
            <w:pPr>
              <w:jc w:val="center"/>
              <w:rPr>
                <w:rFonts w:ascii="Times New Roman" w:hAnsi="Times New Roman"/>
                <w:sz w:val="24"/>
                <w:szCs w:val="24"/>
              </w:rPr>
            </w:pPr>
          </w:p>
        </w:tc>
        <w:tc>
          <w:tcPr>
            <w:tcW w:w="204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обращение</w:t>
            </w:r>
          </w:p>
        </w:tc>
        <w:tc>
          <w:tcPr>
            <w:tcW w:w="1903"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1,980</w:t>
            </w:r>
          </w:p>
        </w:tc>
        <w:tc>
          <w:tcPr>
            <w:tcW w:w="1864"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1,671</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1,668</w:t>
            </w:r>
          </w:p>
        </w:tc>
      </w:tr>
      <w:tr w:rsidR="00181E00" w:rsidRPr="00595981" w:rsidTr="00DF1213">
        <w:tc>
          <w:tcPr>
            <w:tcW w:w="1900"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 стационарных условиях</w:t>
            </w:r>
          </w:p>
        </w:tc>
        <w:tc>
          <w:tcPr>
            <w:tcW w:w="204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случай госпитализации</w:t>
            </w:r>
          </w:p>
        </w:tc>
        <w:tc>
          <w:tcPr>
            <w:tcW w:w="1903"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0,17235</w:t>
            </w:r>
          </w:p>
        </w:tc>
        <w:tc>
          <w:tcPr>
            <w:tcW w:w="1864"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0,18220</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0,18140</w:t>
            </w:r>
          </w:p>
        </w:tc>
      </w:tr>
      <w:tr w:rsidR="00181E00" w:rsidRPr="00595981" w:rsidTr="00DF1213">
        <w:tc>
          <w:tcPr>
            <w:tcW w:w="1900"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В условиях дневн</w:t>
            </w:r>
            <w:r>
              <w:rPr>
                <w:rFonts w:ascii="Times New Roman" w:hAnsi="Times New Roman"/>
                <w:sz w:val="24"/>
                <w:szCs w:val="24"/>
              </w:rPr>
              <w:t xml:space="preserve">ого </w:t>
            </w:r>
            <w:r w:rsidRPr="00595981">
              <w:rPr>
                <w:rFonts w:ascii="Times New Roman" w:hAnsi="Times New Roman"/>
                <w:sz w:val="24"/>
                <w:szCs w:val="24"/>
              </w:rPr>
              <w:t>стационар</w:t>
            </w:r>
            <w:r>
              <w:rPr>
                <w:rFonts w:ascii="Times New Roman" w:hAnsi="Times New Roman"/>
                <w:sz w:val="24"/>
                <w:szCs w:val="24"/>
              </w:rPr>
              <w:t>а</w:t>
            </w:r>
          </w:p>
        </w:tc>
        <w:tc>
          <w:tcPr>
            <w:tcW w:w="204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случай лечения</w:t>
            </w:r>
          </w:p>
        </w:tc>
        <w:tc>
          <w:tcPr>
            <w:tcW w:w="1903"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0,06</w:t>
            </w:r>
          </w:p>
        </w:tc>
        <w:tc>
          <w:tcPr>
            <w:tcW w:w="1864"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0,059</w:t>
            </w:r>
          </w:p>
        </w:tc>
        <w:tc>
          <w:tcPr>
            <w:tcW w:w="1862" w:type="dxa"/>
          </w:tcPr>
          <w:p w:rsidR="00181E00" w:rsidRPr="00595981" w:rsidRDefault="00181E00" w:rsidP="00DF1213">
            <w:pPr>
              <w:jc w:val="center"/>
              <w:rPr>
                <w:rFonts w:ascii="Times New Roman" w:hAnsi="Times New Roman"/>
                <w:sz w:val="24"/>
                <w:szCs w:val="24"/>
              </w:rPr>
            </w:pPr>
            <w:r w:rsidRPr="00595981">
              <w:rPr>
                <w:rFonts w:ascii="Times New Roman" w:hAnsi="Times New Roman"/>
                <w:sz w:val="24"/>
                <w:szCs w:val="24"/>
              </w:rPr>
              <w:t>0,059</w:t>
            </w:r>
          </w:p>
        </w:tc>
      </w:tr>
    </w:tbl>
    <w:p w:rsidR="00181E00" w:rsidRDefault="00181E00"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среднем по Российской Федерации в рамках реализации территориальных программ ОМС фактические объемы медицинской помощи, оказанной в амбулаторных условиях с профилактической целью и в стационарных условиях, превысили установленные Программой государственных гарантий нормативы. Объемы скорой медицинской помощи, медицинской помощи в амбулаторных условиях в неотложной форме и в связи с заболеваниями, а также медицинской помощи, оказанной в условиях дневного стационара, сложились ниже установленных программой нормативов.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Утвержденный норматив объема скорой медицинской помощи по территориальным программам ОМС составил в целом по Российской Федерации 0,295 вызова в расчете на 1  застрахованное лицо в год, или 98,3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нормативу (0,300 вызова). Фактический показатель сложился на уровне 0,268 вызова (89,3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и 90,8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утвержденному значению показателя).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30 субъектах Российской Федерации фактические показатели объема скорой медицинской помощи сложились ниже установленного Программой государственных гарантий норматива. Наименьшие объемы скорой медицинской помощи от установленного Программой государственных гарантий норматива оказаны  в Новгородской области (54,9</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автономном округе (56,5</w:t>
      </w:r>
      <w:r w:rsidR="00000709">
        <w:rPr>
          <w:rFonts w:ascii="Times New Roman" w:hAnsi="Times New Roman" w:cs="Times New Roman"/>
          <w:sz w:val="28"/>
          <w:szCs w:val="28"/>
        </w:rPr>
        <w:t> %</w:t>
      </w:r>
      <w:r w:rsidRPr="005E58C6">
        <w:rPr>
          <w:rFonts w:ascii="Times New Roman" w:hAnsi="Times New Roman" w:cs="Times New Roman"/>
          <w:sz w:val="28"/>
          <w:szCs w:val="28"/>
        </w:rPr>
        <w:t>); наибольшие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Хабаровском крае (105,0</w:t>
      </w:r>
      <w:r w:rsidR="00000709">
        <w:rPr>
          <w:rFonts w:ascii="Times New Roman" w:hAnsi="Times New Roman" w:cs="Times New Roman"/>
          <w:sz w:val="28"/>
          <w:szCs w:val="28"/>
        </w:rPr>
        <w:t> %</w:t>
      </w:r>
      <w:r w:rsidRPr="005E58C6">
        <w:rPr>
          <w:rFonts w:ascii="Times New Roman" w:hAnsi="Times New Roman" w:cs="Times New Roman"/>
          <w:sz w:val="28"/>
          <w:szCs w:val="28"/>
        </w:rPr>
        <w:t>), Новосибирской области (104,8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Утвержденный показатель объема медицинской помощи в амбулаторных условиях, оказываемой с профилактической целью (включая разовые посещения по поводу заболевания), составил в целом по Российской Федерации 2,391 посещение в расчете на 1 застрахованное лицо в год, или 101,7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нормативу, установленному Программой государственных гарантий (2,350 посещения). Фактический показатель</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2,948 посещения (125,4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и 123,3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утвержденному значению показателя).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61 субъекте Российской Федерации фактические объемы медицинской помощи с профилактической целью выше или соответствуют установленному Программой государственных гарантий показателю. Наибольшее превышение (более чем в 2 раза) фактических объемов медицинской помощи над установленными Программой государственных гарантий нормативов отмечено в: Кемеровской Кировской, Магаданской, Свердловской  областях, Чукотском автономном округе. Наименьшие фактические показатели объемов медицинской помощи с профилактической целью от установленного Программой государственных гарантий  норматива сложились в: городах Москве (88,4</w:t>
      </w:r>
      <w:r w:rsidR="00000709">
        <w:rPr>
          <w:rFonts w:ascii="Times New Roman" w:hAnsi="Times New Roman" w:cs="Times New Roman"/>
          <w:sz w:val="28"/>
          <w:szCs w:val="28"/>
        </w:rPr>
        <w:t> %</w:t>
      </w:r>
      <w:r w:rsidRPr="005E58C6">
        <w:rPr>
          <w:rFonts w:ascii="Times New Roman" w:hAnsi="Times New Roman" w:cs="Times New Roman"/>
          <w:sz w:val="28"/>
          <w:szCs w:val="28"/>
        </w:rPr>
        <w:t>) и Байконуре (66,2</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Крым (89,9</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 (74,0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Утвержденный показатель объема медицинской помощи в амбулаторных условиях в неотложной форме составил в целом по </w:t>
      </w:r>
      <w:r w:rsidRPr="005E58C6">
        <w:rPr>
          <w:rFonts w:ascii="Times New Roman" w:hAnsi="Times New Roman" w:cs="Times New Roman"/>
          <w:sz w:val="28"/>
          <w:szCs w:val="28"/>
        </w:rPr>
        <w:lastRenderedPageBreak/>
        <w:t>Российской Федерации 0,528 посещения в расчете на 1 застрахованное лицо в год или 94,3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среднему нормативу, установленному Программой государственных гарантий  (0,560 посещения). Фактический показатель сложился на уровне 0,430 посещения (76,7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и 81,4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утвержденному территориальному нормативу).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Лишь в 13 субъектах Российской Федерации (Вологодской, Воронежской, Тамбовской, Томской и Тюменской областях, республиках Башкортостан, Марий Эл и Татарстан,  Чувашской Республике, Красноярском, Пермском и Хабаровском краях, Ханты-Мансийском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Югре) фактические объемы медицинской помощи в неотложной форме сложились на уровне, превышающим установленной программой норматив.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Наименьшие фактические объемы медицинской помощи в неотложной форме отмечены: в  г. Байконуре (29,3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 г. Москве (32,0</w:t>
      </w:r>
      <w:r w:rsidR="00000709">
        <w:rPr>
          <w:rFonts w:ascii="Times New Roman" w:hAnsi="Times New Roman" w:cs="Times New Roman"/>
          <w:sz w:val="28"/>
          <w:szCs w:val="28"/>
        </w:rPr>
        <w:t> %</w:t>
      </w:r>
      <w:r w:rsidRPr="005E58C6">
        <w:rPr>
          <w:rFonts w:ascii="Times New Roman" w:hAnsi="Times New Roman" w:cs="Times New Roman"/>
          <w:sz w:val="28"/>
          <w:szCs w:val="28"/>
        </w:rPr>
        <w:t>),   Челябинской области (39,2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Утвержденный показатель объема медицинской помощи в амбулаторных условиях в связи с заболеванием составил в целом по Российской Федерации 2,002 обращения в расчете на 1 застрахованное лицо в год или 101,1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среднему нормативу, установленному Программой  государственных гарантий (1,980 обращения). Фактический показатель сложился на уровне 1,671 обращения (84,4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и 83,5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утвержденному значению показателя).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9 субъектах Российской Федерации фактические показатели объема медицинской помощи в связи с заболеванием выше или соответствуют установленному Программой государственных гарантий показателю. Наименьшие объемы медицинской помощи в связи с заболеваниями оказаны в Республике Крым (31,2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 в Калининградской (38,9</w:t>
      </w:r>
      <w:r w:rsidR="00000709">
        <w:rPr>
          <w:rFonts w:ascii="Times New Roman" w:hAnsi="Times New Roman" w:cs="Times New Roman"/>
          <w:sz w:val="28"/>
          <w:szCs w:val="28"/>
        </w:rPr>
        <w:t> %</w:t>
      </w:r>
      <w:r w:rsidRPr="005E58C6">
        <w:rPr>
          <w:rFonts w:ascii="Times New Roman" w:hAnsi="Times New Roman" w:cs="Times New Roman"/>
          <w:sz w:val="28"/>
          <w:szCs w:val="28"/>
        </w:rPr>
        <w:t>), Магаданской (47,2</w:t>
      </w:r>
      <w:r w:rsidR="00000709">
        <w:rPr>
          <w:rFonts w:ascii="Times New Roman" w:hAnsi="Times New Roman" w:cs="Times New Roman"/>
          <w:sz w:val="28"/>
          <w:szCs w:val="28"/>
        </w:rPr>
        <w:t> %</w:t>
      </w:r>
      <w:r w:rsidRPr="005E58C6">
        <w:rPr>
          <w:rFonts w:ascii="Times New Roman" w:hAnsi="Times New Roman" w:cs="Times New Roman"/>
          <w:sz w:val="28"/>
          <w:szCs w:val="28"/>
        </w:rPr>
        <w:t>), Свердловской (52,8</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в г. Севастополе (39,1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Утвержденный показатель объема медицинской помощи в стационарных условиях составил в целом по Российской Федерации 0,17409 случая госпитализации на 1 застрахованное лицо в год, или 101,0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показателю, установленному Программой  государственных гарантий </w:t>
      </w:r>
      <w:r w:rsidRPr="005E58C6">
        <w:rPr>
          <w:rFonts w:ascii="Times New Roman" w:hAnsi="Times New Roman" w:cs="Times New Roman"/>
          <w:sz w:val="28"/>
          <w:szCs w:val="28"/>
        </w:rPr>
        <w:lastRenderedPageBreak/>
        <w:t>(0,17235 случая госпитализации). Фактический показатель сложился на уровне 0,18220 случая госпитализации (105,7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и 104,7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утвержденному территориальному нормативу). </w:t>
      </w:r>
    </w:p>
    <w:p w:rsidR="005E58C6" w:rsidRPr="005E58C6" w:rsidRDefault="005E58C6" w:rsidP="00181E00">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60 субъектах Российской Федерации фактические показатели стационарной медицинской помощи превысили установленный Программой государственных гарантий норматив. Наиболее высокие показатели отмечены в: Республике Дагестан (127,0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нормативу), Астраханской (127,5</w:t>
      </w:r>
      <w:r w:rsidR="00000709">
        <w:rPr>
          <w:rFonts w:ascii="Times New Roman" w:hAnsi="Times New Roman" w:cs="Times New Roman"/>
          <w:sz w:val="28"/>
          <w:szCs w:val="28"/>
        </w:rPr>
        <w:t> %</w:t>
      </w:r>
      <w:r w:rsidRPr="005E58C6">
        <w:rPr>
          <w:rFonts w:ascii="Times New Roman" w:hAnsi="Times New Roman" w:cs="Times New Roman"/>
          <w:sz w:val="28"/>
          <w:szCs w:val="28"/>
        </w:rPr>
        <w:t>), Магаданской (122,4</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(130,7</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Чукотском автономном округе (143,5</w:t>
      </w:r>
      <w:r w:rsidR="00000709">
        <w:rPr>
          <w:rFonts w:ascii="Times New Roman" w:hAnsi="Times New Roman" w:cs="Times New Roman"/>
          <w:sz w:val="28"/>
          <w:szCs w:val="28"/>
        </w:rPr>
        <w:t> %</w:t>
      </w:r>
      <w:r w:rsidRPr="005E58C6">
        <w:rPr>
          <w:rFonts w:ascii="Times New Roman" w:hAnsi="Times New Roman" w:cs="Times New Roman"/>
          <w:sz w:val="28"/>
          <w:szCs w:val="28"/>
        </w:rPr>
        <w:t>). Наименьшие объемы стационарной медицинской помощи оказаны: в Республике Ингушетия (88,7</w:t>
      </w:r>
      <w:r w:rsidR="00000709">
        <w:rPr>
          <w:rFonts w:ascii="Times New Roman" w:hAnsi="Times New Roman" w:cs="Times New Roman"/>
          <w:sz w:val="28"/>
          <w:szCs w:val="28"/>
        </w:rPr>
        <w:t> %</w:t>
      </w:r>
      <w:r w:rsidRPr="005E58C6">
        <w:rPr>
          <w:rFonts w:ascii="Times New Roman" w:hAnsi="Times New Roman" w:cs="Times New Roman"/>
          <w:sz w:val="28"/>
          <w:szCs w:val="28"/>
        </w:rPr>
        <w:t>), Чеченской (91,8</w:t>
      </w:r>
      <w:r w:rsidR="00000709">
        <w:rPr>
          <w:rFonts w:ascii="Times New Roman" w:hAnsi="Times New Roman" w:cs="Times New Roman"/>
          <w:sz w:val="28"/>
          <w:szCs w:val="28"/>
        </w:rPr>
        <w:t> %</w:t>
      </w:r>
      <w:r w:rsidRPr="005E58C6">
        <w:rPr>
          <w:rFonts w:ascii="Times New Roman" w:hAnsi="Times New Roman" w:cs="Times New Roman"/>
          <w:sz w:val="28"/>
          <w:szCs w:val="28"/>
        </w:rPr>
        <w:t>) и Карачаево-Черкесской (91,5</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республиках, Оренбургской области (93,9</w:t>
      </w:r>
      <w:r w:rsidR="00000709">
        <w:rPr>
          <w:rFonts w:ascii="Times New Roman" w:hAnsi="Times New Roman" w:cs="Times New Roman"/>
          <w:sz w:val="28"/>
          <w:szCs w:val="28"/>
        </w:rPr>
        <w:t> %</w:t>
      </w:r>
      <w:r w:rsidRPr="005E58C6">
        <w:rPr>
          <w:rFonts w:ascii="Times New Roman" w:hAnsi="Times New Roman" w:cs="Times New Roman"/>
          <w:sz w:val="28"/>
          <w:szCs w:val="28"/>
        </w:rPr>
        <w:t>) и г. Байконуре (79,4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Утвержденный показатель объема медицинской помощи, оказываемой в условиях дневного стационара, составил в целом по Российской Федерации 0,058 случая лечения в расчете на 1 застрахованное лицо в год, что ниже показателя, установленного Программой государственных гарантий  (0,060 случая лечения), на 3,0</w:t>
      </w:r>
      <w:r w:rsidR="00000709">
        <w:rPr>
          <w:rFonts w:ascii="Times New Roman" w:hAnsi="Times New Roman" w:cs="Times New Roman"/>
          <w:sz w:val="28"/>
          <w:szCs w:val="28"/>
        </w:rPr>
        <w:t> %</w:t>
      </w:r>
      <w:r w:rsidRPr="005E58C6">
        <w:rPr>
          <w:rFonts w:ascii="Times New Roman" w:hAnsi="Times New Roman" w:cs="Times New Roman"/>
          <w:sz w:val="28"/>
          <w:szCs w:val="28"/>
        </w:rPr>
        <w:t>. Фактический показатель сложился на уровне 0,059 случая лечения (98,3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установленному Программой государственных гарантий и 101,4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утвержденному значению показателя).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38 субъектах Российской Федерации и г. Байконуре фактический показатель сложился ниже установленного Программой  государственных гарантий норматива. Наименьшие объемы медицинской помощи в условиях дневных стационаров оказаны в: республиках Крым (79,7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 Дагестан (65,8</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автономном округе (22,3</w:t>
      </w:r>
      <w:r w:rsidR="00000709">
        <w:rPr>
          <w:rFonts w:ascii="Times New Roman" w:hAnsi="Times New Roman" w:cs="Times New Roman"/>
          <w:sz w:val="28"/>
          <w:szCs w:val="28"/>
        </w:rPr>
        <w:t> %</w:t>
      </w:r>
      <w:r w:rsidRPr="005E58C6">
        <w:rPr>
          <w:rFonts w:ascii="Times New Roman" w:hAnsi="Times New Roman" w:cs="Times New Roman"/>
          <w:sz w:val="28"/>
          <w:szCs w:val="28"/>
        </w:rPr>
        <w:t>), в г. Москве (46,1</w:t>
      </w:r>
      <w:r w:rsidR="00000709">
        <w:rPr>
          <w:rFonts w:ascii="Times New Roman" w:hAnsi="Times New Roman" w:cs="Times New Roman"/>
          <w:sz w:val="28"/>
          <w:szCs w:val="28"/>
        </w:rPr>
        <w:t> %</w:t>
      </w:r>
      <w:r w:rsidRPr="005E58C6">
        <w:rPr>
          <w:rFonts w:ascii="Times New Roman" w:hAnsi="Times New Roman" w:cs="Times New Roman"/>
          <w:sz w:val="28"/>
          <w:szCs w:val="28"/>
        </w:rPr>
        <w:t>) и г. Байконуре (60,5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Показатели финансовых затрат на единицу объема медицинской помощи в 2018 году представлены в табл. 4.2.</w:t>
      </w:r>
    </w:p>
    <w:p w:rsidR="00181E00" w:rsidRDefault="00181E00" w:rsidP="00181E00">
      <w:pPr>
        <w:widowControl w:val="0"/>
        <w:spacing w:after="0" w:line="312" w:lineRule="auto"/>
        <w:ind w:firstLine="709"/>
        <w:jc w:val="right"/>
        <w:rPr>
          <w:rFonts w:ascii="Times New Roman" w:hAnsi="Times New Roman" w:cs="Times New Roman"/>
          <w:sz w:val="28"/>
          <w:szCs w:val="28"/>
        </w:rPr>
      </w:pPr>
    </w:p>
    <w:p w:rsidR="00181E00" w:rsidRDefault="00181E00" w:rsidP="00181E00">
      <w:pPr>
        <w:widowControl w:val="0"/>
        <w:spacing w:after="0" w:line="312" w:lineRule="auto"/>
        <w:ind w:firstLine="709"/>
        <w:jc w:val="right"/>
        <w:rPr>
          <w:rFonts w:ascii="Times New Roman" w:hAnsi="Times New Roman" w:cs="Times New Roman"/>
          <w:sz w:val="28"/>
          <w:szCs w:val="28"/>
        </w:rPr>
      </w:pPr>
    </w:p>
    <w:p w:rsidR="00181E00" w:rsidRDefault="00181E00" w:rsidP="00181E00">
      <w:pPr>
        <w:widowControl w:val="0"/>
        <w:spacing w:after="0" w:line="312" w:lineRule="auto"/>
        <w:ind w:firstLine="709"/>
        <w:jc w:val="right"/>
        <w:rPr>
          <w:rFonts w:ascii="Times New Roman" w:hAnsi="Times New Roman" w:cs="Times New Roman"/>
          <w:sz w:val="28"/>
          <w:szCs w:val="28"/>
        </w:rPr>
      </w:pPr>
    </w:p>
    <w:p w:rsidR="00181E00" w:rsidRDefault="00181E00" w:rsidP="00181E00">
      <w:pPr>
        <w:widowControl w:val="0"/>
        <w:spacing w:after="0" w:line="312" w:lineRule="auto"/>
        <w:ind w:firstLine="709"/>
        <w:jc w:val="right"/>
        <w:rPr>
          <w:rFonts w:ascii="Times New Roman" w:hAnsi="Times New Roman" w:cs="Times New Roman"/>
          <w:sz w:val="28"/>
          <w:szCs w:val="28"/>
        </w:rPr>
      </w:pPr>
    </w:p>
    <w:p w:rsidR="00181E00" w:rsidRDefault="00181E00" w:rsidP="00181E00">
      <w:pPr>
        <w:widowControl w:val="0"/>
        <w:spacing w:after="0" w:line="312" w:lineRule="auto"/>
        <w:ind w:firstLine="709"/>
        <w:jc w:val="right"/>
        <w:rPr>
          <w:rFonts w:ascii="Times New Roman" w:hAnsi="Times New Roman" w:cs="Times New Roman"/>
          <w:sz w:val="28"/>
          <w:szCs w:val="28"/>
        </w:rPr>
      </w:pPr>
    </w:p>
    <w:p w:rsidR="005E58C6" w:rsidRPr="005E58C6" w:rsidRDefault="005E58C6" w:rsidP="00181E00">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lastRenderedPageBreak/>
        <w:t>Таблица 4.2</w:t>
      </w:r>
    </w:p>
    <w:p w:rsidR="005E58C6" w:rsidRPr="00181E00" w:rsidRDefault="005E58C6" w:rsidP="00181E00">
      <w:pPr>
        <w:widowControl w:val="0"/>
        <w:spacing w:after="0" w:line="312" w:lineRule="auto"/>
        <w:jc w:val="center"/>
        <w:rPr>
          <w:rFonts w:ascii="Times New Roman" w:hAnsi="Times New Roman" w:cs="Times New Roman"/>
          <w:b/>
          <w:sz w:val="28"/>
          <w:szCs w:val="28"/>
        </w:rPr>
      </w:pPr>
      <w:r w:rsidRPr="00181E00">
        <w:rPr>
          <w:rFonts w:ascii="Times New Roman" w:hAnsi="Times New Roman" w:cs="Times New Roman"/>
          <w:b/>
          <w:sz w:val="28"/>
          <w:szCs w:val="28"/>
        </w:rPr>
        <w:t>Финансовое обеспечение территориальных программ обязательного</w:t>
      </w:r>
    </w:p>
    <w:p w:rsidR="005E58C6" w:rsidRPr="00181E00" w:rsidRDefault="00181E00" w:rsidP="00181E00">
      <w:pPr>
        <w:widowControl w:val="0"/>
        <w:spacing w:after="0" w:line="312" w:lineRule="auto"/>
        <w:rPr>
          <w:rFonts w:ascii="Times New Roman" w:hAnsi="Times New Roman" w:cs="Times New Roman"/>
          <w:b/>
          <w:sz w:val="28"/>
          <w:szCs w:val="28"/>
        </w:rPr>
      </w:pPr>
      <w:r>
        <w:rPr>
          <w:rFonts w:ascii="Times New Roman" w:hAnsi="Times New Roman" w:cs="Times New Roman"/>
          <w:b/>
          <w:sz w:val="28"/>
          <w:szCs w:val="28"/>
        </w:rPr>
        <w:t xml:space="preserve"> </w:t>
      </w:r>
      <w:r w:rsidR="005E58C6" w:rsidRPr="00181E00">
        <w:rPr>
          <w:rFonts w:ascii="Times New Roman" w:hAnsi="Times New Roman" w:cs="Times New Roman"/>
          <w:b/>
          <w:sz w:val="28"/>
          <w:szCs w:val="28"/>
        </w:rPr>
        <w:t>медицинского страхования в разрезе условий оказания медицинской</w:t>
      </w:r>
    </w:p>
    <w:p w:rsidR="005E58C6" w:rsidRPr="00181E00" w:rsidRDefault="005E58C6" w:rsidP="00181E00">
      <w:pPr>
        <w:widowControl w:val="0"/>
        <w:spacing w:after="0" w:line="312" w:lineRule="auto"/>
        <w:jc w:val="center"/>
        <w:rPr>
          <w:rFonts w:ascii="Times New Roman" w:hAnsi="Times New Roman" w:cs="Times New Roman"/>
          <w:b/>
          <w:sz w:val="28"/>
          <w:szCs w:val="28"/>
        </w:rPr>
      </w:pPr>
      <w:r w:rsidRPr="00181E00">
        <w:rPr>
          <w:rFonts w:ascii="Times New Roman" w:hAnsi="Times New Roman" w:cs="Times New Roman"/>
          <w:b/>
          <w:sz w:val="28"/>
          <w:szCs w:val="28"/>
        </w:rPr>
        <w:t>помощи в 2018 году</w:t>
      </w:r>
    </w:p>
    <w:tbl>
      <w:tblPr>
        <w:tblStyle w:val="a9"/>
        <w:tblW w:w="0" w:type="auto"/>
        <w:tblLook w:val="04A0"/>
      </w:tblPr>
      <w:tblGrid>
        <w:gridCol w:w="1499"/>
        <w:gridCol w:w="1881"/>
        <w:gridCol w:w="1486"/>
        <w:gridCol w:w="866"/>
        <w:gridCol w:w="1486"/>
        <w:gridCol w:w="866"/>
        <w:gridCol w:w="1486"/>
      </w:tblGrid>
      <w:tr w:rsidR="00181E00" w:rsidRPr="00A75A43" w:rsidTr="00DF1213">
        <w:tc>
          <w:tcPr>
            <w:tcW w:w="1560" w:type="dxa"/>
            <w:vMerge w:val="restart"/>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Виды и условия оказания медицинской помощи</w:t>
            </w:r>
          </w:p>
        </w:tc>
        <w:tc>
          <w:tcPr>
            <w:tcW w:w="1955" w:type="dxa"/>
            <w:vMerge w:val="restart"/>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Единица измерения</w:t>
            </w:r>
          </w:p>
        </w:tc>
        <w:tc>
          <w:tcPr>
            <w:tcW w:w="1552" w:type="dxa"/>
            <w:vMerge w:val="restart"/>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Норматив базовой программы обязательного медицинского страхования</w:t>
            </w:r>
          </w:p>
        </w:tc>
        <w:tc>
          <w:tcPr>
            <w:tcW w:w="4504" w:type="dxa"/>
            <w:gridSpan w:val="4"/>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Фактическое финансовое обеспечение медицинской помощи</w:t>
            </w:r>
          </w:p>
        </w:tc>
      </w:tr>
      <w:tr w:rsidR="00181E00" w:rsidRPr="00A75A43" w:rsidTr="00DF1213">
        <w:tc>
          <w:tcPr>
            <w:tcW w:w="1560" w:type="dxa"/>
            <w:vMerge/>
          </w:tcPr>
          <w:p w:rsidR="00181E00" w:rsidRPr="00A75A43" w:rsidRDefault="00181E00" w:rsidP="00DF1213">
            <w:pPr>
              <w:jc w:val="center"/>
              <w:rPr>
                <w:rFonts w:ascii="Times New Roman" w:hAnsi="Times New Roman"/>
                <w:sz w:val="20"/>
                <w:szCs w:val="20"/>
              </w:rPr>
            </w:pPr>
          </w:p>
        </w:tc>
        <w:tc>
          <w:tcPr>
            <w:tcW w:w="1955" w:type="dxa"/>
            <w:vMerge/>
          </w:tcPr>
          <w:p w:rsidR="00181E00" w:rsidRPr="00A75A43" w:rsidRDefault="00181E00" w:rsidP="00DF1213">
            <w:pPr>
              <w:jc w:val="center"/>
              <w:rPr>
                <w:rFonts w:ascii="Times New Roman" w:hAnsi="Times New Roman"/>
                <w:sz w:val="20"/>
                <w:szCs w:val="20"/>
              </w:rPr>
            </w:pPr>
          </w:p>
        </w:tc>
        <w:tc>
          <w:tcPr>
            <w:tcW w:w="1552" w:type="dxa"/>
            <w:vMerge/>
          </w:tcPr>
          <w:p w:rsidR="00181E00" w:rsidRPr="00A75A43" w:rsidRDefault="00181E00" w:rsidP="00DF1213">
            <w:pPr>
              <w:jc w:val="center"/>
              <w:rPr>
                <w:rFonts w:ascii="Times New Roman" w:hAnsi="Times New Roman"/>
                <w:sz w:val="20"/>
                <w:szCs w:val="20"/>
              </w:rPr>
            </w:pPr>
          </w:p>
        </w:tc>
        <w:tc>
          <w:tcPr>
            <w:tcW w:w="2252" w:type="dxa"/>
            <w:gridSpan w:val="2"/>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с учетом коэффициентов дифференциации</w:t>
            </w:r>
          </w:p>
        </w:tc>
        <w:tc>
          <w:tcPr>
            <w:tcW w:w="2252" w:type="dxa"/>
            <w:gridSpan w:val="2"/>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без учета коэффициентов дифференциации</w:t>
            </w:r>
          </w:p>
        </w:tc>
      </w:tr>
      <w:tr w:rsidR="00181E00" w:rsidRPr="00A75A43" w:rsidTr="00DF1213">
        <w:tc>
          <w:tcPr>
            <w:tcW w:w="1560" w:type="dxa"/>
            <w:vMerge/>
          </w:tcPr>
          <w:p w:rsidR="00181E00" w:rsidRPr="00A75A43" w:rsidRDefault="00181E00" w:rsidP="00DF1213">
            <w:pPr>
              <w:jc w:val="center"/>
              <w:rPr>
                <w:rFonts w:ascii="Times New Roman" w:hAnsi="Times New Roman"/>
                <w:sz w:val="20"/>
                <w:szCs w:val="20"/>
              </w:rPr>
            </w:pPr>
          </w:p>
        </w:tc>
        <w:tc>
          <w:tcPr>
            <w:tcW w:w="1955" w:type="dxa"/>
            <w:vMerge/>
          </w:tcPr>
          <w:p w:rsidR="00181E00" w:rsidRPr="00A75A43" w:rsidRDefault="00181E00" w:rsidP="00DF1213">
            <w:pPr>
              <w:jc w:val="center"/>
              <w:rPr>
                <w:rFonts w:ascii="Times New Roman" w:hAnsi="Times New Roman"/>
                <w:sz w:val="20"/>
                <w:szCs w:val="20"/>
              </w:rPr>
            </w:pPr>
          </w:p>
        </w:tc>
        <w:tc>
          <w:tcPr>
            <w:tcW w:w="1552" w:type="dxa"/>
            <w:vMerge/>
          </w:tcPr>
          <w:p w:rsidR="00181E00" w:rsidRPr="00A75A43" w:rsidRDefault="00181E00" w:rsidP="00DF1213">
            <w:pPr>
              <w:jc w:val="center"/>
              <w:rPr>
                <w:rFonts w:ascii="Times New Roman" w:hAnsi="Times New Roman"/>
                <w:sz w:val="20"/>
                <w:szCs w:val="20"/>
              </w:rPr>
            </w:pP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всего</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 рамках базовой программы обязательного медицинского страхования</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всего</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 рамках базовой программы обязательного медицинского страхования</w:t>
            </w:r>
          </w:p>
        </w:tc>
      </w:tr>
      <w:tr w:rsidR="00181E00" w:rsidRPr="00A75A43" w:rsidTr="00DF1213">
        <w:tc>
          <w:tcPr>
            <w:tcW w:w="156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Скорая медицинская помощь</w:t>
            </w:r>
          </w:p>
        </w:tc>
        <w:tc>
          <w:tcPr>
            <w:tcW w:w="1955"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руб. на 1 вызов</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2224,6</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3049,7</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2241,3</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2580,5</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2577,1</w:t>
            </w:r>
          </w:p>
        </w:tc>
      </w:tr>
      <w:tr w:rsidR="00181E00" w:rsidRPr="00A75A43" w:rsidTr="00DF1213">
        <w:tc>
          <w:tcPr>
            <w:tcW w:w="1560" w:type="dxa"/>
            <w:vMerge w:val="restart"/>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 амбулаторных условиях</w:t>
            </w:r>
          </w:p>
        </w:tc>
        <w:tc>
          <w:tcPr>
            <w:tcW w:w="1955"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руб. на 1 посещение с профилактической целью</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452,5</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596,5</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447,6</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504,7</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502,6</w:t>
            </w:r>
          </w:p>
        </w:tc>
      </w:tr>
      <w:tr w:rsidR="00181E00" w:rsidRPr="00A75A43" w:rsidTr="00DF1213">
        <w:tc>
          <w:tcPr>
            <w:tcW w:w="1560" w:type="dxa"/>
            <w:vMerge/>
          </w:tcPr>
          <w:p w:rsidR="00181E00" w:rsidRPr="00A75A43" w:rsidRDefault="00181E00" w:rsidP="00DF1213">
            <w:pPr>
              <w:jc w:val="center"/>
              <w:rPr>
                <w:rFonts w:ascii="Times New Roman" w:hAnsi="Times New Roman"/>
                <w:sz w:val="20"/>
                <w:szCs w:val="20"/>
              </w:rPr>
            </w:pPr>
          </w:p>
        </w:tc>
        <w:tc>
          <w:tcPr>
            <w:tcW w:w="1955"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руб. на 1 посещение в неотложной форме</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579,3</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678,0</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493,3</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573,7</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573,7</w:t>
            </w:r>
          </w:p>
        </w:tc>
      </w:tr>
      <w:tr w:rsidR="00181E00" w:rsidRPr="00A75A43" w:rsidTr="00DF1213">
        <w:tc>
          <w:tcPr>
            <w:tcW w:w="1560" w:type="dxa"/>
            <w:vMerge/>
          </w:tcPr>
          <w:p w:rsidR="00181E00" w:rsidRPr="00A75A43" w:rsidRDefault="00181E00" w:rsidP="00DF1213">
            <w:pPr>
              <w:jc w:val="center"/>
              <w:rPr>
                <w:rFonts w:ascii="Times New Roman" w:hAnsi="Times New Roman"/>
                <w:sz w:val="20"/>
                <w:szCs w:val="20"/>
              </w:rPr>
            </w:pPr>
          </w:p>
        </w:tc>
        <w:tc>
          <w:tcPr>
            <w:tcW w:w="1955"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руб. на 1 обращение</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1267,7</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1612,5</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1148,7</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1364,4</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1362,7</w:t>
            </w:r>
          </w:p>
        </w:tc>
      </w:tr>
      <w:tr w:rsidR="00181E00" w:rsidRPr="00A75A43" w:rsidTr="00DF1213">
        <w:tc>
          <w:tcPr>
            <w:tcW w:w="156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 стационарных условиях</w:t>
            </w:r>
          </w:p>
        </w:tc>
        <w:tc>
          <w:tcPr>
            <w:tcW w:w="1955"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руб. на 1 случай госпитализации</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29910,7</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35687,1</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25630,0</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30196,4</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29943,7</w:t>
            </w:r>
          </w:p>
        </w:tc>
      </w:tr>
      <w:tr w:rsidR="00181E00" w:rsidRPr="00A75A43" w:rsidTr="00DF1213">
        <w:tc>
          <w:tcPr>
            <w:tcW w:w="156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В условиях дневных стационаров</w:t>
            </w:r>
          </w:p>
        </w:tc>
        <w:tc>
          <w:tcPr>
            <w:tcW w:w="1955"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руб. на 1 случай лечения</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14619,5</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15303,7</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10870,8</w:t>
            </w:r>
          </w:p>
        </w:tc>
        <w:tc>
          <w:tcPr>
            <w:tcW w:w="700"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12949,1</w:t>
            </w:r>
          </w:p>
        </w:tc>
        <w:tc>
          <w:tcPr>
            <w:tcW w:w="1552" w:type="dxa"/>
          </w:tcPr>
          <w:p w:rsidR="00181E00" w:rsidRPr="00A75A43" w:rsidRDefault="00181E00" w:rsidP="00DF1213">
            <w:pPr>
              <w:jc w:val="center"/>
              <w:rPr>
                <w:rFonts w:ascii="Times New Roman" w:hAnsi="Times New Roman"/>
                <w:sz w:val="20"/>
                <w:szCs w:val="20"/>
              </w:rPr>
            </w:pPr>
            <w:r w:rsidRPr="00A75A43">
              <w:rPr>
                <w:rFonts w:ascii="Times New Roman" w:hAnsi="Times New Roman"/>
                <w:sz w:val="20"/>
                <w:szCs w:val="20"/>
              </w:rPr>
              <w:t>12916,6</w:t>
            </w:r>
          </w:p>
        </w:tc>
      </w:tr>
    </w:tbl>
    <w:p w:rsidR="00181E00" w:rsidRDefault="00181E00"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расходы на скорую медицинскую помощь со</w:t>
      </w:r>
      <w:r w:rsidR="00181E00">
        <w:rPr>
          <w:rFonts w:ascii="Times New Roman" w:hAnsi="Times New Roman" w:cs="Times New Roman"/>
          <w:sz w:val="28"/>
          <w:szCs w:val="28"/>
        </w:rPr>
        <w:t>ставили 119 </w:t>
      </w:r>
      <w:r w:rsidRPr="005E58C6">
        <w:rPr>
          <w:rFonts w:ascii="Times New Roman" w:hAnsi="Times New Roman" w:cs="Times New Roman"/>
          <w:sz w:val="28"/>
          <w:szCs w:val="28"/>
        </w:rPr>
        <w:t>490,3 млн рублей, что выше показателя 2017 года (103 287,8 млн рублей) на 15,7</w:t>
      </w:r>
      <w:r w:rsidR="00000709">
        <w:rPr>
          <w:rFonts w:ascii="Times New Roman" w:hAnsi="Times New Roman" w:cs="Times New Roman"/>
          <w:sz w:val="28"/>
          <w:szCs w:val="28"/>
        </w:rPr>
        <w:t> %</w:t>
      </w:r>
      <w:r w:rsidRPr="005E58C6">
        <w:rPr>
          <w:rFonts w:ascii="Times New Roman" w:hAnsi="Times New Roman" w:cs="Times New Roman"/>
          <w:sz w:val="28"/>
          <w:szCs w:val="28"/>
        </w:rPr>
        <w:t>, уровень исполнения утвержденных объемов финансирования скорой медицинской помощи в целом по Российской Федерации составил 97,3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Средняя стоимость 1 вызова (без учета влияния коэффициентов дифференциации) составила 2 580,5 рублей (116,0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2 224,6 рублей). Финансовое обеспечение 1 вызова скорой медицинской помощи сложилось выше установленного Программой государственных гарантий норматива в 53 субъектах Российской Федерации, в том числе в Московской (196,2</w:t>
      </w:r>
      <w:r w:rsidR="00000709">
        <w:rPr>
          <w:rFonts w:ascii="Times New Roman" w:hAnsi="Times New Roman" w:cs="Times New Roman"/>
          <w:sz w:val="28"/>
          <w:szCs w:val="28"/>
        </w:rPr>
        <w:t> %</w:t>
      </w:r>
      <w:r w:rsidRPr="005E58C6">
        <w:rPr>
          <w:rFonts w:ascii="Times New Roman" w:hAnsi="Times New Roman" w:cs="Times New Roman"/>
          <w:sz w:val="28"/>
          <w:szCs w:val="28"/>
        </w:rPr>
        <w:t>), Новгородской (176,4</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Ямало-Ненецком (185,8</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(174,4</w:t>
      </w:r>
      <w:r w:rsidR="00000709">
        <w:rPr>
          <w:rFonts w:ascii="Times New Roman" w:hAnsi="Times New Roman" w:cs="Times New Roman"/>
          <w:sz w:val="28"/>
          <w:szCs w:val="28"/>
        </w:rPr>
        <w:t> %</w:t>
      </w:r>
      <w:r w:rsidRPr="005E58C6">
        <w:rPr>
          <w:rFonts w:ascii="Times New Roman" w:hAnsi="Times New Roman" w:cs="Times New Roman"/>
          <w:sz w:val="28"/>
          <w:szCs w:val="28"/>
        </w:rPr>
        <w:t>) автономных округах, в городе Москве (178,7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Наименьший процент исполнения объемов финансирования скорой медицинской помощи отмечается в: Кабардино-Балкарской (87,7</w:t>
      </w:r>
      <w:r w:rsidR="00000709">
        <w:rPr>
          <w:rFonts w:ascii="Times New Roman" w:hAnsi="Times New Roman" w:cs="Times New Roman"/>
          <w:sz w:val="28"/>
          <w:szCs w:val="28"/>
        </w:rPr>
        <w:t> %</w:t>
      </w:r>
      <w:r w:rsidRPr="005E58C6">
        <w:rPr>
          <w:rFonts w:ascii="Times New Roman" w:hAnsi="Times New Roman" w:cs="Times New Roman"/>
          <w:sz w:val="28"/>
          <w:szCs w:val="28"/>
        </w:rPr>
        <w:t>), Карачаево-Черкесской (85,6</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республиках, Республике Мордовия    (88,2</w:t>
      </w:r>
      <w:r w:rsidR="00000709">
        <w:rPr>
          <w:rFonts w:ascii="Times New Roman" w:hAnsi="Times New Roman" w:cs="Times New Roman"/>
          <w:sz w:val="28"/>
          <w:szCs w:val="28"/>
        </w:rPr>
        <w:t> %</w:t>
      </w:r>
      <w:r w:rsidRPr="005E58C6">
        <w:rPr>
          <w:rFonts w:ascii="Times New Roman" w:hAnsi="Times New Roman" w:cs="Times New Roman"/>
          <w:sz w:val="28"/>
          <w:szCs w:val="28"/>
        </w:rPr>
        <w:t>), Новосибирской (81,5</w:t>
      </w:r>
      <w:r w:rsidR="00000709">
        <w:rPr>
          <w:rFonts w:ascii="Times New Roman" w:hAnsi="Times New Roman" w:cs="Times New Roman"/>
          <w:sz w:val="28"/>
          <w:szCs w:val="28"/>
        </w:rPr>
        <w:t> %</w:t>
      </w:r>
      <w:r w:rsidRPr="005E58C6">
        <w:rPr>
          <w:rFonts w:ascii="Times New Roman" w:hAnsi="Times New Roman" w:cs="Times New Roman"/>
          <w:sz w:val="28"/>
          <w:szCs w:val="28"/>
        </w:rPr>
        <w:t>) и Ростовской (86,8</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целом расходы на медицинскую помощь в амбулаторных условиях в рамках территориальных программ обязательного медицинского страхования составили 694 532,8 млн рублей, что выше </w:t>
      </w:r>
      <w:r w:rsidR="00181E00">
        <w:rPr>
          <w:rFonts w:ascii="Times New Roman" w:hAnsi="Times New Roman" w:cs="Times New Roman"/>
          <w:sz w:val="28"/>
          <w:szCs w:val="28"/>
        </w:rPr>
        <w:t>показателя 2017 года (589 739,9 </w:t>
      </w:r>
      <w:r w:rsidRPr="005E58C6">
        <w:rPr>
          <w:rFonts w:ascii="Times New Roman" w:hAnsi="Times New Roman" w:cs="Times New Roman"/>
          <w:sz w:val="28"/>
          <w:szCs w:val="28"/>
        </w:rPr>
        <w:t>млн рублей) на 17,8</w:t>
      </w:r>
      <w:r w:rsidR="00000709">
        <w:rPr>
          <w:rFonts w:ascii="Times New Roman" w:hAnsi="Times New Roman" w:cs="Times New Roman"/>
          <w:sz w:val="28"/>
          <w:szCs w:val="28"/>
        </w:rPr>
        <w:t> %</w:t>
      </w:r>
      <w:r w:rsidRPr="005E58C6">
        <w:rPr>
          <w:rFonts w:ascii="Times New Roman" w:hAnsi="Times New Roman" w:cs="Times New Roman"/>
          <w:sz w:val="28"/>
          <w:szCs w:val="28"/>
        </w:rPr>
        <w:t>, в том числе: расходы на медицинскую помощь с профилактической целью</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257 417,2 млн рублей (37,1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расходов на медицинскую помощь в амбулаторных условиях), в неотложной форме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42 627,0 млн рублей (6,1</w:t>
      </w:r>
      <w:r w:rsidR="00000709">
        <w:rPr>
          <w:rFonts w:ascii="Times New Roman" w:hAnsi="Times New Roman" w:cs="Times New Roman"/>
          <w:sz w:val="28"/>
          <w:szCs w:val="28"/>
        </w:rPr>
        <w:t> %</w:t>
      </w:r>
      <w:r w:rsidRPr="005E58C6">
        <w:rPr>
          <w:rFonts w:ascii="Times New Roman" w:hAnsi="Times New Roman" w:cs="Times New Roman"/>
          <w:sz w:val="28"/>
          <w:szCs w:val="28"/>
        </w:rPr>
        <w:t>), в связи с заболеваниями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394 488,5 млн рублей (56,8</w:t>
      </w:r>
      <w:r w:rsidR="00000709">
        <w:rPr>
          <w:rFonts w:ascii="Times New Roman" w:hAnsi="Times New Roman" w:cs="Times New Roman"/>
          <w:sz w:val="28"/>
          <w:szCs w:val="28"/>
        </w:rPr>
        <w:t> %</w:t>
      </w:r>
      <w:r w:rsidRPr="005E58C6">
        <w:rPr>
          <w:rFonts w:ascii="Times New Roman" w:hAnsi="Times New Roman" w:cs="Times New Roman"/>
          <w:sz w:val="28"/>
          <w:szCs w:val="28"/>
        </w:rPr>
        <w:t>). Уровень исполнения утвержденных объемов финансирования медицинской помощи в амбулаторных условиях составил 97,2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Средняя стоимость 1 посещения с профилактической целью (без учета влияния коэффициентов дифференциации) составила 504,7 рублей (119,0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452,5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62 субъектах Российской Федерации и городе Байконуре стоимость посещения с профилактической целью соответствовала установленному Программой государственных гарантий нормативу или превышала его.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13 регионах указанное превышение составило более 30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Наибольшая фактическая стоимость 1 посещения с профилактической целью (без учета коэффициентов дифференциации) отмечена в Республике Крым (169,3</w:t>
      </w:r>
      <w:r w:rsidR="00000709">
        <w:rPr>
          <w:rFonts w:ascii="Times New Roman" w:hAnsi="Times New Roman" w:cs="Times New Roman"/>
          <w:sz w:val="28"/>
          <w:szCs w:val="28"/>
        </w:rPr>
        <w:t> %</w:t>
      </w:r>
      <w:r w:rsidRPr="005E58C6">
        <w:rPr>
          <w:rFonts w:ascii="Times New Roman" w:hAnsi="Times New Roman" w:cs="Times New Roman"/>
          <w:sz w:val="28"/>
          <w:szCs w:val="28"/>
        </w:rPr>
        <w:t>),  Ивановской (147,7</w:t>
      </w:r>
      <w:r w:rsidR="00000709">
        <w:rPr>
          <w:rFonts w:ascii="Times New Roman" w:hAnsi="Times New Roman" w:cs="Times New Roman"/>
          <w:sz w:val="28"/>
          <w:szCs w:val="28"/>
        </w:rPr>
        <w:t> %</w:t>
      </w:r>
      <w:r w:rsidRPr="005E58C6">
        <w:rPr>
          <w:rFonts w:ascii="Times New Roman" w:hAnsi="Times New Roman" w:cs="Times New Roman"/>
          <w:sz w:val="28"/>
          <w:szCs w:val="28"/>
        </w:rPr>
        <w:t>), Сахалинской (227,1</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Ямало-Ненецком автономном округе (152,5</w:t>
      </w:r>
      <w:r w:rsidR="00000709">
        <w:rPr>
          <w:rFonts w:ascii="Times New Roman" w:hAnsi="Times New Roman" w:cs="Times New Roman"/>
          <w:sz w:val="28"/>
          <w:szCs w:val="28"/>
        </w:rPr>
        <w:t> %</w:t>
      </w:r>
      <w:r w:rsidRPr="005E58C6">
        <w:rPr>
          <w:rFonts w:ascii="Times New Roman" w:hAnsi="Times New Roman" w:cs="Times New Roman"/>
          <w:sz w:val="28"/>
          <w:szCs w:val="28"/>
        </w:rPr>
        <w:t>),  городе  Байконуре (146,3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Наименьший показатель исполнения объемов финансирования медицинской помощи с профилактическими целями сложился в:   Удмуртской Республике (77,3</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 (73,5</w:t>
      </w:r>
      <w:r w:rsidR="00000709">
        <w:rPr>
          <w:rFonts w:ascii="Times New Roman" w:hAnsi="Times New Roman" w:cs="Times New Roman"/>
          <w:sz w:val="28"/>
          <w:szCs w:val="28"/>
        </w:rPr>
        <w:t> %</w:t>
      </w:r>
      <w:r w:rsidRPr="005E58C6">
        <w:rPr>
          <w:rFonts w:ascii="Times New Roman" w:hAnsi="Times New Roman" w:cs="Times New Roman"/>
          <w:sz w:val="28"/>
          <w:szCs w:val="28"/>
        </w:rPr>
        <w:t>),  Новгородской (79,7</w:t>
      </w:r>
      <w:r w:rsidR="00000709">
        <w:rPr>
          <w:rFonts w:ascii="Times New Roman" w:hAnsi="Times New Roman" w:cs="Times New Roman"/>
          <w:sz w:val="28"/>
          <w:szCs w:val="28"/>
        </w:rPr>
        <w:t> %</w:t>
      </w:r>
      <w:r w:rsidRPr="005E58C6">
        <w:rPr>
          <w:rFonts w:ascii="Times New Roman" w:hAnsi="Times New Roman" w:cs="Times New Roman"/>
          <w:sz w:val="28"/>
          <w:szCs w:val="28"/>
        </w:rPr>
        <w:t>), Челябинской (85,5</w:t>
      </w:r>
      <w:r w:rsidR="00000709">
        <w:rPr>
          <w:rFonts w:ascii="Times New Roman" w:hAnsi="Times New Roman" w:cs="Times New Roman"/>
          <w:sz w:val="28"/>
          <w:szCs w:val="28"/>
        </w:rPr>
        <w:t> %</w:t>
      </w:r>
      <w:r w:rsidRPr="005E58C6">
        <w:rPr>
          <w:rFonts w:ascii="Times New Roman" w:hAnsi="Times New Roman" w:cs="Times New Roman"/>
          <w:sz w:val="28"/>
          <w:szCs w:val="28"/>
        </w:rPr>
        <w:t>), Брянской (86,4</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Средняя стоимость 1 посещения в неотложной форме (без учета влияния коэффициентов дифференциации) составила 573,7 рубля (99,0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норматива –579,3 рубля).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58 субъектах Российской Федерации фактическая стоимость указанной единицы объема медицинской помощи сложилась ниже установленного Программой государственных гарантий норматива, </w:t>
      </w:r>
      <w:r w:rsidRPr="005E58C6">
        <w:rPr>
          <w:rFonts w:ascii="Times New Roman" w:hAnsi="Times New Roman" w:cs="Times New Roman"/>
          <w:sz w:val="28"/>
          <w:szCs w:val="28"/>
        </w:rPr>
        <w:lastRenderedPageBreak/>
        <w:t>наименьшая стоимость 1 посещения в неотложной форме отмечена в: Чувашской Республике (62,9</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00709">
        <w:rPr>
          <w:rFonts w:ascii="Times New Roman" w:hAnsi="Times New Roman" w:cs="Times New Roman"/>
          <w:sz w:val="28"/>
          <w:szCs w:val="28"/>
        </w:rPr>
        <w:t> %</w:t>
      </w:r>
      <w:r w:rsidRPr="005E58C6">
        <w:rPr>
          <w:rFonts w:ascii="Times New Roman" w:hAnsi="Times New Roman" w:cs="Times New Roman"/>
          <w:sz w:val="28"/>
          <w:szCs w:val="28"/>
        </w:rPr>
        <w:t>), Кемеровской (60,3</w:t>
      </w:r>
      <w:r w:rsidR="00000709">
        <w:rPr>
          <w:rFonts w:ascii="Times New Roman" w:hAnsi="Times New Roman" w:cs="Times New Roman"/>
          <w:sz w:val="28"/>
          <w:szCs w:val="28"/>
        </w:rPr>
        <w:t> %</w:t>
      </w:r>
      <w:r w:rsidRPr="005E58C6">
        <w:rPr>
          <w:rFonts w:ascii="Times New Roman" w:hAnsi="Times New Roman" w:cs="Times New Roman"/>
          <w:sz w:val="28"/>
          <w:szCs w:val="28"/>
        </w:rPr>
        <w:t>), Новосибирской (65,9</w:t>
      </w:r>
      <w:r w:rsidR="00000709">
        <w:rPr>
          <w:rFonts w:ascii="Times New Roman" w:hAnsi="Times New Roman" w:cs="Times New Roman"/>
          <w:sz w:val="28"/>
          <w:szCs w:val="28"/>
        </w:rPr>
        <w:t> %</w:t>
      </w:r>
      <w:r w:rsidRPr="005E58C6">
        <w:rPr>
          <w:rFonts w:ascii="Times New Roman" w:hAnsi="Times New Roman" w:cs="Times New Roman"/>
          <w:sz w:val="28"/>
          <w:szCs w:val="28"/>
        </w:rPr>
        <w:t>), Ивановской (73,5) областях, Забайкальском крае (74,9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Наибольший показатель исполнения объемов финансирования медицинской помощи в неотложной форме сложился в: Ямало-Ненецком автономном округе (145,1</w:t>
      </w:r>
      <w:r w:rsidR="00000709">
        <w:rPr>
          <w:rFonts w:ascii="Times New Roman" w:hAnsi="Times New Roman" w:cs="Times New Roman"/>
          <w:sz w:val="28"/>
          <w:szCs w:val="28"/>
        </w:rPr>
        <w:t> %</w:t>
      </w:r>
      <w:r w:rsidRPr="005E58C6">
        <w:rPr>
          <w:rFonts w:ascii="Times New Roman" w:hAnsi="Times New Roman" w:cs="Times New Roman"/>
          <w:sz w:val="28"/>
          <w:szCs w:val="28"/>
        </w:rPr>
        <w:t>), г. Санкт-Петербурге (167,3</w:t>
      </w:r>
      <w:r w:rsidR="00000709">
        <w:rPr>
          <w:rFonts w:ascii="Times New Roman" w:hAnsi="Times New Roman" w:cs="Times New Roman"/>
          <w:sz w:val="28"/>
          <w:szCs w:val="28"/>
        </w:rPr>
        <w:t> %</w:t>
      </w:r>
      <w:r w:rsidRPr="005E58C6">
        <w:rPr>
          <w:rFonts w:ascii="Times New Roman" w:hAnsi="Times New Roman" w:cs="Times New Roman"/>
          <w:sz w:val="28"/>
          <w:szCs w:val="28"/>
        </w:rPr>
        <w:t>), г. Москве (170,5</w:t>
      </w:r>
      <w:r w:rsidR="00000709">
        <w:rPr>
          <w:rFonts w:ascii="Times New Roman" w:hAnsi="Times New Roman" w:cs="Times New Roman"/>
          <w:sz w:val="28"/>
          <w:szCs w:val="28"/>
        </w:rPr>
        <w:t> %</w:t>
      </w:r>
      <w:r w:rsidRPr="005E58C6">
        <w:rPr>
          <w:rFonts w:ascii="Times New Roman" w:hAnsi="Times New Roman" w:cs="Times New Roman"/>
          <w:sz w:val="28"/>
          <w:szCs w:val="28"/>
        </w:rPr>
        <w:t>), Еврейской автономной области (126,0</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Крым (128,6</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Средняя стоимость 1 обращения в связи с заболеванием (без учета влияния коэффициентов дифференциации) составила 1 364,4 рубля (107,6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w:t>
      </w:r>
      <w:r w:rsidR="00051685">
        <w:rPr>
          <w:rFonts w:ascii="Times New Roman" w:hAnsi="Times New Roman" w:cs="Times New Roman"/>
          <w:sz w:val="28"/>
          <w:szCs w:val="28"/>
        </w:rPr>
        <w:t xml:space="preserve"> – </w:t>
      </w:r>
      <w:r w:rsidR="00DF1213">
        <w:rPr>
          <w:rFonts w:ascii="Times New Roman" w:hAnsi="Times New Roman" w:cs="Times New Roman"/>
          <w:sz w:val="28"/>
          <w:szCs w:val="28"/>
        </w:rPr>
        <w:t>1 </w:t>
      </w:r>
      <w:r w:rsidRPr="005E58C6">
        <w:rPr>
          <w:rFonts w:ascii="Times New Roman" w:hAnsi="Times New Roman" w:cs="Times New Roman"/>
          <w:sz w:val="28"/>
          <w:szCs w:val="28"/>
        </w:rPr>
        <w:t>267,7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37 субъектах Российской Федерации фактическая стоимость указанной единицы объема медицинской помощи сложилась ниже установленного Программой госгарантий норматива. Наименьшая стоимость 1 обращения в связи с заболеваниями отмечена в:   Кабардино-Балкарской Республике (70,0</w:t>
      </w:r>
      <w:r w:rsidR="00000709">
        <w:rPr>
          <w:rFonts w:ascii="Times New Roman" w:hAnsi="Times New Roman" w:cs="Times New Roman"/>
          <w:sz w:val="28"/>
          <w:szCs w:val="28"/>
        </w:rPr>
        <w:t> %</w:t>
      </w:r>
      <w:r w:rsidRPr="005E58C6">
        <w:rPr>
          <w:rFonts w:ascii="Times New Roman" w:hAnsi="Times New Roman" w:cs="Times New Roman"/>
          <w:sz w:val="28"/>
          <w:szCs w:val="28"/>
        </w:rPr>
        <w:t>), Ивановской (79,3</w:t>
      </w:r>
      <w:r w:rsidR="00000709">
        <w:rPr>
          <w:rFonts w:ascii="Times New Roman" w:hAnsi="Times New Roman" w:cs="Times New Roman"/>
          <w:sz w:val="28"/>
          <w:szCs w:val="28"/>
        </w:rPr>
        <w:t> %</w:t>
      </w:r>
      <w:r w:rsidRPr="005E58C6">
        <w:rPr>
          <w:rFonts w:ascii="Times New Roman" w:hAnsi="Times New Roman" w:cs="Times New Roman"/>
          <w:sz w:val="28"/>
          <w:szCs w:val="28"/>
        </w:rPr>
        <w:t>), Костромской (82,5</w:t>
      </w:r>
      <w:r w:rsidR="00000709">
        <w:rPr>
          <w:rFonts w:ascii="Times New Roman" w:hAnsi="Times New Roman" w:cs="Times New Roman"/>
          <w:sz w:val="28"/>
          <w:szCs w:val="28"/>
        </w:rPr>
        <w:t> %</w:t>
      </w:r>
      <w:r w:rsidRPr="005E58C6">
        <w:rPr>
          <w:rFonts w:ascii="Times New Roman" w:hAnsi="Times New Roman" w:cs="Times New Roman"/>
          <w:sz w:val="28"/>
          <w:szCs w:val="28"/>
        </w:rPr>
        <w:t>),   Тюменской (73,3</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в Алтайском крае (83,7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Расходы на медицинскую помощь в стационарных условиях составили 951 751,0 млн рублей, что выше показателя 2017 года (799 857,9 млн рублей) на 19</w:t>
      </w:r>
      <w:r w:rsidR="00000709">
        <w:rPr>
          <w:rFonts w:ascii="Times New Roman" w:hAnsi="Times New Roman" w:cs="Times New Roman"/>
          <w:sz w:val="28"/>
          <w:szCs w:val="28"/>
        </w:rPr>
        <w:t> %</w:t>
      </w:r>
      <w:r w:rsidRPr="005E58C6">
        <w:rPr>
          <w:rFonts w:ascii="Times New Roman" w:hAnsi="Times New Roman" w:cs="Times New Roman"/>
          <w:sz w:val="28"/>
          <w:szCs w:val="28"/>
        </w:rPr>
        <w:t>. Уровень исполнения утвержденных объемов финансирования медицинской помощи в стационарных условиях в целом по Российской Федерации составил 101,0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Средняя стоимость 1 случая лечения в стационаре (без учета коэффициентов дифференциации) составила 30 196,4 рублей (101,0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госгарантий норматива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29 910,7 рублей).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Фактическая стоимость 1 случая госпитализации сложилась ниже установленного Программой государственных гарантий норматива в 54 субъектах Российской Федерации, в том числе в республиках Дагестан (79,1</w:t>
      </w:r>
      <w:r w:rsidR="00000709">
        <w:rPr>
          <w:rFonts w:ascii="Times New Roman" w:hAnsi="Times New Roman" w:cs="Times New Roman"/>
          <w:sz w:val="28"/>
          <w:szCs w:val="28"/>
        </w:rPr>
        <w:t> %</w:t>
      </w:r>
      <w:r w:rsidRPr="005E58C6">
        <w:rPr>
          <w:rFonts w:ascii="Times New Roman" w:hAnsi="Times New Roman" w:cs="Times New Roman"/>
          <w:sz w:val="28"/>
          <w:szCs w:val="28"/>
        </w:rPr>
        <w:t>), Мордовия (81,4</w:t>
      </w:r>
      <w:r w:rsidR="00000709">
        <w:rPr>
          <w:rFonts w:ascii="Times New Roman" w:hAnsi="Times New Roman" w:cs="Times New Roman"/>
          <w:sz w:val="28"/>
          <w:szCs w:val="28"/>
        </w:rPr>
        <w:t> %</w:t>
      </w:r>
      <w:r w:rsidRPr="005E58C6">
        <w:rPr>
          <w:rFonts w:ascii="Times New Roman" w:hAnsi="Times New Roman" w:cs="Times New Roman"/>
          <w:sz w:val="28"/>
          <w:szCs w:val="28"/>
        </w:rPr>
        <w:t>), Калмыкия (75,1</w:t>
      </w:r>
      <w:r w:rsidR="00000709">
        <w:rPr>
          <w:rFonts w:ascii="Times New Roman" w:hAnsi="Times New Roman" w:cs="Times New Roman"/>
          <w:sz w:val="28"/>
          <w:szCs w:val="28"/>
        </w:rPr>
        <w:t> %</w:t>
      </w:r>
      <w:r w:rsidRPr="005E58C6">
        <w:rPr>
          <w:rFonts w:ascii="Times New Roman" w:hAnsi="Times New Roman" w:cs="Times New Roman"/>
          <w:sz w:val="28"/>
          <w:szCs w:val="28"/>
        </w:rPr>
        <w:t>), Адыгея (88,7</w:t>
      </w:r>
      <w:r w:rsidR="00000709">
        <w:rPr>
          <w:rFonts w:ascii="Times New Roman" w:hAnsi="Times New Roman" w:cs="Times New Roman"/>
          <w:sz w:val="28"/>
          <w:szCs w:val="28"/>
        </w:rPr>
        <w:t> %</w:t>
      </w:r>
      <w:r w:rsidRPr="005E58C6">
        <w:rPr>
          <w:rFonts w:ascii="Times New Roman" w:hAnsi="Times New Roman" w:cs="Times New Roman"/>
          <w:sz w:val="28"/>
          <w:szCs w:val="28"/>
        </w:rPr>
        <w:t>), Астраханской области (80,5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Расходы на медицинскую помощь, оказанную в условиях дневных стационаров, составили 132 057,9млн рублей. Уровень исполнения объемов финансирования медицинской помощи в условиях дневного стационара в целом по Российской Федерации составил 87,8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Средняя стоимость 1 случая лечения (без учета влияния коэффициентов дифференциации) составила 12 949,1 рубля (88,6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установленного Программой государственных гарантий норматива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14 619,5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Фактическая стоимость 1 случая лечения сложилась ниже установленного Программой государственных гарантий норматива в 73 субъектах Российской Федерации. Наименьшая стоимость случая лечения зафиксирована в республиках  Крым (53,9</w:t>
      </w:r>
      <w:r w:rsidR="00000709">
        <w:rPr>
          <w:rFonts w:ascii="Times New Roman" w:hAnsi="Times New Roman" w:cs="Times New Roman"/>
          <w:sz w:val="28"/>
          <w:szCs w:val="28"/>
        </w:rPr>
        <w:t> %</w:t>
      </w:r>
      <w:r w:rsidRPr="005E58C6">
        <w:rPr>
          <w:rFonts w:ascii="Times New Roman" w:hAnsi="Times New Roman" w:cs="Times New Roman"/>
          <w:sz w:val="28"/>
          <w:szCs w:val="28"/>
        </w:rPr>
        <w:t>), Ингушетия (51,5</w:t>
      </w:r>
      <w:r w:rsidR="00000709">
        <w:rPr>
          <w:rFonts w:ascii="Times New Roman" w:hAnsi="Times New Roman" w:cs="Times New Roman"/>
          <w:sz w:val="28"/>
          <w:szCs w:val="28"/>
        </w:rPr>
        <w:t> %</w:t>
      </w:r>
      <w:r w:rsidRPr="005E58C6">
        <w:rPr>
          <w:rFonts w:ascii="Times New Roman" w:hAnsi="Times New Roman" w:cs="Times New Roman"/>
          <w:sz w:val="28"/>
          <w:szCs w:val="28"/>
        </w:rPr>
        <w:t>),   Саратовской (53,6</w:t>
      </w:r>
      <w:r w:rsidR="00000709">
        <w:rPr>
          <w:rFonts w:ascii="Times New Roman" w:hAnsi="Times New Roman" w:cs="Times New Roman"/>
          <w:sz w:val="28"/>
          <w:szCs w:val="28"/>
        </w:rPr>
        <w:t> %</w:t>
      </w:r>
      <w:r w:rsidRPr="005E58C6">
        <w:rPr>
          <w:rFonts w:ascii="Times New Roman" w:hAnsi="Times New Roman" w:cs="Times New Roman"/>
          <w:sz w:val="28"/>
          <w:szCs w:val="28"/>
        </w:rPr>
        <w:t>), Амурской (60,1</w:t>
      </w:r>
      <w:r w:rsidR="00000709">
        <w:rPr>
          <w:rFonts w:ascii="Times New Roman" w:hAnsi="Times New Roman" w:cs="Times New Roman"/>
          <w:sz w:val="28"/>
          <w:szCs w:val="28"/>
        </w:rPr>
        <w:t> %</w:t>
      </w:r>
      <w:r w:rsidRPr="005E58C6">
        <w:rPr>
          <w:rFonts w:ascii="Times New Roman" w:hAnsi="Times New Roman" w:cs="Times New Roman"/>
          <w:sz w:val="28"/>
          <w:szCs w:val="28"/>
        </w:rPr>
        <w:t>), Новосибирской (59,5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областях.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структуре расходов на медицинскую помощь за счет средств ОМС преобладали расходы, связанные с оказанием медицинской помощи в стационарных условиях (50,1</w:t>
      </w:r>
      <w:r w:rsidR="00000709">
        <w:rPr>
          <w:rFonts w:ascii="Times New Roman" w:hAnsi="Times New Roman" w:cs="Times New Roman"/>
          <w:sz w:val="28"/>
          <w:szCs w:val="28"/>
        </w:rPr>
        <w:t> %</w:t>
      </w:r>
      <w:r w:rsidRPr="005E58C6">
        <w:rPr>
          <w:rFonts w:ascii="Times New Roman" w:hAnsi="Times New Roman" w:cs="Times New Roman"/>
          <w:sz w:val="28"/>
          <w:szCs w:val="28"/>
        </w:rPr>
        <w:t>) и медицинской помощи в амбулаторных условиях (36,5</w:t>
      </w:r>
      <w:r w:rsidR="00000709">
        <w:rPr>
          <w:rFonts w:ascii="Times New Roman" w:hAnsi="Times New Roman" w:cs="Times New Roman"/>
          <w:sz w:val="28"/>
          <w:szCs w:val="28"/>
        </w:rPr>
        <w:t> %</w:t>
      </w:r>
      <w:r w:rsidRPr="005E58C6">
        <w:rPr>
          <w:rFonts w:ascii="Times New Roman" w:hAnsi="Times New Roman" w:cs="Times New Roman"/>
          <w:sz w:val="28"/>
          <w:szCs w:val="28"/>
        </w:rPr>
        <w:t>). Расходы на медицинскую помощь, оказанную в условиях дневных стационаров, составили 6,9</w:t>
      </w:r>
      <w:r w:rsidR="00000709">
        <w:rPr>
          <w:rFonts w:ascii="Times New Roman" w:hAnsi="Times New Roman" w:cs="Times New Roman"/>
          <w:sz w:val="28"/>
          <w:szCs w:val="28"/>
        </w:rPr>
        <w:t> %</w:t>
      </w:r>
      <w:r w:rsidRPr="005E58C6">
        <w:rPr>
          <w:rFonts w:ascii="Times New Roman" w:hAnsi="Times New Roman" w:cs="Times New Roman"/>
          <w:sz w:val="28"/>
          <w:szCs w:val="28"/>
        </w:rPr>
        <w:t>, скорую медицинскую помощь</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6,3</w:t>
      </w:r>
      <w:r w:rsidR="00000709">
        <w:rPr>
          <w:rFonts w:ascii="Times New Roman" w:hAnsi="Times New Roman" w:cs="Times New Roman"/>
          <w:sz w:val="28"/>
          <w:szCs w:val="28"/>
        </w:rPr>
        <w:t> %</w:t>
      </w:r>
      <w:r w:rsidRPr="005E58C6">
        <w:rPr>
          <w:rFonts w:ascii="Times New Roman" w:hAnsi="Times New Roman" w:cs="Times New Roman"/>
          <w:sz w:val="28"/>
          <w:szCs w:val="28"/>
        </w:rPr>
        <w:t>, прочие виды медицинских услуг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целом по Российской Федерации по видам затрат преобладали расходы на оплату труда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71,0</w:t>
      </w:r>
      <w:r w:rsidR="00000709">
        <w:rPr>
          <w:rFonts w:ascii="Times New Roman" w:hAnsi="Times New Roman" w:cs="Times New Roman"/>
          <w:sz w:val="28"/>
          <w:szCs w:val="28"/>
        </w:rPr>
        <w:t> %</w:t>
      </w:r>
      <w:r w:rsidRPr="005E58C6">
        <w:rPr>
          <w:rFonts w:ascii="Times New Roman" w:hAnsi="Times New Roman" w:cs="Times New Roman"/>
          <w:sz w:val="28"/>
          <w:szCs w:val="28"/>
        </w:rPr>
        <w:t>; лекарственные средства, расходные материалы, медицинский инструментарий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10,9</w:t>
      </w:r>
      <w:r w:rsidR="00000709">
        <w:rPr>
          <w:rFonts w:ascii="Times New Roman" w:hAnsi="Times New Roman" w:cs="Times New Roman"/>
          <w:sz w:val="28"/>
          <w:szCs w:val="28"/>
        </w:rPr>
        <w:t> %</w:t>
      </w:r>
      <w:r w:rsidRPr="005E58C6">
        <w:rPr>
          <w:rFonts w:ascii="Times New Roman" w:hAnsi="Times New Roman" w:cs="Times New Roman"/>
          <w:sz w:val="28"/>
          <w:szCs w:val="28"/>
        </w:rPr>
        <w:t>. Расходы на продукты питания составили 1,2</w:t>
      </w:r>
      <w:r w:rsidR="00000709">
        <w:rPr>
          <w:rFonts w:ascii="Times New Roman" w:hAnsi="Times New Roman" w:cs="Times New Roman"/>
          <w:sz w:val="28"/>
          <w:szCs w:val="28"/>
        </w:rPr>
        <w:t> %</w:t>
      </w:r>
      <w:r w:rsidRPr="005E58C6">
        <w:rPr>
          <w:rFonts w:ascii="Times New Roman" w:hAnsi="Times New Roman" w:cs="Times New Roman"/>
          <w:sz w:val="28"/>
          <w:szCs w:val="28"/>
        </w:rPr>
        <w:t>, мягкий инвентарь</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0,1</w:t>
      </w:r>
      <w:r w:rsidR="00000709">
        <w:rPr>
          <w:rFonts w:ascii="Times New Roman" w:hAnsi="Times New Roman" w:cs="Times New Roman"/>
          <w:sz w:val="28"/>
          <w:szCs w:val="28"/>
        </w:rPr>
        <w:t> %</w:t>
      </w:r>
      <w:r w:rsidRPr="005E58C6">
        <w:rPr>
          <w:rFonts w:ascii="Times New Roman" w:hAnsi="Times New Roman" w:cs="Times New Roman"/>
          <w:sz w:val="28"/>
          <w:szCs w:val="28"/>
        </w:rPr>
        <w:t>, прочие статьи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Наибольшая доля расходов на оплату труда отмечалась в республиках Коми  и Саха (Якутия) (78,4</w:t>
      </w:r>
      <w:r w:rsidR="00000709">
        <w:rPr>
          <w:rFonts w:ascii="Times New Roman" w:hAnsi="Times New Roman" w:cs="Times New Roman"/>
          <w:sz w:val="28"/>
          <w:szCs w:val="28"/>
        </w:rPr>
        <w:t> %</w:t>
      </w:r>
      <w:r w:rsidRPr="005E58C6">
        <w:rPr>
          <w:rFonts w:ascii="Times New Roman" w:hAnsi="Times New Roman" w:cs="Times New Roman"/>
          <w:sz w:val="28"/>
          <w:szCs w:val="28"/>
        </w:rPr>
        <w:t>), в Красноярском крае (77,3</w:t>
      </w:r>
      <w:r w:rsidR="00000709">
        <w:rPr>
          <w:rFonts w:ascii="Times New Roman" w:hAnsi="Times New Roman" w:cs="Times New Roman"/>
          <w:sz w:val="28"/>
          <w:szCs w:val="28"/>
        </w:rPr>
        <w:t> %</w:t>
      </w:r>
      <w:r w:rsidRPr="005E58C6">
        <w:rPr>
          <w:rFonts w:ascii="Times New Roman" w:hAnsi="Times New Roman" w:cs="Times New Roman"/>
          <w:sz w:val="28"/>
          <w:szCs w:val="28"/>
        </w:rPr>
        <w:t>), в Магаданской  (86,0</w:t>
      </w:r>
      <w:r w:rsidR="00000709">
        <w:rPr>
          <w:rFonts w:ascii="Times New Roman" w:hAnsi="Times New Roman" w:cs="Times New Roman"/>
          <w:sz w:val="28"/>
          <w:szCs w:val="28"/>
        </w:rPr>
        <w:t> %</w:t>
      </w:r>
      <w:r w:rsidRPr="005E58C6">
        <w:rPr>
          <w:rFonts w:ascii="Times New Roman" w:hAnsi="Times New Roman" w:cs="Times New Roman"/>
          <w:sz w:val="28"/>
          <w:szCs w:val="28"/>
        </w:rPr>
        <w:t>), Томской (76,1</w:t>
      </w:r>
      <w:r w:rsidR="00000709">
        <w:rPr>
          <w:rFonts w:ascii="Times New Roman" w:hAnsi="Times New Roman" w:cs="Times New Roman"/>
          <w:sz w:val="28"/>
          <w:szCs w:val="28"/>
        </w:rPr>
        <w:t> %</w:t>
      </w:r>
      <w:r w:rsidRPr="005E58C6">
        <w:rPr>
          <w:rFonts w:ascii="Times New Roman" w:hAnsi="Times New Roman" w:cs="Times New Roman"/>
          <w:sz w:val="28"/>
          <w:szCs w:val="28"/>
        </w:rPr>
        <w:t>) областях, в Ямало-Ненецком (78,3</w:t>
      </w:r>
      <w:r w:rsidR="00000709">
        <w:rPr>
          <w:rFonts w:ascii="Times New Roman" w:hAnsi="Times New Roman" w:cs="Times New Roman"/>
          <w:sz w:val="28"/>
          <w:szCs w:val="28"/>
        </w:rPr>
        <w:t> %</w:t>
      </w:r>
      <w:r w:rsidR="00DF1213">
        <w:rPr>
          <w:rFonts w:ascii="Times New Roman" w:hAnsi="Times New Roman" w:cs="Times New Roman"/>
          <w:sz w:val="28"/>
          <w:szCs w:val="28"/>
        </w:rPr>
        <w:t xml:space="preserve">), </w:t>
      </w:r>
      <w:r w:rsidRPr="005E58C6">
        <w:rPr>
          <w:rFonts w:ascii="Times New Roman" w:hAnsi="Times New Roman" w:cs="Times New Roman"/>
          <w:sz w:val="28"/>
          <w:szCs w:val="28"/>
        </w:rPr>
        <w:t>Ненецком (81,3</w:t>
      </w:r>
      <w:r w:rsidR="00000709">
        <w:rPr>
          <w:rFonts w:ascii="Times New Roman" w:hAnsi="Times New Roman" w:cs="Times New Roman"/>
          <w:sz w:val="28"/>
          <w:szCs w:val="28"/>
        </w:rPr>
        <w:t> %</w:t>
      </w:r>
      <w:r w:rsidRPr="005E58C6">
        <w:rPr>
          <w:rFonts w:ascii="Times New Roman" w:hAnsi="Times New Roman" w:cs="Times New Roman"/>
          <w:sz w:val="28"/>
          <w:szCs w:val="28"/>
        </w:rPr>
        <w:t>), Чукотском (92,9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автономных округах, в </w:t>
      </w:r>
      <w:r w:rsidR="00DF1213">
        <w:rPr>
          <w:rFonts w:ascii="Times New Roman" w:hAnsi="Times New Roman" w:cs="Times New Roman"/>
          <w:sz w:val="28"/>
          <w:szCs w:val="28"/>
        </w:rPr>
        <w:t>г. </w:t>
      </w:r>
      <w:r w:rsidRPr="005E58C6">
        <w:rPr>
          <w:rFonts w:ascii="Times New Roman" w:hAnsi="Times New Roman" w:cs="Times New Roman"/>
          <w:sz w:val="28"/>
          <w:szCs w:val="28"/>
        </w:rPr>
        <w:t>Санкт-Петербурге</w:t>
      </w:r>
      <w:r w:rsidR="00A61108" w:rsidRPr="00A61108">
        <w:rPr>
          <w:rFonts w:ascii="Times New Roman" w:hAnsi="Times New Roman" w:cs="Times New Roman"/>
          <w:sz w:val="28"/>
          <w:szCs w:val="28"/>
        </w:rPr>
        <w:t xml:space="preserve"> (76</w:t>
      </w:r>
      <w:r w:rsidR="00A61108">
        <w:rPr>
          <w:rFonts w:ascii="Times New Roman" w:hAnsi="Times New Roman" w:cs="Times New Roman"/>
          <w:sz w:val="28"/>
          <w:szCs w:val="28"/>
        </w:rPr>
        <w:t>,</w:t>
      </w:r>
      <w:r w:rsidR="00A61108" w:rsidRPr="00A61108">
        <w:rPr>
          <w:rFonts w:ascii="Times New Roman" w:hAnsi="Times New Roman" w:cs="Times New Roman"/>
          <w:sz w:val="28"/>
          <w:szCs w:val="28"/>
        </w:rPr>
        <w:t>8</w:t>
      </w:r>
      <w:r w:rsidR="00A61108">
        <w:rPr>
          <w:rFonts w:ascii="Times New Roman" w:hAnsi="Times New Roman" w:cs="Times New Roman"/>
          <w:sz w:val="28"/>
          <w:szCs w:val="28"/>
          <w:lang w:val="en-US"/>
        </w:rPr>
        <w:t> </w:t>
      </w:r>
      <w:r w:rsidR="00A61108" w:rsidRPr="00A61108">
        <w:rPr>
          <w:rFonts w:ascii="Times New Roman" w:hAnsi="Times New Roman" w:cs="Times New Roman"/>
          <w:sz w:val="28"/>
          <w:szCs w:val="28"/>
        </w:rPr>
        <w:t>%</w:t>
      </w:r>
      <w:r w:rsidR="00A61108">
        <w:rPr>
          <w:rFonts w:ascii="Times New Roman" w:hAnsi="Times New Roman" w:cs="Times New Roman"/>
          <w:sz w:val="28"/>
          <w:szCs w:val="28"/>
        </w:rPr>
        <w:t>)</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Программой государственных гарантий в рамках базовой программы обязательного медицинского страхования осуществлялось финансовое обеспечение профилактических мероприятий.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мониторинга, осуществляемого Федеральным фондом обязательного медицинского страхования, в 2018 году в целом по Российской Федерации профилактические мероп</w:t>
      </w:r>
      <w:r w:rsidR="00DF1213">
        <w:rPr>
          <w:rFonts w:ascii="Times New Roman" w:hAnsi="Times New Roman" w:cs="Times New Roman"/>
          <w:sz w:val="28"/>
          <w:szCs w:val="28"/>
        </w:rPr>
        <w:t>риятия прошли 50 609 790 </w:t>
      </w:r>
      <w:r w:rsidRPr="005E58C6">
        <w:rPr>
          <w:rFonts w:ascii="Times New Roman" w:hAnsi="Times New Roman" w:cs="Times New Roman"/>
          <w:sz w:val="28"/>
          <w:szCs w:val="28"/>
        </w:rPr>
        <w:t>человек, что на 3,4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чем в 2017 году, финансовые средства</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направленные на реализацию указанного мероприятия</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составили</w:t>
      </w:r>
      <w:r w:rsidR="00051685">
        <w:rPr>
          <w:rFonts w:ascii="Times New Roman" w:hAnsi="Times New Roman" w:cs="Times New Roman"/>
          <w:sz w:val="28"/>
          <w:szCs w:val="28"/>
        </w:rPr>
        <w:t xml:space="preserve"> – </w:t>
      </w:r>
      <w:r w:rsidR="00DF1213">
        <w:rPr>
          <w:rFonts w:ascii="Times New Roman" w:hAnsi="Times New Roman" w:cs="Times New Roman"/>
          <w:sz w:val="28"/>
          <w:szCs w:val="28"/>
        </w:rPr>
        <w:t>62 776 </w:t>
      </w:r>
      <w:r w:rsidRPr="005E58C6">
        <w:rPr>
          <w:rFonts w:ascii="Times New Roman" w:hAnsi="Times New Roman" w:cs="Times New Roman"/>
          <w:sz w:val="28"/>
          <w:szCs w:val="28"/>
        </w:rPr>
        <w:t>949,71 тыс. рублей, из них 22 409 993 или 44,3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детского населения, финансовые средства направленные на реализацию указанного мероприятия составили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w:t>
      </w:r>
      <w:r w:rsidR="00DF1213">
        <w:rPr>
          <w:rFonts w:ascii="Times New Roman" w:hAnsi="Times New Roman" w:cs="Times New Roman"/>
          <w:sz w:val="28"/>
          <w:szCs w:val="28"/>
        </w:rPr>
        <w:t> </w:t>
      </w:r>
      <w:r w:rsidRPr="005E58C6">
        <w:rPr>
          <w:rFonts w:ascii="Times New Roman" w:hAnsi="Times New Roman" w:cs="Times New Roman"/>
          <w:sz w:val="28"/>
          <w:szCs w:val="28"/>
        </w:rPr>
        <w:t>802</w:t>
      </w:r>
      <w:r w:rsidR="00DF1213">
        <w:rPr>
          <w:rFonts w:ascii="Times New Roman" w:hAnsi="Times New Roman" w:cs="Times New Roman"/>
          <w:sz w:val="28"/>
          <w:szCs w:val="28"/>
        </w:rPr>
        <w:t> </w:t>
      </w:r>
      <w:r w:rsidRPr="005E58C6">
        <w:rPr>
          <w:rFonts w:ascii="Times New Roman" w:hAnsi="Times New Roman" w:cs="Times New Roman"/>
          <w:sz w:val="28"/>
          <w:szCs w:val="28"/>
        </w:rPr>
        <w:t xml:space="preserve">092,45 тыс. рублей. Установленные планы по </w:t>
      </w:r>
      <w:r w:rsidRPr="005E58C6">
        <w:rPr>
          <w:rFonts w:ascii="Times New Roman" w:hAnsi="Times New Roman" w:cs="Times New Roman"/>
          <w:sz w:val="28"/>
          <w:szCs w:val="28"/>
        </w:rPr>
        <w:lastRenderedPageBreak/>
        <w:t>профилактическим  мероприятиям выполнены на 78,8</w:t>
      </w:r>
      <w:r w:rsidR="00000709">
        <w:rPr>
          <w:rFonts w:ascii="Times New Roman" w:hAnsi="Times New Roman" w:cs="Times New Roman"/>
          <w:sz w:val="28"/>
          <w:szCs w:val="28"/>
        </w:rPr>
        <w:t> %</w:t>
      </w:r>
      <w:r w:rsidRPr="005E58C6">
        <w:rPr>
          <w:rFonts w:ascii="Times New Roman" w:hAnsi="Times New Roman" w:cs="Times New Roman"/>
          <w:sz w:val="28"/>
          <w:szCs w:val="28"/>
        </w:rPr>
        <w:t>, в том числе взрослого 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75,7</w:t>
      </w:r>
      <w:r w:rsidR="00000709">
        <w:rPr>
          <w:rFonts w:ascii="Times New Roman" w:hAnsi="Times New Roman" w:cs="Times New Roman"/>
          <w:sz w:val="28"/>
          <w:szCs w:val="28"/>
        </w:rPr>
        <w:t> %</w:t>
      </w:r>
      <w:r w:rsidRPr="005E58C6">
        <w:rPr>
          <w:rFonts w:ascii="Times New Roman" w:hAnsi="Times New Roman" w:cs="Times New Roman"/>
          <w:sz w:val="28"/>
          <w:szCs w:val="28"/>
        </w:rPr>
        <w:t>, детского 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83,1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Диспансеризации определенных групп взрослого нас</w:t>
      </w:r>
      <w:r w:rsidR="00DF1213">
        <w:rPr>
          <w:rFonts w:ascii="Times New Roman" w:hAnsi="Times New Roman" w:cs="Times New Roman"/>
          <w:sz w:val="28"/>
          <w:szCs w:val="28"/>
        </w:rPr>
        <w:t>еления в 2018 году подлежало 30 </w:t>
      </w:r>
      <w:r w:rsidRPr="005E58C6">
        <w:rPr>
          <w:rFonts w:ascii="Times New Roman" w:hAnsi="Times New Roman" w:cs="Times New Roman"/>
          <w:sz w:val="28"/>
          <w:szCs w:val="28"/>
        </w:rPr>
        <w:t>739</w:t>
      </w:r>
      <w:r w:rsidR="00DF1213">
        <w:rPr>
          <w:rFonts w:ascii="Times New Roman" w:hAnsi="Times New Roman" w:cs="Times New Roman"/>
          <w:sz w:val="28"/>
          <w:szCs w:val="28"/>
        </w:rPr>
        <w:t> </w:t>
      </w:r>
      <w:r w:rsidRPr="005E58C6">
        <w:rPr>
          <w:rFonts w:ascii="Times New Roman" w:hAnsi="Times New Roman" w:cs="Times New Roman"/>
          <w:sz w:val="28"/>
          <w:szCs w:val="28"/>
        </w:rPr>
        <w:t>083</w:t>
      </w:r>
      <w:r w:rsidR="00DF1213">
        <w:rPr>
          <w:rFonts w:ascii="Times New Roman" w:hAnsi="Times New Roman" w:cs="Times New Roman"/>
          <w:sz w:val="28"/>
          <w:szCs w:val="28"/>
        </w:rPr>
        <w:t> </w:t>
      </w:r>
      <w:r w:rsidRPr="005E58C6">
        <w:rPr>
          <w:rFonts w:ascii="Times New Roman" w:hAnsi="Times New Roman" w:cs="Times New Roman"/>
          <w:sz w:val="28"/>
          <w:szCs w:val="28"/>
        </w:rPr>
        <w:t>человека, прошли диспансеризацию 22</w:t>
      </w:r>
      <w:r w:rsidR="00DF1213">
        <w:rPr>
          <w:rFonts w:ascii="Times New Roman" w:hAnsi="Times New Roman" w:cs="Times New Roman"/>
          <w:sz w:val="28"/>
          <w:szCs w:val="28"/>
        </w:rPr>
        <w:t> </w:t>
      </w:r>
      <w:r w:rsidRPr="005E58C6">
        <w:rPr>
          <w:rFonts w:ascii="Times New Roman" w:hAnsi="Times New Roman" w:cs="Times New Roman"/>
          <w:sz w:val="28"/>
          <w:szCs w:val="28"/>
        </w:rPr>
        <w:t>967</w:t>
      </w:r>
      <w:r w:rsidR="00DF1213">
        <w:rPr>
          <w:rFonts w:ascii="Times New Roman" w:hAnsi="Times New Roman" w:cs="Times New Roman"/>
          <w:sz w:val="28"/>
          <w:szCs w:val="28"/>
        </w:rPr>
        <w:t> </w:t>
      </w:r>
      <w:r w:rsidRPr="005E58C6">
        <w:rPr>
          <w:rFonts w:ascii="Times New Roman" w:hAnsi="Times New Roman" w:cs="Times New Roman"/>
          <w:sz w:val="28"/>
          <w:szCs w:val="28"/>
        </w:rPr>
        <w:t>780 человек, что составляет 74,7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годового плана, объем финансовых средств</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направленных на р</w:t>
      </w:r>
      <w:r w:rsidR="0081736E">
        <w:rPr>
          <w:rFonts w:ascii="Times New Roman" w:hAnsi="Times New Roman" w:cs="Times New Roman"/>
          <w:sz w:val="28"/>
          <w:szCs w:val="28"/>
        </w:rPr>
        <w:t>еализацию указанного мероприятия,</w:t>
      </w:r>
      <w:r w:rsidRPr="005E58C6">
        <w:rPr>
          <w:rFonts w:ascii="Times New Roman" w:hAnsi="Times New Roman" w:cs="Times New Roman"/>
          <w:sz w:val="28"/>
          <w:szCs w:val="28"/>
        </w:rPr>
        <w:t xml:space="preserve"> составил 26</w:t>
      </w:r>
      <w:r w:rsidR="00DF1213">
        <w:rPr>
          <w:rFonts w:ascii="Times New Roman" w:hAnsi="Times New Roman" w:cs="Times New Roman"/>
          <w:sz w:val="28"/>
          <w:szCs w:val="28"/>
        </w:rPr>
        <w:t> </w:t>
      </w:r>
      <w:r w:rsidRPr="005E58C6">
        <w:rPr>
          <w:rFonts w:ascii="Times New Roman" w:hAnsi="Times New Roman" w:cs="Times New Roman"/>
          <w:sz w:val="28"/>
          <w:szCs w:val="28"/>
        </w:rPr>
        <w:t>863</w:t>
      </w:r>
      <w:r w:rsidR="00DF1213">
        <w:rPr>
          <w:rFonts w:ascii="Times New Roman" w:hAnsi="Times New Roman" w:cs="Times New Roman"/>
          <w:sz w:val="28"/>
          <w:szCs w:val="28"/>
        </w:rPr>
        <w:t> 497,</w:t>
      </w:r>
      <w:r w:rsidRPr="005E58C6">
        <w:rPr>
          <w:rFonts w:ascii="Times New Roman" w:hAnsi="Times New Roman" w:cs="Times New Roman"/>
          <w:sz w:val="28"/>
          <w:szCs w:val="28"/>
        </w:rPr>
        <w:t xml:space="preserve">46 тыс. рублей.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Профилактическим осмотрам взрослог</w:t>
      </w:r>
      <w:r w:rsidR="00DF1213">
        <w:rPr>
          <w:rFonts w:ascii="Times New Roman" w:hAnsi="Times New Roman" w:cs="Times New Roman"/>
          <w:sz w:val="28"/>
          <w:szCs w:val="28"/>
        </w:rPr>
        <w:t>о населения подлежало 6 492 869 </w:t>
      </w:r>
      <w:r w:rsidRPr="005E58C6">
        <w:rPr>
          <w:rFonts w:ascii="Times New Roman" w:hAnsi="Times New Roman" w:cs="Times New Roman"/>
          <w:sz w:val="28"/>
          <w:szCs w:val="28"/>
        </w:rPr>
        <w:t>человек, прошли профилактические осмотры 5</w:t>
      </w:r>
      <w:r w:rsidR="00DF1213">
        <w:rPr>
          <w:rFonts w:ascii="Times New Roman" w:hAnsi="Times New Roman" w:cs="Times New Roman"/>
          <w:sz w:val="28"/>
          <w:szCs w:val="28"/>
        </w:rPr>
        <w:t> </w:t>
      </w:r>
      <w:r w:rsidRPr="005E58C6">
        <w:rPr>
          <w:rFonts w:ascii="Times New Roman" w:hAnsi="Times New Roman" w:cs="Times New Roman"/>
          <w:sz w:val="28"/>
          <w:szCs w:val="28"/>
        </w:rPr>
        <w:t>232</w:t>
      </w:r>
      <w:r w:rsidR="00DF1213">
        <w:rPr>
          <w:rFonts w:ascii="Times New Roman" w:hAnsi="Times New Roman" w:cs="Times New Roman"/>
          <w:sz w:val="28"/>
          <w:szCs w:val="28"/>
        </w:rPr>
        <w:t> </w:t>
      </w:r>
      <w:r w:rsidRPr="005E58C6">
        <w:rPr>
          <w:rFonts w:ascii="Times New Roman" w:hAnsi="Times New Roman" w:cs="Times New Roman"/>
          <w:sz w:val="28"/>
          <w:szCs w:val="28"/>
        </w:rPr>
        <w:t>017 человек, что составило 80,6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годового плана, объем финансовых средств</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направленных на указанные мероприятия</w:t>
      </w:r>
      <w:r w:rsidR="0081736E">
        <w:rPr>
          <w:rFonts w:ascii="Times New Roman" w:hAnsi="Times New Roman" w:cs="Times New Roman"/>
          <w:sz w:val="28"/>
          <w:szCs w:val="28"/>
        </w:rPr>
        <w:t xml:space="preserve">, </w:t>
      </w:r>
      <w:r w:rsidRPr="005E58C6">
        <w:rPr>
          <w:rFonts w:ascii="Times New Roman" w:hAnsi="Times New Roman" w:cs="Times New Roman"/>
          <w:sz w:val="28"/>
          <w:szCs w:val="28"/>
        </w:rPr>
        <w:t xml:space="preserve"> составил 4</w:t>
      </w:r>
      <w:r w:rsidR="00DF1213">
        <w:rPr>
          <w:rFonts w:ascii="Times New Roman" w:hAnsi="Times New Roman" w:cs="Times New Roman"/>
          <w:sz w:val="28"/>
          <w:szCs w:val="28"/>
        </w:rPr>
        <w:t> </w:t>
      </w:r>
      <w:r w:rsidRPr="005E58C6">
        <w:rPr>
          <w:rFonts w:ascii="Times New Roman" w:hAnsi="Times New Roman" w:cs="Times New Roman"/>
          <w:sz w:val="28"/>
          <w:szCs w:val="28"/>
        </w:rPr>
        <w:t>111</w:t>
      </w:r>
      <w:r w:rsidR="00DF1213">
        <w:rPr>
          <w:rFonts w:ascii="Times New Roman" w:hAnsi="Times New Roman" w:cs="Times New Roman"/>
          <w:sz w:val="28"/>
          <w:szCs w:val="28"/>
        </w:rPr>
        <w:t> </w:t>
      </w:r>
      <w:r w:rsidRPr="005E58C6">
        <w:rPr>
          <w:rFonts w:ascii="Times New Roman" w:hAnsi="Times New Roman" w:cs="Times New Roman"/>
          <w:sz w:val="28"/>
          <w:szCs w:val="28"/>
        </w:rPr>
        <w:t>359,80 тыс.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Диспансеризации пребывающих в стационарных учреждениях детей-сирот и детей, находящихся в трудной жизненной ситуации, подлежало 190 192 человека, прошли диспансеризацию 190 887 человек, что составляет 100,4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годового плана, объем финансовых средств направленных на реализацию указанного мероприятия составил 863</w:t>
      </w:r>
      <w:r w:rsidR="00DF1213">
        <w:rPr>
          <w:rFonts w:ascii="Times New Roman" w:hAnsi="Times New Roman" w:cs="Times New Roman"/>
          <w:sz w:val="28"/>
          <w:szCs w:val="28"/>
        </w:rPr>
        <w:t> </w:t>
      </w:r>
      <w:r w:rsidRPr="005E58C6">
        <w:rPr>
          <w:rFonts w:ascii="Times New Roman" w:hAnsi="Times New Roman" w:cs="Times New Roman"/>
          <w:sz w:val="28"/>
          <w:szCs w:val="28"/>
        </w:rPr>
        <w:t>015,82 тыс.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подлежало 329</w:t>
      </w:r>
      <w:r w:rsidR="00DF1213">
        <w:rPr>
          <w:rFonts w:ascii="Times New Roman" w:hAnsi="Times New Roman" w:cs="Times New Roman"/>
          <w:sz w:val="28"/>
          <w:szCs w:val="28"/>
        </w:rPr>
        <w:t> </w:t>
      </w:r>
      <w:r w:rsidRPr="005E58C6">
        <w:rPr>
          <w:rFonts w:ascii="Times New Roman" w:hAnsi="Times New Roman" w:cs="Times New Roman"/>
          <w:sz w:val="28"/>
          <w:szCs w:val="28"/>
        </w:rPr>
        <w:t>564 человека, прошли диспансеризацию 307 480 человек, что составляет 93,3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годового плана, объем финансовых средств</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направленных на реализацию указанного мероприятия</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составил 1</w:t>
      </w:r>
      <w:r w:rsidR="00DF1213">
        <w:rPr>
          <w:rFonts w:ascii="Times New Roman" w:hAnsi="Times New Roman" w:cs="Times New Roman"/>
          <w:sz w:val="28"/>
          <w:szCs w:val="28"/>
        </w:rPr>
        <w:t> </w:t>
      </w:r>
      <w:r w:rsidRPr="005E58C6">
        <w:rPr>
          <w:rFonts w:ascii="Times New Roman" w:hAnsi="Times New Roman" w:cs="Times New Roman"/>
          <w:sz w:val="28"/>
          <w:szCs w:val="28"/>
        </w:rPr>
        <w:t>441</w:t>
      </w:r>
      <w:r w:rsidR="00DF1213">
        <w:rPr>
          <w:rFonts w:ascii="Times New Roman" w:hAnsi="Times New Roman" w:cs="Times New Roman"/>
          <w:sz w:val="28"/>
          <w:szCs w:val="28"/>
        </w:rPr>
        <w:t> </w:t>
      </w:r>
      <w:r w:rsidRPr="005E58C6">
        <w:rPr>
          <w:rFonts w:ascii="Times New Roman" w:hAnsi="Times New Roman" w:cs="Times New Roman"/>
          <w:sz w:val="28"/>
          <w:szCs w:val="28"/>
        </w:rPr>
        <w:t xml:space="preserve">533, 29 тыс. рублей.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Профилактическим осмотрам несовершеннолетних подлежало 26</w:t>
      </w:r>
      <w:r w:rsidR="00DF1213">
        <w:rPr>
          <w:rFonts w:ascii="Times New Roman" w:hAnsi="Times New Roman" w:cs="Times New Roman"/>
          <w:sz w:val="28"/>
          <w:szCs w:val="28"/>
        </w:rPr>
        <w:t> 449 </w:t>
      </w:r>
      <w:r w:rsidRPr="005E58C6">
        <w:rPr>
          <w:rFonts w:ascii="Times New Roman" w:hAnsi="Times New Roman" w:cs="Times New Roman"/>
          <w:sz w:val="28"/>
          <w:szCs w:val="28"/>
        </w:rPr>
        <w:t>737 человек, прошли профилактические осмотры несовершеннолетние 21</w:t>
      </w:r>
      <w:r w:rsidR="00DF1213">
        <w:rPr>
          <w:rFonts w:ascii="Times New Roman" w:hAnsi="Times New Roman" w:cs="Times New Roman"/>
          <w:sz w:val="28"/>
          <w:szCs w:val="28"/>
        </w:rPr>
        <w:t> </w:t>
      </w:r>
      <w:r w:rsidRPr="005E58C6">
        <w:rPr>
          <w:rFonts w:ascii="Times New Roman" w:hAnsi="Times New Roman" w:cs="Times New Roman"/>
          <w:sz w:val="28"/>
          <w:szCs w:val="28"/>
        </w:rPr>
        <w:t>911</w:t>
      </w:r>
      <w:r w:rsidR="00DF1213">
        <w:rPr>
          <w:rFonts w:ascii="Times New Roman" w:hAnsi="Times New Roman" w:cs="Times New Roman"/>
          <w:sz w:val="28"/>
          <w:szCs w:val="28"/>
        </w:rPr>
        <w:t> </w:t>
      </w:r>
      <w:r w:rsidRPr="005E58C6">
        <w:rPr>
          <w:rFonts w:ascii="Times New Roman" w:hAnsi="Times New Roman" w:cs="Times New Roman"/>
          <w:sz w:val="28"/>
          <w:szCs w:val="28"/>
        </w:rPr>
        <w:t>626 человек, что составляет 82,8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годового плана, объем финансовых средств направленных на реализацию указанного мероприятия составил</w:t>
      </w:r>
      <w:r w:rsidR="00DF1213">
        <w:rPr>
          <w:rFonts w:ascii="Times New Roman" w:hAnsi="Times New Roman" w:cs="Times New Roman"/>
          <w:sz w:val="28"/>
          <w:szCs w:val="28"/>
        </w:rPr>
        <w:t xml:space="preserve"> 29 497 543,</w:t>
      </w:r>
      <w:r w:rsidRPr="005E58C6">
        <w:rPr>
          <w:rFonts w:ascii="Times New Roman" w:hAnsi="Times New Roman" w:cs="Times New Roman"/>
          <w:sz w:val="28"/>
          <w:szCs w:val="28"/>
        </w:rPr>
        <w:t xml:space="preserve">34 тыс. рублей. Реализация профилактических мероприятий за 2018 год представлена в таблице 4.3. </w:t>
      </w: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DF1213" w:rsidRDefault="00DF1213" w:rsidP="00DF1213">
      <w:pPr>
        <w:widowControl w:val="0"/>
        <w:spacing w:after="0" w:line="312" w:lineRule="auto"/>
        <w:ind w:firstLine="709"/>
        <w:jc w:val="right"/>
        <w:rPr>
          <w:rFonts w:ascii="Times New Roman" w:hAnsi="Times New Roman" w:cs="Times New Roman"/>
          <w:sz w:val="28"/>
          <w:szCs w:val="28"/>
        </w:rPr>
      </w:pPr>
    </w:p>
    <w:p w:rsidR="005E58C6" w:rsidRPr="005E58C6" w:rsidRDefault="005E58C6" w:rsidP="00DF1213">
      <w:pPr>
        <w:widowControl w:val="0"/>
        <w:spacing w:after="0" w:line="312" w:lineRule="auto"/>
        <w:ind w:firstLine="709"/>
        <w:jc w:val="right"/>
        <w:rPr>
          <w:rFonts w:ascii="Times New Roman" w:hAnsi="Times New Roman" w:cs="Times New Roman"/>
          <w:sz w:val="28"/>
          <w:szCs w:val="28"/>
        </w:rPr>
      </w:pPr>
      <w:r w:rsidRPr="005E58C6">
        <w:rPr>
          <w:rFonts w:ascii="Times New Roman" w:hAnsi="Times New Roman" w:cs="Times New Roman"/>
          <w:sz w:val="28"/>
          <w:szCs w:val="28"/>
        </w:rPr>
        <w:lastRenderedPageBreak/>
        <w:t>Таблица 4.3.</w:t>
      </w:r>
    </w:p>
    <w:p w:rsidR="005E58C6" w:rsidRPr="00DF1213" w:rsidRDefault="005E58C6" w:rsidP="00DF1213">
      <w:pPr>
        <w:widowControl w:val="0"/>
        <w:spacing w:after="0" w:line="312" w:lineRule="auto"/>
        <w:jc w:val="both"/>
        <w:rPr>
          <w:rFonts w:ascii="Times New Roman" w:hAnsi="Times New Roman" w:cs="Times New Roman"/>
          <w:b/>
          <w:sz w:val="28"/>
          <w:szCs w:val="28"/>
        </w:rPr>
      </w:pPr>
      <w:r w:rsidRPr="00DF1213">
        <w:rPr>
          <w:rFonts w:ascii="Times New Roman" w:hAnsi="Times New Roman" w:cs="Times New Roman"/>
          <w:b/>
          <w:sz w:val="28"/>
          <w:szCs w:val="28"/>
        </w:rPr>
        <w:t xml:space="preserve">Реализация профилактических мероприятий по Российской Федерации </w:t>
      </w:r>
    </w:p>
    <w:tbl>
      <w:tblPr>
        <w:tblStyle w:val="a9"/>
        <w:tblW w:w="9747" w:type="dxa"/>
        <w:tblLayout w:type="fixed"/>
        <w:tblLook w:val="04A0"/>
      </w:tblPr>
      <w:tblGrid>
        <w:gridCol w:w="2939"/>
        <w:gridCol w:w="1847"/>
        <w:gridCol w:w="1701"/>
        <w:gridCol w:w="1418"/>
        <w:gridCol w:w="1842"/>
      </w:tblGrid>
      <w:tr w:rsidR="00DF1213" w:rsidRPr="000208A6" w:rsidTr="00DF1213">
        <w:trPr>
          <w:trHeight w:val="562"/>
        </w:trPr>
        <w:tc>
          <w:tcPr>
            <w:tcW w:w="2939" w:type="dxa"/>
            <w:vMerge w:val="restart"/>
            <w:vAlign w:val="center"/>
            <w:hideMark/>
          </w:tcPr>
          <w:p w:rsidR="00DF1213" w:rsidRPr="000208A6" w:rsidRDefault="00DF1213" w:rsidP="00DF1213">
            <w:pPr>
              <w:jc w:val="center"/>
              <w:rPr>
                <w:rFonts w:ascii="Times New Roman" w:hAnsi="Times New Roman"/>
                <w:bCs/>
              </w:rPr>
            </w:pPr>
            <w:r w:rsidRPr="000208A6">
              <w:rPr>
                <w:rFonts w:ascii="Times New Roman" w:hAnsi="Times New Roman"/>
                <w:bCs/>
              </w:rPr>
              <w:t>Профилактические мероприятия</w:t>
            </w:r>
          </w:p>
          <w:p w:rsidR="00DF1213" w:rsidRPr="000208A6" w:rsidRDefault="00DF1213" w:rsidP="00DF1213">
            <w:pPr>
              <w:jc w:val="center"/>
              <w:rPr>
                <w:rFonts w:ascii="Times New Roman" w:hAnsi="Times New Roman"/>
                <w:b/>
                <w:bCs/>
              </w:rPr>
            </w:pPr>
            <w:r w:rsidRPr="000208A6">
              <w:rPr>
                <w:rFonts w:ascii="Times New Roman" w:hAnsi="Times New Roman"/>
                <w:b/>
                <w:bCs/>
              </w:rPr>
              <w:t>(ПМ)</w:t>
            </w:r>
          </w:p>
        </w:tc>
        <w:tc>
          <w:tcPr>
            <w:tcW w:w="6808" w:type="dxa"/>
            <w:gridSpan w:val="4"/>
            <w:hideMark/>
          </w:tcPr>
          <w:p w:rsidR="00DF1213" w:rsidRPr="000208A6" w:rsidRDefault="00DF1213" w:rsidP="00DF1213">
            <w:pPr>
              <w:jc w:val="center"/>
              <w:rPr>
                <w:rFonts w:ascii="Times New Roman" w:hAnsi="Times New Roman"/>
                <w:b/>
                <w:bCs/>
              </w:rPr>
            </w:pPr>
            <w:r w:rsidRPr="000208A6">
              <w:rPr>
                <w:rFonts w:ascii="Times New Roman" w:hAnsi="Times New Roman"/>
                <w:b/>
                <w:bCs/>
              </w:rPr>
              <w:t>в 2018 году</w:t>
            </w:r>
          </w:p>
        </w:tc>
      </w:tr>
      <w:tr w:rsidR="00DF1213" w:rsidRPr="000208A6" w:rsidTr="00DF1213">
        <w:trPr>
          <w:trHeight w:val="1655"/>
        </w:trPr>
        <w:tc>
          <w:tcPr>
            <w:tcW w:w="2939" w:type="dxa"/>
            <w:vMerge/>
            <w:hideMark/>
          </w:tcPr>
          <w:p w:rsidR="00DF1213" w:rsidRPr="000208A6" w:rsidRDefault="00DF1213" w:rsidP="00DF1213">
            <w:pPr>
              <w:rPr>
                <w:rFonts w:ascii="Times New Roman" w:hAnsi="Times New Roman"/>
                <w:b/>
                <w:bCs/>
              </w:rPr>
            </w:pPr>
          </w:p>
        </w:tc>
        <w:tc>
          <w:tcPr>
            <w:tcW w:w="1847" w:type="dxa"/>
            <w:hideMark/>
          </w:tcPr>
          <w:p w:rsidR="00DF1213" w:rsidRPr="000208A6" w:rsidRDefault="00DF1213" w:rsidP="00DF1213">
            <w:pPr>
              <w:jc w:val="center"/>
              <w:rPr>
                <w:rFonts w:ascii="Times New Roman" w:hAnsi="Times New Roman"/>
                <w:bCs/>
              </w:rPr>
            </w:pPr>
            <w:r w:rsidRPr="000208A6">
              <w:rPr>
                <w:rFonts w:ascii="Times New Roman" w:hAnsi="Times New Roman"/>
                <w:bCs/>
              </w:rPr>
              <w:t>Численность ЗЛ, подлежащих</w:t>
            </w:r>
          </w:p>
          <w:p w:rsidR="00DF1213" w:rsidRPr="000208A6" w:rsidRDefault="00DF1213" w:rsidP="00DF1213">
            <w:pPr>
              <w:jc w:val="center"/>
              <w:rPr>
                <w:rFonts w:ascii="Times New Roman" w:hAnsi="Times New Roman"/>
                <w:b/>
                <w:bCs/>
              </w:rPr>
            </w:pPr>
            <w:r w:rsidRPr="000208A6">
              <w:rPr>
                <w:rFonts w:ascii="Times New Roman" w:hAnsi="Times New Roman"/>
                <w:b/>
                <w:bCs/>
              </w:rPr>
              <w:t>ПМ</w:t>
            </w:r>
          </w:p>
          <w:p w:rsidR="00DF1213" w:rsidRPr="000208A6" w:rsidRDefault="00DF1213" w:rsidP="00DF1213">
            <w:pPr>
              <w:jc w:val="center"/>
              <w:rPr>
                <w:rFonts w:ascii="Times New Roman" w:hAnsi="Times New Roman"/>
                <w:b/>
                <w:bCs/>
                <w:i/>
              </w:rPr>
            </w:pPr>
            <w:r w:rsidRPr="000208A6">
              <w:rPr>
                <w:rFonts w:ascii="Times New Roman" w:hAnsi="Times New Roman"/>
                <w:bCs/>
              </w:rPr>
              <w:t>(человек)</w:t>
            </w:r>
          </w:p>
        </w:tc>
        <w:tc>
          <w:tcPr>
            <w:tcW w:w="1701" w:type="dxa"/>
            <w:hideMark/>
          </w:tcPr>
          <w:p w:rsidR="00DF1213" w:rsidRPr="000208A6" w:rsidRDefault="00DF1213" w:rsidP="00DF1213">
            <w:pPr>
              <w:jc w:val="center"/>
              <w:rPr>
                <w:rFonts w:ascii="Times New Roman" w:hAnsi="Times New Roman"/>
                <w:b/>
                <w:bCs/>
              </w:rPr>
            </w:pPr>
            <w:r w:rsidRPr="000208A6">
              <w:rPr>
                <w:rFonts w:ascii="Times New Roman" w:hAnsi="Times New Roman"/>
                <w:bCs/>
              </w:rPr>
              <w:t xml:space="preserve">Численность ЗЛ, прошедших </w:t>
            </w:r>
            <w:r w:rsidRPr="000208A6">
              <w:rPr>
                <w:rFonts w:ascii="Times New Roman" w:hAnsi="Times New Roman"/>
                <w:b/>
                <w:bCs/>
              </w:rPr>
              <w:t>ПМ</w:t>
            </w:r>
          </w:p>
          <w:p w:rsidR="00DF1213" w:rsidRPr="000208A6" w:rsidRDefault="00DF1213" w:rsidP="00DF1213">
            <w:pPr>
              <w:jc w:val="center"/>
              <w:rPr>
                <w:rFonts w:ascii="Times New Roman" w:hAnsi="Times New Roman"/>
                <w:b/>
                <w:bCs/>
                <w:i/>
              </w:rPr>
            </w:pPr>
            <w:r w:rsidRPr="000208A6">
              <w:rPr>
                <w:rFonts w:ascii="Times New Roman" w:hAnsi="Times New Roman"/>
                <w:bCs/>
              </w:rPr>
              <w:t>(человек)</w:t>
            </w:r>
          </w:p>
        </w:tc>
        <w:tc>
          <w:tcPr>
            <w:tcW w:w="1418" w:type="dxa"/>
            <w:hideMark/>
          </w:tcPr>
          <w:p w:rsidR="00DF1213" w:rsidRPr="000208A6" w:rsidRDefault="00000709" w:rsidP="00DF1213">
            <w:pPr>
              <w:jc w:val="center"/>
              <w:rPr>
                <w:rFonts w:ascii="Times New Roman" w:hAnsi="Times New Roman"/>
                <w:bCs/>
              </w:rPr>
            </w:pPr>
            <w:r>
              <w:rPr>
                <w:rFonts w:ascii="Times New Roman" w:hAnsi="Times New Roman"/>
                <w:bCs/>
              </w:rPr>
              <w:t> %</w:t>
            </w:r>
          </w:p>
          <w:p w:rsidR="00DF1213" w:rsidRPr="000208A6" w:rsidRDefault="00DF1213" w:rsidP="00DF1213">
            <w:pPr>
              <w:jc w:val="center"/>
              <w:rPr>
                <w:rFonts w:ascii="Times New Roman" w:hAnsi="Times New Roman"/>
                <w:b/>
                <w:bCs/>
              </w:rPr>
            </w:pPr>
            <w:r w:rsidRPr="000208A6">
              <w:rPr>
                <w:rFonts w:ascii="Times New Roman" w:hAnsi="Times New Roman"/>
                <w:bCs/>
              </w:rPr>
              <w:t>выполнения</w:t>
            </w:r>
          </w:p>
        </w:tc>
        <w:tc>
          <w:tcPr>
            <w:tcW w:w="1842" w:type="dxa"/>
            <w:hideMark/>
          </w:tcPr>
          <w:p w:rsidR="00DF1213" w:rsidRPr="000208A6" w:rsidRDefault="00DF1213" w:rsidP="00DF1213">
            <w:pPr>
              <w:jc w:val="center"/>
              <w:rPr>
                <w:rFonts w:ascii="Times New Roman" w:hAnsi="Times New Roman"/>
                <w:bCs/>
              </w:rPr>
            </w:pPr>
            <w:r w:rsidRPr="000208A6">
              <w:rPr>
                <w:rFonts w:ascii="Times New Roman" w:hAnsi="Times New Roman"/>
                <w:bCs/>
              </w:rPr>
              <w:t>Объем финансирования за ПМ</w:t>
            </w:r>
          </w:p>
          <w:p w:rsidR="00DF1213" w:rsidRPr="000208A6" w:rsidRDefault="00DF1213" w:rsidP="00DF1213">
            <w:pPr>
              <w:jc w:val="center"/>
              <w:rPr>
                <w:rFonts w:ascii="Times New Roman" w:hAnsi="Times New Roman"/>
                <w:bCs/>
              </w:rPr>
            </w:pPr>
            <w:r w:rsidRPr="000208A6">
              <w:rPr>
                <w:rFonts w:ascii="Times New Roman" w:hAnsi="Times New Roman"/>
                <w:bCs/>
              </w:rPr>
              <w:t>(тыс. рублей)</w:t>
            </w:r>
          </w:p>
        </w:tc>
      </w:tr>
      <w:tr w:rsidR="00DF1213" w:rsidRPr="000208A6" w:rsidTr="00DF1213">
        <w:trPr>
          <w:trHeight w:val="828"/>
        </w:trPr>
        <w:tc>
          <w:tcPr>
            <w:tcW w:w="2939" w:type="dxa"/>
            <w:hideMark/>
          </w:tcPr>
          <w:p w:rsidR="00DF1213" w:rsidRPr="000208A6" w:rsidRDefault="00DF1213" w:rsidP="00DF1213">
            <w:pPr>
              <w:rPr>
                <w:rFonts w:ascii="Times New Roman" w:hAnsi="Times New Roman"/>
              </w:rPr>
            </w:pPr>
            <w:r w:rsidRPr="000208A6">
              <w:rPr>
                <w:rFonts w:ascii="Times New Roman" w:hAnsi="Times New Roman"/>
              </w:rPr>
              <w:t>Диспансеризация определенных групп взрослого населения</w:t>
            </w:r>
          </w:p>
        </w:tc>
        <w:tc>
          <w:tcPr>
            <w:tcW w:w="1847"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30 739 083</w:t>
            </w:r>
          </w:p>
        </w:tc>
        <w:tc>
          <w:tcPr>
            <w:tcW w:w="1701"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22 967 780</w:t>
            </w:r>
          </w:p>
        </w:tc>
        <w:tc>
          <w:tcPr>
            <w:tcW w:w="1418"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74,7</w:t>
            </w:r>
          </w:p>
        </w:tc>
        <w:tc>
          <w:tcPr>
            <w:tcW w:w="1842"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26 863 497,46</w:t>
            </w:r>
          </w:p>
        </w:tc>
      </w:tr>
      <w:tr w:rsidR="00DF1213" w:rsidRPr="000208A6" w:rsidTr="00DF1213">
        <w:trPr>
          <w:trHeight w:val="833"/>
        </w:trPr>
        <w:tc>
          <w:tcPr>
            <w:tcW w:w="2939" w:type="dxa"/>
            <w:hideMark/>
          </w:tcPr>
          <w:p w:rsidR="00DF1213" w:rsidRPr="000208A6" w:rsidRDefault="00DF1213" w:rsidP="00DF1213">
            <w:pPr>
              <w:rPr>
                <w:rFonts w:ascii="Times New Roman" w:hAnsi="Times New Roman"/>
              </w:rPr>
            </w:pPr>
            <w:r w:rsidRPr="000208A6">
              <w:rPr>
                <w:rFonts w:ascii="Times New Roman" w:hAnsi="Times New Roman"/>
              </w:rPr>
              <w:t>Профилактические медицинские осмотры взрослого населения</w:t>
            </w:r>
          </w:p>
        </w:tc>
        <w:tc>
          <w:tcPr>
            <w:tcW w:w="1847"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6 492 869</w:t>
            </w:r>
          </w:p>
        </w:tc>
        <w:tc>
          <w:tcPr>
            <w:tcW w:w="1701"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5 232 017</w:t>
            </w:r>
          </w:p>
        </w:tc>
        <w:tc>
          <w:tcPr>
            <w:tcW w:w="1418"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80,6</w:t>
            </w:r>
          </w:p>
        </w:tc>
        <w:tc>
          <w:tcPr>
            <w:tcW w:w="1842"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4 111 359,80</w:t>
            </w:r>
          </w:p>
        </w:tc>
      </w:tr>
      <w:tr w:rsidR="00DF1213" w:rsidRPr="000208A6" w:rsidTr="00DF1213">
        <w:trPr>
          <w:trHeight w:val="338"/>
        </w:trPr>
        <w:tc>
          <w:tcPr>
            <w:tcW w:w="2939" w:type="dxa"/>
            <w:hideMark/>
          </w:tcPr>
          <w:p w:rsidR="00DF1213" w:rsidRPr="000208A6" w:rsidRDefault="00DF1213" w:rsidP="00DF1213">
            <w:pPr>
              <w:rPr>
                <w:rFonts w:ascii="Times New Roman" w:hAnsi="Times New Roman"/>
                <w:b/>
                <w:bCs/>
                <w:i/>
                <w:iCs/>
              </w:rPr>
            </w:pPr>
            <w:r w:rsidRPr="000208A6">
              <w:rPr>
                <w:rFonts w:ascii="Times New Roman" w:hAnsi="Times New Roman"/>
                <w:b/>
                <w:bCs/>
                <w:i/>
                <w:iCs/>
              </w:rPr>
              <w:t>Всего взрослых</w:t>
            </w:r>
          </w:p>
        </w:tc>
        <w:tc>
          <w:tcPr>
            <w:tcW w:w="1847"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37 231 952</w:t>
            </w:r>
          </w:p>
        </w:tc>
        <w:tc>
          <w:tcPr>
            <w:tcW w:w="1701"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28 199 797</w:t>
            </w:r>
          </w:p>
        </w:tc>
        <w:tc>
          <w:tcPr>
            <w:tcW w:w="1418"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75,7</w:t>
            </w:r>
          </w:p>
        </w:tc>
        <w:tc>
          <w:tcPr>
            <w:tcW w:w="1842"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30 974 857,26</w:t>
            </w:r>
          </w:p>
        </w:tc>
      </w:tr>
      <w:tr w:rsidR="00DF1213" w:rsidRPr="000208A6" w:rsidTr="00DF1213">
        <w:trPr>
          <w:trHeight w:val="1596"/>
        </w:trPr>
        <w:tc>
          <w:tcPr>
            <w:tcW w:w="2939" w:type="dxa"/>
            <w:hideMark/>
          </w:tcPr>
          <w:p w:rsidR="00DF1213" w:rsidRPr="000208A6" w:rsidRDefault="00DF1213" w:rsidP="00DF1213">
            <w:pPr>
              <w:rPr>
                <w:rFonts w:ascii="Times New Roman" w:hAnsi="Times New Roman"/>
              </w:rPr>
            </w:pPr>
            <w:r w:rsidRPr="000208A6">
              <w:rPr>
                <w:rFonts w:ascii="Times New Roman" w:hAnsi="Times New Roman"/>
              </w:rPr>
              <w:t>Диспансеризация пребывающих в стационарных учреждениях детей-сирот и детей, находящихся в трудной жизненной ситуации</w:t>
            </w:r>
          </w:p>
        </w:tc>
        <w:tc>
          <w:tcPr>
            <w:tcW w:w="1847"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190 192</w:t>
            </w:r>
          </w:p>
        </w:tc>
        <w:tc>
          <w:tcPr>
            <w:tcW w:w="1701"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190 887</w:t>
            </w:r>
          </w:p>
        </w:tc>
        <w:tc>
          <w:tcPr>
            <w:tcW w:w="1418"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100,4</w:t>
            </w:r>
          </w:p>
        </w:tc>
        <w:tc>
          <w:tcPr>
            <w:tcW w:w="1842"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863 015,82</w:t>
            </w:r>
          </w:p>
        </w:tc>
      </w:tr>
      <w:tr w:rsidR="00DF1213" w:rsidRPr="000208A6" w:rsidTr="00DF1213">
        <w:trPr>
          <w:trHeight w:val="2114"/>
        </w:trPr>
        <w:tc>
          <w:tcPr>
            <w:tcW w:w="2939" w:type="dxa"/>
            <w:hideMark/>
          </w:tcPr>
          <w:p w:rsidR="00DF1213" w:rsidRPr="000208A6" w:rsidRDefault="00DF1213" w:rsidP="00DF1213">
            <w:pPr>
              <w:rPr>
                <w:rFonts w:ascii="Times New Roman" w:hAnsi="Times New Roman"/>
              </w:rPr>
            </w:pPr>
            <w:r w:rsidRPr="000208A6">
              <w:rPr>
                <w:rFonts w:ascii="Times New Roman" w:hAnsi="Times New Roman"/>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1847"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329 564</w:t>
            </w:r>
          </w:p>
        </w:tc>
        <w:tc>
          <w:tcPr>
            <w:tcW w:w="1701"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307 480</w:t>
            </w:r>
          </w:p>
        </w:tc>
        <w:tc>
          <w:tcPr>
            <w:tcW w:w="1418"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93,3</w:t>
            </w:r>
          </w:p>
        </w:tc>
        <w:tc>
          <w:tcPr>
            <w:tcW w:w="1842"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1 441 533,29</w:t>
            </w:r>
          </w:p>
        </w:tc>
      </w:tr>
      <w:tr w:rsidR="00DF1213" w:rsidRPr="000208A6" w:rsidTr="00DF1213">
        <w:trPr>
          <w:trHeight w:val="270"/>
        </w:trPr>
        <w:tc>
          <w:tcPr>
            <w:tcW w:w="2939" w:type="dxa"/>
            <w:hideMark/>
          </w:tcPr>
          <w:p w:rsidR="00DF1213" w:rsidRPr="000208A6" w:rsidRDefault="00DF1213" w:rsidP="00DF1213">
            <w:pPr>
              <w:rPr>
                <w:rFonts w:ascii="Times New Roman" w:hAnsi="Times New Roman"/>
                <w:b/>
                <w:bCs/>
                <w:i/>
                <w:iCs/>
              </w:rPr>
            </w:pPr>
            <w:r w:rsidRPr="000208A6">
              <w:rPr>
                <w:rFonts w:ascii="Times New Roman" w:hAnsi="Times New Roman"/>
                <w:b/>
                <w:bCs/>
                <w:i/>
                <w:iCs/>
              </w:rPr>
              <w:t>Всего детей</w:t>
            </w:r>
          </w:p>
        </w:tc>
        <w:tc>
          <w:tcPr>
            <w:tcW w:w="1847"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519 756</w:t>
            </w:r>
          </w:p>
        </w:tc>
        <w:tc>
          <w:tcPr>
            <w:tcW w:w="1701"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498 367</w:t>
            </w:r>
          </w:p>
        </w:tc>
        <w:tc>
          <w:tcPr>
            <w:tcW w:w="1418"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95,9</w:t>
            </w:r>
          </w:p>
        </w:tc>
        <w:tc>
          <w:tcPr>
            <w:tcW w:w="1842"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2 304 549,11</w:t>
            </w:r>
          </w:p>
        </w:tc>
      </w:tr>
      <w:tr w:rsidR="00DF1213" w:rsidRPr="000208A6" w:rsidTr="00DF1213">
        <w:trPr>
          <w:trHeight w:val="521"/>
        </w:trPr>
        <w:tc>
          <w:tcPr>
            <w:tcW w:w="2939" w:type="dxa"/>
            <w:hideMark/>
          </w:tcPr>
          <w:p w:rsidR="00DF1213" w:rsidRPr="000208A6" w:rsidRDefault="00DF1213" w:rsidP="00DF1213">
            <w:pPr>
              <w:rPr>
                <w:rFonts w:ascii="Times New Roman" w:hAnsi="Times New Roman"/>
                <w:bCs/>
                <w:iCs/>
              </w:rPr>
            </w:pPr>
            <w:r w:rsidRPr="000208A6">
              <w:rPr>
                <w:rFonts w:ascii="Times New Roman" w:hAnsi="Times New Roman"/>
                <w:bCs/>
                <w:iCs/>
              </w:rPr>
              <w:t>Профилактические осмотры несовершеннолетних</w:t>
            </w:r>
          </w:p>
        </w:tc>
        <w:tc>
          <w:tcPr>
            <w:tcW w:w="1847"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26 449 737</w:t>
            </w:r>
          </w:p>
        </w:tc>
        <w:tc>
          <w:tcPr>
            <w:tcW w:w="1701"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21 911 626</w:t>
            </w:r>
          </w:p>
        </w:tc>
        <w:tc>
          <w:tcPr>
            <w:tcW w:w="1418"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82,8</w:t>
            </w:r>
          </w:p>
        </w:tc>
        <w:tc>
          <w:tcPr>
            <w:tcW w:w="1842" w:type="dxa"/>
            <w:noWrap/>
            <w:vAlign w:val="center"/>
            <w:hideMark/>
          </w:tcPr>
          <w:p w:rsidR="00DF1213" w:rsidRPr="000208A6" w:rsidRDefault="00DF1213" w:rsidP="00DF1213">
            <w:pPr>
              <w:jc w:val="center"/>
              <w:rPr>
                <w:rFonts w:ascii="Times New Roman" w:hAnsi="Times New Roman"/>
              </w:rPr>
            </w:pPr>
            <w:r w:rsidRPr="000208A6">
              <w:rPr>
                <w:rFonts w:ascii="Times New Roman" w:hAnsi="Times New Roman"/>
              </w:rPr>
              <w:t>29 497 543,34</w:t>
            </w:r>
          </w:p>
        </w:tc>
      </w:tr>
      <w:tr w:rsidR="00DF1213" w:rsidRPr="000208A6" w:rsidTr="00DF1213">
        <w:trPr>
          <w:trHeight w:val="613"/>
        </w:trPr>
        <w:tc>
          <w:tcPr>
            <w:tcW w:w="2939" w:type="dxa"/>
            <w:hideMark/>
          </w:tcPr>
          <w:p w:rsidR="00DF1213" w:rsidRPr="000208A6" w:rsidRDefault="00DF1213" w:rsidP="00DF1213">
            <w:pPr>
              <w:rPr>
                <w:rFonts w:ascii="Times New Roman" w:hAnsi="Times New Roman"/>
                <w:b/>
                <w:bCs/>
                <w:i/>
                <w:iCs/>
              </w:rPr>
            </w:pPr>
            <w:r w:rsidRPr="000208A6">
              <w:rPr>
                <w:rFonts w:ascii="Times New Roman" w:hAnsi="Times New Roman"/>
                <w:b/>
                <w:bCs/>
                <w:i/>
                <w:iCs/>
              </w:rPr>
              <w:t>Всего</w:t>
            </w:r>
          </w:p>
        </w:tc>
        <w:tc>
          <w:tcPr>
            <w:tcW w:w="1847"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26 969 493</w:t>
            </w:r>
          </w:p>
        </w:tc>
        <w:tc>
          <w:tcPr>
            <w:tcW w:w="1701"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22 409 993</w:t>
            </w:r>
          </w:p>
        </w:tc>
        <w:tc>
          <w:tcPr>
            <w:tcW w:w="1418" w:type="dxa"/>
            <w:noWrap/>
            <w:vAlign w:val="center"/>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83,1</w:t>
            </w:r>
          </w:p>
        </w:tc>
        <w:tc>
          <w:tcPr>
            <w:tcW w:w="1842"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i/>
                <w:iCs/>
              </w:rPr>
              <w:t>31 802 092,45</w:t>
            </w:r>
          </w:p>
        </w:tc>
      </w:tr>
      <w:tr w:rsidR="00DF1213" w:rsidRPr="004C4F39" w:rsidTr="00DF1213">
        <w:trPr>
          <w:trHeight w:val="405"/>
        </w:trPr>
        <w:tc>
          <w:tcPr>
            <w:tcW w:w="2939" w:type="dxa"/>
            <w:hideMark/>
          </w:tcPr>
          <w:p w:rsidR="00DF1213" w:rsidRPr="000208A6" w:rsidRDefault="00DF1213" w:rsidP="00DF1213">
            <w:pPr>
              <w:rPr>
                <w:rFonts w:ascii="Times New Roman" w:hAnsi="Times New Roman"/>
                <w:b/>
                <w:bCs/>
              </w:rPr>
            </w:pPr>
            <w:r w:rsidRPr="000208A6">
              <w:rPr>
                <w:rFonts w:ascii="Times New Roman" w:hAnsi="Times New Roman"/>
                <w:b/>
                <w:bCs/>
              </w:rPr>
              <w:t>Итого по Российской Федерации</w:t>
            </w:r>
          </w:p>
        </w:tc>
        <w:tc>
          <w:tcPr>
            <w:tcW w:w="1847" w:type="dxa"/>
            <w:noWrap/>
            <w:vAlign w:val="center"/>
            <w:hideMark/>
          </w:tcPr>
          <w:p w:rsidR="00DF1213" w:rsidRPr="000208A6" w:rsidRDefault="00DF1213" w:rsidP="00DF1213">
            <w:pPr>
              <w:jc w:val="center"/>
              <w:rPr>
                <w:rFonts w:ascii="Times New Roman" w:hAnsi="Times New Roman"/>
                <w:b/>
                <w:bCs/>
              </w:rPr>
            </w:pPr>
            <w:r w:rsidRPr="000208A6">
              <w:rPr>
                <w:rFonts w:ascii="Times New Roman" w:hAnsi="Times New Roman"/>
                <w:b/>
                <w:bCs/>
              </w:rPr>
              <w:t>64 201 445</w:t>
            </w:r>
          </w:p>
        </w:tc>
        <w:tc>
          <w:tcPr>
            <w:tcW w:w="1701" w:type="dxa"/>
            <w:noWrap/>
            <w:vAlign w:val="center"/>
            <w:hideMark/>
          </w:tcPr>
          <w:p w:rsidR="00DF1213" w:rsidRPr="000208A6" w:rsidRDefault="00DF1213" w:rsidP="00DF1213">
            <w:pPr>
              <w:jc w:val="center"/>
              <w:rPr>
                <w:rFonts w:ascii="Times New Roman" w:hAnsi="Times New Roman"/>
                <w:b/>
                <w:bCs/>
              </w:rPr>
            </w:pPr>
            <w:r w:rsidRPr="000208A6">
              <w:rPr>
                <w:rFonts w:ascii="Times New Roman" w:hAnsi="Times New Roman"/>
                <w:b/>
                <w:bCs/>
              </w:rPr>
              <w:t>50 609 790</w:t>
            </w:r>
          </w:p>
        </w:tc>
        <w:tc>
          <w:tcPr>
            <w:tcW w:w="1418" w:type="dxa"/>
            <w:noWrap/>
            <w:vAlign w:val="center"/>
            <w:hideMark/>
          </w:tcPr>
          <w:p w:rsidR="00DF1213" w:rsidRPr="000208A6" w:rsidRDefault="00DF1213" w:rsidP="00DF1213">
            <w:pPr>
              <w:jc w:val="center"/>
              <w:rPr>
                <w:rFonts w:ascii="Times New Roman" w:hAnsi="Times New Roman"/>
                <w:b/>
                <w:bCs/>
                <w:i/>
                <w:iCs/>
              </w:rPr>
            </w:pPr>
            <w:r w:rsidRPr="000208A6">
              <w:rPr>
                <w:rFonts w:ascii="Times New Roman" w:hAnsi="Times New Roman"/>
                <w:b/>
                <w:bCs/>
              </w:rPr>
              <w:t>78,8</w:t>
            </w:r>
          </w:p>
        </w:tc>
        <w:tc>
          <w:tcPr>
            <w:tcW w:w="1842" w:type="dxa"/>
            <w:noWrap/>
            <w:vAlign w:val="center"/>
            <w:hideMark/>
          </w:tcPr>
          <w:p w:rsidR="00DF1213" w:rsidRPr="004C4F39" w:rsidRDefault="00DF1213" w:rsidP="00DF1213">
            <w:pPr>
              <w:jc w:val="center"/>
              <w:rPr>
                <w:rFonts w:ascii="Times New Roman" w:hAnsi="Times New Roman"/>
                <w:b/>
                <w:bCs/>
                <w:iCs/>
              </w:rPr>
            </w:pPr>
            <w:r w:rsidRPr="000208A6">
              <w:rPr>
                <w:rFonts w:ascii="Times New Roman" w:hAnsi="Times New Roman"/>
                <w:b/>
                <w:bCs/>
                <w:iCs/>
              </w:rPr>
              <w:t>62 776 949,71</w:t>
            </w:r>
          </w:p>
        </w:tc>
      </w:tr>
    </w:tbl>
    <w:p w:rsidR="0081736E" w:rsidRDefault="0081736E" w:rsidP="005E58C6">
      <w:pPr>
        <w:widowControl w:val="0"/>
        <w:spacing w:after="0" w:line="312" w:lineRule="auto"/>
        <w:ind w:firstLine="709"/>
        <w:jc w:val="both"/>
        <w:rPr>
          <w:rFonts w:ascii="Times New Roman" w:hAnsi="Times New Roman" w:cs="Times New Roman"/>
          <w:i/>
          <w:sz w:val="28"/>
          <w:szCs w:val="28"/>
        </w:rPr>
      </w:pPr>
    </w:p>
    <w:p w:rsidR="005E58C6" w:rsidRPr="00DF1213" w:rsidRDefault="005E58C6" w:rsidP="005E58C6">
      <w:pPr>
        <w:widowControl w:val="0"/>
        <w:spacing w:after="0" w:line="312" w:lineRule="auto"/>
        <w:ind w:firstLine="709"/>
        <w:jc w:val="both"/>
        <w:rPr>
          <w:rFonts w:ascii="Times New Roman" w:hAnsi="Times New Roman" w:cs="Times New Roman"/>
          <w:i/>
          <w:sz w:val="28"/>
          <w:szCs w:val="28"/>
        </w:rPr>
      </w:pPr>
      <w:r w:rsidRPr="00DF1213">
        <w:rPr>
          <w:rFonts w:ascii="Times New Roman" w:hAnsi="Times New Roman" w:cs="Times New Roman"/>
          <w:i/>
          <w:sz w:val="28"/>
          <w:szCs w:val="28"/>
        </w:rPr>
        <w:t>Участие медицинских организаций частной системы здравоохранения в реализации программы государственных гарантий бесплатного оказания гражданам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законодательством Российской Федерации медицинские организации любой организационно-правовой формы и индивидуальные предприниматели, осуществляющие медицинскую деятельность, имеют право участвовать в реализации программы обязательного медицинского страхования.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К медицинским организациям в сфере обязательного медицинского страхования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организации любой предусмотренной законодательством Российской Федерации организационно-правовой формы и индивидуальные предприниматели, осуществляющие медицинскую деятельность.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законодательном уровне установлены одинаковые условия участия в системе обязательного медицинского страхования для медицинских организаций государственной, муниципальной и частной систем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Основной целью включения негосударственных медицинских организаций в сферу обязательного медицинского страхования является создание конкуренции в системе обязательного медицинского страхования и расширение для пациентов права выбора медицинских организаций, что в свою очередь создает условия для повышения качества и доступности медицинской помощи для населения.</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Количество медицинских организаций частной системы здравоохранения, участвующих в реализации территориальных программ, ежегодно увеличивается. В 2018 году  по с</w:t>
      </w:r>
      <w:r w:rsidR="004B7C16">
        <w:rPr>
          <w:rFonts w:ascii="Times New Roman" w:hAnsi="Times New Roman" w:cs="Times New Roman"/>
          <w:sz w:val="28"/>
          <w:szCs w:val="28"/>
        </w:rPr>
        <w:t>равнению с 2017 годом</w:t>
      </w:r>
      <w:r w:rsidR="00DF1213">
        <w:rPr>
          <w:rFonts w:ascii="Times New Roman" w:hAnsi="Times New Roman" w:cs="Times New Roman"/>
          <w:sz w:val="28"/>
          <w:szCs w:val="28"/>
        </w:rPr>
        <w:t xml:space="preserve"> увеличилось </w:t>
      </w:r>
      <w:r w:rsidRPr="005E58C6">
        <w:rPr>
          <w:rFonts w:ascii="Times New Roman" w:hAnsi="Times New Roman" w:cs="Times New Roman"/>
          <w:sz w:val="28"/>
          <w:szCs w:val="28"/>
        </w:rPr>
        <w:t>с 2 732 (25,5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общего числа организаций) до 2 873 (27,3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w:t>
      </w: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Default="00DF1213" w:rsidP="005E58C6">
      <w:pPr>
        <w:widowControl w:val="0"/>
        <w:spacing w:after="0" w:line="312" w:lineRule="auto"/>
        <w:ind w:firstLine="709"/>
        <w:jc w:val="both"/>
        <w:rPr>
          <w:rFonts w:ascii="Times New Roman" w:hAnsi="Times New Roman" w:cs="Times New Roman"/>
          <w:sz w:val="28"/>
          <w:szCs w:val="28"/>
        </w:rPr>
      </w:pPr>
    </w:p>
    <w:p w:rsidR="00DF1213" w:rsidRPr="005E58C6" w:rsidRDefault="00DF1213" w:rsidP="005E58C6">
      <w:pPr>
        <w:widowControl w:val="0"/>
        <w:spacing w:after="0" w:line="312" w:lineRule="auto"/>
        <w:ind w:firstLine="709"/>
        <w:jc w:val="both"/>
        <w:rPr>
          <w:rFonts w:ascii="Times New Roman" w:hAnsi="Times New Roman" w:cs="Times New Roman"/>
          <w:sz w:val="28"/>
          <w:szCs w:val="28"/>
        </w:rPr>
      </w:pPr>
    </w:p>
    <w:p w:rsidR="005E58C6" w:rsidRPr="00DF1213" w:rsidRDefault="005E58C6" w:rsidP="005E58C6">
      <w:pPr>
        <w:widowControl w:val="0"/>
        <w:spacing w:after="0" w:line="312" w:lineRule="auto"/>
        <w:ind w:firstLine="709"/>
        <w:jc w:val="both"/>
        <w:rPr>
          <w:rFonts w:ascii="Times New Roman" w:hAnsi="Times New Roman" w:cs="Times New Roman"/>
          <w:b/>
          <w:sz w:val="28"/>
          <w:szCs w:val="28"/>
        </w:rPr>
      </w:pPr>
      <w:r w:rsidRPr="00DF1213">
        <w:rPr>
          <w:rFonts w:ascii="Times New Roman" w:hAnsi="Times New Roman" w:cs="Times New Roman"/>
          <w:b/>
          <w:sz w:val="28"/>
          <w:szCs w:val="28"/>
        </w:rPr>
        <w:lastRenderedPageBreak/>
        <w:t>Раздел 5. Модернизация систем здравоохранения и обязательного медицинского страхования</w:t>
      </w:r>
    </w:p>
    <w:p w:rsidR="005E58C6" w:rsidRPr="005E58C6" w:rsidRDefault="0082597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совершенствования законодательных и </w:t>
      </w:r>
      <w:r>
        <w:rPr>
          <w:rFonts w:ascii="Times New Roman" w:hAnsi="Times New Roman" w:cs="Times New Roman"/>
          <w:sz w:val="28"/>
          <w:szCs w:val="28"/>
        </w:rPr>
        <w:t xml:space="preserve">иных </w:t>
      </w:r>
      <w:r w:rsidRPr="005E58C6">
        <w:rPr>
          <w:rFonts w:ascii="Times New Roman" w:hAnsi="Times New Roman" w:cs="Times New Roman"/>
          <w:sz w:val="28"/>
          <w:szCs w:val="28"/>
        </w:rPr>
        <w:t>нормативных правовых актов по вопросам обязательного медицинского страхования (далее</w:t>
      </w:r>
      <w:r>
        <w:rPr>
          <w:rFonts w:ascii="Times New Roman" w:hAnsi="Times New Roman" w:cs="Times New Roman"/>
          <w:sz w:val="28"/>
          <w:szCs w:val="28"/>
        </w:rPr>
        <w:t xml:space="preserve"> – </w:t>
      </w:r>
      <w:r w:rsidRPr="005E58C6">
        <w:rPr>
          <w:rFonts w:ascii="Times New Roman" w:hAnsi="Times New Roman" w:cs="Times New Roman"/>
          <w:sz w:val="28"/>
          <w:szCs w:val="28"/>
        </w:rPr>
        <w:t>ОМС) Минздравом России совместно с ФОМС в рамках исполнения функций по выработке государственной политики и нормативно-правовому регулированию в установленно</w:t>
      </w:r>
      <w:r>
        <w:rPr>
          <w:rFonts w:ascii="Times New Roman" w:hAnsi="Times New Roman" w:cs="Times New Roman"/>
          <w:sz w:val="28"/>
          <w:szCs w:val="28"/>
        </w:rPr>
        <w:t>й сфере деятельности разработаны</w:t>
      </w:r>
      <w:r w:rsidRPr="005E58C6">
        <w:rPr>
          <w:rFonts w:ascii="Times New Roman" w:hAnsi="Times New Roman" w:cs="Times New Roman"/>
          <w:sz w:val="28"/>
          <w:szCs w:val="28"/>
        </w:rPr>
        <w:t xml:space="preserve"> и обеспечено</w:t>
      </w:r>
      <w:r>
        <w:rPr>
          <w:rFonts w:ascii="Times New Roman" w:hAnsi="Times New Roman" w:cs="Times New Roman"/>
          <w:sz w:val="28"/>
          <w:szCs w:val="28"/>
        </w:rPr>
        <w:t xml:space="preserve"> сопровождение</w:t>
      </w:r>
      <w:r w:rsidRPr="005E58C6">
        <w:rPr>
          <w:rFonts w:ascii="Times New Roman" w:hAnsi="Times New Roman" w:cs="Times New Roman"/>
          <w:sz w:val="28"/>
          <w:szCs w:val="28"/>
        </w:rPr>
        <w:t xml:space="preserve"> </w:t>
      </w:r>
      <w:r>
        <w:rPr>
          <w:rFonts w:ascii="Times New Roman" w:hAnsi="Times New Roman" w:cs="Times New Roman"/>
          <w:sz w:val="28"/>
          <w:szCs w:val="28"/>
        </w:rPr>
        <w:t>при рассмотрении палатами Федерального Собрания Российской Федерации</w:t>
      </w:r>
      <w:r w:rsidRPr="005E58C6">
        <w:rPr>
          <w:rFonts w:ascii="Times New Roman" w:hAnsi="Times New Roman" w:cs="Times New Roman"/>
          <w:sz w:val="28"/>
          <w:szCs w:val="28"/>
        </w:rPr>
        <w:t xml:space="preserve"> федеральных законов: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от 11 октября 2018 г. </w:t>
      </w:r>
      <w:r>
        <w:rPr>
          <w:rFonts w:ascii="Times New Roman" w:hAnsi="Times New Roman" w:cs="Times New Roman"/>
          <w:sz w:val="28"/>
          <w:szCs w:val="28"/>
        </w:rPr>
        <w:t>№ </w:t>
      </w:r>
      <w:r w:rsidRPr="005E58C6">
        <w:rPr>
          <w:rFonts w:ascii="Times New Roman" w:hAnsi="Times New Roman" w:cs="Times New Roman"/>
          <w:sz w:val="28"/>
          <w:szCs w:val="28"/>
        </w:rPr>
        <w:t>357-ФЗ «Об исполнении бюджета Федерального фонда обязательного медицинского страхования за 2017 год»;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от 28 ноября 2018 г. </w:t>
      </w:r>
      <w:r>
        <w:rPr>
          <w:rFonts w:ascii="Times New Roman" w:hAnsi="Times New Roman" w:cs="Times New Roman"/>
          <w:sz w:val="28"/>
          <w:szCs w:val="28"/>
        </w:rPr>
        <w:t>№ </w:t>
      </w:r>
      <w:r w:rsidRPr="005E58C6">
        <w:rPr>
          <w:rFonts w:ascii="Times New Roman" w:hAnsi="Times New Roman" w:cs="Times New Roman"/>
          <w:sz w:val="28"/>
          <w:szCs w:val="28"/>
        </w:rPr>
        <w:t>433-ФЗ «О бюджете Федерального фонда обязательного медицинского страхования на 2019 год и на плановый период 2020 и 2021 годов»</w:t>
      </w:r>
      <w:r w:rsidR="000A2E63">
        <w:rPr>
          <w:rFonts w:ascii="Times New Roman" w:hAnsi="Times New Roman" w:cs="Times New Roman"/>
          <w:sz w:val="28"/>
          <w:szCs w:val="28"/>
        </w:rPr>
        <w:t xml:space="preserve"> (далее – Федеральный закон № 433-ФЗ)</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от 28 ноября 2018 г. </w:t>
      </w:r>
      <w:r>
        <w:rPr>
          <w:rFonts w:ascii="Times New Roman" w:hAnsi="Times New Roman" w:cs="Times New Roman"/>
          <w:sz w:val="28"/>
          <w:szCs w:val="28"/>
        </w:rPr>
        <w:t>№ </w:t>
      </w:r>
      <w:r w:rsidRPr="005E58C6">
        <w:rPr>
          <w:rFonts w:ascii="Times New Roman" w:hAnsi="Times New Roman" w:cs="Times New Roman"/>
          <w:sz w:val="28"/>
          <w:szCs w:val="28"/>
        </w:rPr>
        <w:t>437-ФЗ «О внесении изменений в Федеральный закон «Об обязательном медицинском страховании в Российской Федерации»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Федеральный закон </w:t>
      </w:r>
      <w:r>
        <w:rPr>
          <w:rFonts w:ascii="Times New Roman" w:hAnsi="Times New Roman" w:cs="Times New Roman"/>
          <w:sz w:val="28"/>
          <w:szCs w:val="28"/>
        </w:rPr>
        <w:t>№ </w:t>
      </w:r>
      <w:r w:rsidRPr="005E58C6">
        <w:rPr>
          <w:rFonts w:ascii="Times New Roman" w:hAnsi="Times New Roman" w:cs="Times New Roman"/>
          <w:sz w:val="28"/>
          <w:szCs w:val="28"/>
        </w:rPr>
        <w:t>437-ФЗ);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от 28 ноября 2018 г. </w:t>
      </w:r>
      <w:r>
        <w:rPr>
          <w:rFonts w:ascii="Times New Roman" w:hAnsi="Times New Roman" w:cs="Times New Roman"/>
          <w:sz w:val="28"/>
          <w:szCs w:val="28"/>
        </w:rPr>
        <w:t>№ </w:t>
      </w:r>
      <w:r w:rsidRPr="005E58C6">
        <w:rPr>
          <w:rFonts w:ascii="Times New Roman" w:hAnsi="Times New Roman" w:cs="Times New Roman"/>
          <w:sz w:val="28"/>
          <w:szCs w:val="28"/>
        </w:rPr>
        <w:t>438-ФЗ «О внесении изменений в Федеральный закон «О размере и порядке расчета тарифа страхового взноса на обязательное медицинское страхование неработающего населения» в части определения коэффициента дифференциации и коэффициента удорожания медицинских услуг»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Федеральный закон </w:t>
      </w:r>
      <w:r>
        <w:rPr>
          <w:rFonts w:ascii="Times New Roman" w:hAnsi="Times New Roman" w:cs="Times New Roman"/>
          <w:sz w:val="28"/>
          <w:szCs w:val="28"/>
        </w:rPr>
        <w:t>№ </w:t>
      </w:r>
      <w:r w:rsidRPr="005E58C6">
        <w:rPr>
          <w:rFonts w:ascii="Times New Roman" w:hAnsi="Times New Roman" w:cs="Times New Roman"/>
          <w:sz w:val="28"/>
          <w:szCs w:val="28"/>
        </w:rPr>
        <w:t>438-ФЗ).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соответствии с ново</w:t>
      </w:r>
      <w:r w:rsidR="000A2E63">
        <w:rPr>
          <w:rFonts w:ascii="Times New Roman" w:hAnsi="Times New Roman" w:cs="Times New Roman"/>
          <w:sz w:val="28"/>
          <w:szCs w:val="28"/>
        </w:rPr>
        <w:t>й м</w:t>
      </w:r>
      <w:r w:rsidRPr="005E58C6">
        <w:rPr>
          <w:rFonts w:ascii="Times New Roman" w:hAnsi="Times New Roman" w:cs="Times New Roman"/>
          <w:sz w:val="28"/>
          <w:szCs w:val="28"/>
        </w:rPr>
        <w:t xml:space="preserve">етодикой определения коэффициента дифференциации и коэффициента удорожания стоимости медицинских услуг при определении значений коэффициентов дифференциации, применяемых для расчета размера страхового взноса на ОМС неработающего населения, предусмотренной Федеральным законом </w:t>
      </w:r>
      <w:r>
        <w:rPr>
          <w:rFonts w:ascii="Times New Roman" w:hAnsi="Times New Roman" w:cs="Times New Roman"/>
          <w:sz w:val="28"/>
          <w:szCs w:val="28"/>
        </w:rPr>
        <w:t>№ </w:t>
      </w:r>
      <w:r w:rsidRPr="005E58C6">
        <w:rPr>
          <w:rFonts w:ascii="Times New Roman" w:hAnsi="Times New Roman" w:cs="Times New Roman"/>
          <w:sz w:val="28"/>
          <w:szCs w:val="28"/>
        </w:rPr>
        <w:t>438-ФЗ, учитывается не только сумма средневзвешенного районного коэффициента к заработной плате и средневзвешенной процентной надбавки к заработной плате, но и соотношение заработной платы в регионе к заработной плате 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Указанные изменения, а также утверждение Правил определения численности застрахованных лиц в целях формирования бюджета Ф</w:t>
      </w:r>
      <w:r w:rsidR="000A2E63">
        <w:rPr>
          <w:rFonts w:ascii="Times New Roman" w:hAnsi="Times New Roman" w:cs="Times New Roman"/>
          <w:sz w:val="28"/>
          <w:szCs w:val="28"/>
        </w:rPr>
        <w:t>едерального фонда обязательного медицинского страхования</w:t>
      </w:r>
      <w:r w:rsidRPr="005E58C6">
        <w:rPr>
          <w:rFonts w:ascii="Times New Roman" w:hAnsi="Times New Roman" w:cs="Times New Roman"/>
          <w:sz w:val="28"/>
          <w:szCs w:val="28"/>
        </w:rPr>
        <w:t xml:space="preserve">, бюджетов субъектов Российской Федерации и бюджетов территориальных фондов </w:t>
      </w:r>
      <w:r w:rsidRPr="005E58C6">
        <w:rPr>
          <w:rFonts w:ascii="Times New Roman" w:hAnsi="Times New Roman" w:cs="Times New Roman"/>
          <w:sz w:val="28"/>
          <w:szCs w:val="28"/>
        </w:rPr>
        <w:lastRenderedPageBreak/>
        <w:t xml:space="preserve">обязательного медицинского страхования (постановление Правительства Российской Федерации от 9 ноября 2018 г. </w:t>
      </w:r>
      <w:r>
        <w:rPr>
          <w:rFonts w:ascii="Times New Roman" w:hAnsi="Times New Roman" w:cs="Times New Roman"/>
          <w:sz w:val="28"/>
          <w:szCs w:val="28"/>
        </w:rPr>
        <w:t>№ </w:t>
      </w:r>
      <w:r w:rsidRPr="005E58C6">
        <w:rPr>
          <w:rFonts w:ascii="Times New Roman" w:hAnsi="Times New Roman" w:cs="Times New Roman"/>
          <w:sz w:val="28"/>
          <w:szCs w:val="28"/>
        </w:rPr>
        <w:t>1337) привели к уменьшению расчетного значения численности застрахованных неработающих граждан на 5 млн человек и позволили снизить размер страховых взносов на обязательное медицинское страхование неработающего населения на 2019 год в 60  субъектах Российской Федерации на общую сумму 15,7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Постановлением Правительства Российской Федерации от 18 октября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1240 «О внесении изменений в постановление Правительства Российской Федерации от 5 мая 2012 г. </w:t>
      </w:r>
      <w:r>
        <w:rPr>
          <w:rFonts w:ascii="Times New Roman" w:hAnsi="Times New Roman" w:cs="Times New Roman"/>
          <w:sz w:val="28"/>
          <w:szCs w:val="28"/>
        </w:rPr>
        <w:t>№ </w:t>
      </w:r>
      <w:r w:rsidR="000A2E63">
        <w:rPr>
          <w:rFonts w:ascii="Times New Roman" w:hAnsi="Times New Roman" w:cs="Times New Roman"/>
          <w:sz w:val="28"/>
          <w:szCs w:val="28"/>
        </w:rPr>
        <w:t>462» усовершенствована м</w:t>
      </w:r>
      <w:r w:rsidRPr="005E58C6">
        <w:rPr>
          <w:rFonts w:ascii="Times New Roman" w:hAnsi="Times New Roman" w:cs="Times New Roman"/>
          <w:sz w:val="28"/>
          <w:szCs w:val="28"/>
        </w:rPr>
        <w:t>етодика распределения субвенций, предоставляемых из бюджета ФОМС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000A2E63">
        <w:rPr>
          <w:rFonts w:ascii="Times New Roman" w:hAnsi="Times New Roman" w:cs="Times New Roman"/>
          <w:sz w:val="28"/>
          <w:szCs w:val="28"/>
        </w:rPr>
        <w:t xml:space="preserve"> (далее – Методика)</w:t>
      </w:r>
      <w:r w:rsidRPr="005E58C6">
        <w:rPr>
          <w:rFonts w:ascii="Times New Roman" w:hAnsi="Times New Roman" w:cs="Times New Roman"/>
          <w:sz w:val="28"/>
          <w:szCs w:val="28"/>
        </w:rPr>
        <w:t>. Новая редакция Методики предусматривает увеличение значения весового коэффициента для суммы средневзвешенного районного коэффициента к заработной плате и средневзвешенной процентной надбавки к заработной плате и отношения заработной платы в регионе к заработной плате в Российской Федерации с 0,6 до 0,7, что характеризует увеличение доли заработной платы в расходах на оплату медицинской помощи в рамках базовой программы обязательного медицинского страхования до 70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000A2E63">
        <w:rPr>
          <w:rFonts w:ascii="Times New Roman" w:hAnsi="Times New Roman" w:cs="Times New Roman"/>
          <w:sz w:val="28"/>
          <w:szCs w:val="28"/>
        </w:rPr>
        <w:br/>
      </w:r>
      <w:r w:rsidRPr="005E58C6">
        <w:rPr>
          <w:rFonts w:ascii="Times New Roman" w:hAnsi="Times New Roman" w:cs="Times New Roman"/>
          <w:sz w:val="28"/>
          <w:szCs w:val="28"/>
        </w:rPr>
        <w:t xml:space="preserve">в связи с реализацией в субъектах Российской Федерации Указа Президента Российской Федерации от 7 мая 2012 г. </w:t>
      </w:r>
      <w:r>
        <w:rPr>
          <w:rFonts w:ascii="Times New Roman" w:hAnsi="Times New Roman" w:cs="Times New Roman"/>
          <w:sz w:val="28"/>
          <w:szCs w:val="28"/>
        </w:rPr>
        <w:t>№ </w:t>
      </w:r>
      <w:r w:rsidRPr="005E58C6">
        <w:rPr>
          <w:rFonts w:ascii="Times New Roman" w:hAnsi="Times New Roman" w:cs="Times New Roman"/>
          <w:sz w:val="28"/>
          <w:szCs w:val="28"/>
        </w:rPr>
        <w:t>597 «О мероприятиях по реализации государственной социальной политики» в части повышения оплаты труда отдельных категорий медицинских работников.</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Также указанная Методика предусматривает использование коэффициента ценовой дифференциации бюджетных услуг в субъектах Российской Федерации, который представляет собой индекс бюджетных расходов без учета влияния показателей, характеризующих уровень заработной платы в регионе, его максимальное значение увеличено с 3,0 до 4,5.</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Указанные изменения в полном объеме уч</w:t>
      </w:r>
      <w:r w:rsidR="000A2E63">
        <w:rPr>
          <w:rFonts w:ascii="Times New Roman" w:hAnsi="Times New Roman" w:cs="Times New Roman"/>
          <w:sz w:val="28"/>
          <w:szCs w:val="28"/>
        </w:rPr>
        <w:t>тены при распределении субвенций</w:t>
      </w:r>
      <w:r w:rsidRPr="005E58C6">
        <w:rPr>
          <w:rFonts w:ascii="Times New Roman" w:hAnsi="Times New Roman" w:cs="Times New Roman"/>
          <w:sz w:val="28"/>
          <w:szCs w:val="28"/>
        </w:rPr>
        <w:t xml:space="preserve"> из бюджета ФОМС бюджетам территориальных фондов, </w:t>
      </w:r>
      <w:r w:rsidR="000A2E63">
        <w:rPr>
          <w:rFonts w:ascii="Times New Roman" w:hAnsi="Times New Roman" w:cs="Times New Roman"/>
          <w:sz w:val="28"/>
          <w:szCs w:val="28"/>
        </w:rPr>
        <w:t>предусмотрено</w:t>
      </w:r>
      <w:r w:rsidRPr="005E58C6">
        <w:rPr>
          <w:rFonts w:ascii="Times New Roman" w:hAnsi="Times New Roman" w:cs="Times New Roman"/>
          <w:sz w:val="28"/>
          <w:szCs w:val="28"/>
        </w:rPr>
        <w:t xml:space="preserve"> Федераль</w:t>
      </w:r>
      <w:r w:rsidR="000A2E63">
        <w:rPr>
          <w:rFonts w:ascii="Times New Roman" w:hAnsi="Times New Roman" w:cs="Times New Roman"/>
          <w:sz w:val="28"/>
          <w:szCs w:val="28"/>
        </w:rPr>
        <w:t xml:space="preserve">ным законом </w:t>
      </w:r>
      <w:r w:rsidRPr="005E58C6">
        <w:rPr>
          <w:rFonts w:ascii="Times New Roman" w:hAnsi="Times New Roman" w:cs="Times New Roman"/>
          <w:sz w:val="28"/>
          <w:szCs w:val="28"/>
        </w:rPr>
        <w:t xml:space="preserve"> </w:t>
      </w:r>
      <w:r>
        <w:rPr>
          <w:rFonts w:ascii="Times New Roman" w:hAnsi="Times New Roman" w:cs="Times New Roman"/>
          <w:sz w:val="28"/>
          <w:szCs w:val="28"/>
        </w:rPr>
        <w:t>№ </w:t>
      </w:r>
      <w:r w:rsidRPr="005E58C6">
        <w:rPr>
          <w:rFonts w:ascii="Times New Roman" w:hAnsi="Times New Roman" w:cs="Times New Roman"/>
          <w:sz w:val="28"/>
          <w:szCs w:val="28"/>
        </w:rPr>
        <w:t>4</w:t>
      </w:r>
      <w:r w:rsidR="000A2E63">
        <w:rPr>
          <w:rFonts w:ascii="Times New Roman" w:hAnsi="Times New Roman" w:cs="Times New Roman"/>
          <w:sz w:val="28"/>
          <w:szCs w:val="28"/>
        </w:rPr>
        <w:t xml:space="preserve">33-ФЗ.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С целью нормативного правого регулирования оказания и финансирования высокотехнологичной медицинской помощи, не включенной в базовую программу обязательного медицинского страхования, в 2018 году приняты </w:t>
      </w:r>
      <w:r w:rsidR="000A2E63">
        <w:rPr>
          <w:rFonts w:ascii="Times New Roman" w:hAnsi="Times New Roman" w:cs="Times New Roman"/>
          <w:sz w:val="28"/>
          <w:szCs w:val="28"/>
        </w:rPr>
        <w:t xml:space="preserve">следующие </w:t>
      </w:r>
      <w:r w:rsidRPr="005E58C6">
        <w:rPr>
          <w:rFonts w:ascii="Times New Roman" w:hAnsi="Times New Roman" w:cs="Times New Roman"/>
          <w:sz w:val="28"/>
          <w:szCs w:val="28"/>
        </w:rPr>
        <w:t>нормативные правовые акты: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распоряжение Правительства Российской Федерации от 20 ноября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2534-р, утверждающее распределение в 2018 году субсидий из федерального бюджета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 Минздрава России от 19 января 2018 г. </w:t>
      </w:r>
      <w:r>
        <w:rPr>
          <w:rFonts w:ascii="Times New Roman" w:hAnsi="Times New Roman" w:cs="Times New Roman"/>
          <w:sz w:val="28"/>
          <w:szCs w:val="28"/>
        </w:rPr>
        <w:t>№ </w:t>
      </w:r>
      <w:r w:rsidRPr="005E58C6">
        <w:rPr>
          <w:rFonts w:ascii="Times New Roman" w:hAnsi="Times New Roman" w:cs="Times New Roman"/>
          <w:sz w:val="28"/>
          <w:szCs w:val="28"/>
        </w:rPr>
        <w:t>17н «Об утверждении формы представления отчета об исполнении условий предоставления субсидии из федерального бюджета бюджету субъекта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 формы предоставления информации о соответствии критериям отбора субъектов Российской Федерации для предоставления субсидии из федерального бюджета бюджету субъекта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на следующий финансовый год и размере планируемых средств, предусматриваемых в бюджете субъекта Российской Федерации на оказание высокотехнологичной медицинской помощи, не включенной в базовую программу обязательного медицинского страхования»;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 Минздрава России от 27 августа 2018 г. </w:t>
      </w:r>
      <w:r>
        <w:rPr>
          <w:rFonts w:ascii="Times New Roman" w:hAnsi="Times New Roman" w:cs="Times New Roman"/>
          <w:sz w:val="28"/>
          <w:szCs w:val="28"/>
        </w:rPr>
        <w:t>№ </w:t>
      </w:r>
      <w:r w:rsidRPr="005E58C6">
        <w:rPr>
          <w:rFonts w:ascii="Times New Roman" w:hAnsi="Times New Roman" w:cs="Times New Roman"/>
          <w:sz w:val="28"/>
          <w:szCs w:val="28"/>
        </w:rPr>
        <w:t>560н «Об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w:t>
      </w:r>
      <w:r w:rsidR="000A2E63">
        <w:rPr>
          <w:rFonts w:ascii="Times New Roman" w:hAnsi="Times New Roman" w:cs="Times New Roman"/>
          <w:sz w:val="28"/>
          <w:szCs w:val="28"/>
        </w:rPr>
        <w:t>,</w:t>
      </w:r>
      <w:r w:rsidRPr="005E58C6">
        <w:rPr>
          <w:rFonts w:ascii="Times New Roman" w:hAnsi="Times New Roman" w:cs="Times New Roman"/>
          <w:sz w:val="28"/>
          <w:szCs w:val="28"/>
        </w:rPr>
        <w:t xml:space="preserve"> на 2019 год»;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 Минздрава России от 26 декабря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926н «Об утверждении доли заработной платы в структуре среднего норматива финансовых затрат на единицу объема высокотехнологичной медицинской помощи, не включенной в базовую программу обязательного медицинского </w:t>
      </w:r>
      <w:r w:rsidRPr="005E58C6">
        <w:rPr>
          <w:rFonts w:ascii="Times New Roman" w:hAnsi="Times New Roman" w:cs="Times New Roman"/>
          <w:sz w:val="28"/>
          <w:szCs w:val="28"/>
        </w:rPr>
        <w:lastRenderedPageBreak/>
        <w:t xml:space="preserve">страхования, а также формы представления органами, осуществляющими функции и полномочия учредителей, информации о показателях объема высокотехнологичной медицинской помощи, не включенной в базовую программу обязательного медицинского страхования, установленных для государственных учреждений в государственном задании, на год, предшествующий году, на который рассчитывается субсидия».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Осуществление деятельности по защите прав и законных интересов застрахованных лиц, в том числе рассмотрени</w:t>
      </w:r>
      <w:r w:rsidR="000A2E63">
        <w:rPr>
          <w:rFonts w:ascii="Times New Roman" w:hAnsi="Times New Roman" w:cs="Times New Roman"/>
          <w:sz w:val="28"/>
          <w:szCs w:val="28"/>
        </w:rPr>
        <w:t>е</w:t>
      </w:r>
      <w:r w:rsidRPr="005E58C6">
        <w:rPr>
          <w:rFonts w:ascii="Times New Roman" w:hAnsi="Times New Roman" w:cs="Times New Roman"/>
          <w:sz w:val="28"/>
          <w:szCs w:val="28"/>
        </w:rPr>
        <w:t xml:space="preserve"> обращений и жалоб граждан, является одним из приоритетов обязательного медицинского страхования.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Организованный в 2016 году трехуровневый институт страховых представителей должен обеспечить оптимальную маршрутизацию пациентов, информирование застрахованных лиц и их законных представителей на всех этапах оказания им медицинской помощи, в том числе индивидуальное информирование о возможности прохождения диспансеризации, диспансерного наблюдения.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стадии запуска проекта в 2016 году граждан сопровождали около 800 страховых представителей 1 уровня. По состоянию на 31 декабря 2018  года, страховых представителей 1, 2 и 3 уровня работало более 11 тысяч. В субъектах Российской Федерации организованы и работают Контакт-центры «Горячая линия» страховых медицинских организаций. Отработана маршрутизация звонков, типизированы вопросы и ответы страховых представителей страховых медицинских организаций, страховые представители проходят специальную подготовку.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увеличилось количество обращений граждан в страховые медицинские организации и составило более 4,1 млн устных обращений.</w:t>
      </w:r>
    </w:p>
    <w:p w:rsidR="005E58C6" w:rsidRPr="005E58C6" w:rsidRDefault="000A2E63"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2018 году</w:t>
      </w:r>
      <w:r w:rsidR="005E58C6" w:rsidRPr="005E58C6">
        <w:rPr>
          <w:rFonts w:ascii="Times New Roman" w:hAnsi="Times New Roman" w:cs="Times New Roman"/>
          <w:sz w:val="28"/>
          <w:szCs w:val="28"/>
        </w:rPr>
        <w:t xml:space="preserve"> наблюдалс</w:t>
      </w:r>
      <w:r>
        <w:rPr>
          <w:rFonts w:ascii="Times New Roman" w:hAnsi="Times New Roman" w:cs="Times New Roman"/>
          <w:sz w:val="28"/>
          <w:szCs w:val="28"/>
        </w:rPr>
        <w:t>я по сравнению с 2017 годом</w:t>
      </w:r>
      <w:r w:rsidR="005E58C6" w:rsidRPr="005E58C6">
        <w:rPr>
          <w:rFonts w:ascii="Times New Roman" w:hAnsi="Times New Roman" w:cs="Times New Roman"/>
          <w:sz w:val="28"/>
          <w:szCs w:val="28"/>
        </w:rPr>
        <w:t xml:space="preserve"> рост количества обращений застрахованных лиц за консультацией (разъяснением):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  видах, качестве и условиях предоставления медицинской помощи                    по программам ОМС</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25,7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  получении медицинской помощи по базовой программе ОМС</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на 9,5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  организации работы медицинской организации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12,6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Жалоб граждан в страховые медицинские организации на нарушения прав застрахованных лиц за 2018 год поступило более 31 тыс., 53,9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поступивших жалоб признаны обоснованными, при этом имеет место снижение количества жалоб за 2</w:t>
      </w:r>
      <w:r w:rsidR="000A2E63">
        <w:rPr>
          <w:rFonts w:ascii="Times New Roman" w:hAnsi="Times New Roman" w:cs="Times New Roman"/>
          <w:sz w:val="28"/>
          <w:szCs w:val="28"/>
        </w:rPr>
        <w:t>018 год по сравнению с 2017 годом</w:t>
      </w:r>
      <w:r w:rsidRPr="005E58C6">
        <w:rPr>
          <w:rFonts w:ascii="Times New Roman" w:hAnsi="Times New Roman" w:cs="Times New Roman"/>
          <w:sz w:val="28"/>
          <w:szCs w:val="28"/>
        </w:rPr>
        <w:t xml:space="preserve"> по </w:t>
      </w:r>
      <w:r w:rsidR="000A2E63">
        <w:rPr>
          <w:rFonts w:ascii="Times New Roman" w:hAnsi="Times New Roman" w:cs="Times New Roman"/>
          <w:sz w:val="28"/>
          <w:szCs w:val="28"/>
        </w:rPr>
        <w:t>вопросам</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организаци</w:t>
      </w:r>
      <w:r w:rsidR="000A2E63">
        <w:rPr>
          <w:rFonts w:ascii="Times New Roman" w:hAnsi="Times New Roman" w:cs="Times New Roman"/>
          <w:sz w:val="28"/>
          <w:szCs w:val="28"/>
        </w:rPr>
        <w:t>и</w:t>
      </w:r>
      <w:r w:rsidRPr="005E58C6">
        <w:rPr>
          <w:rFonts w:ascii="Times New Roman" w:hAnsi="Times New Roman" w:cs="Times New Roman"/>
          <w:sz w:val="28"/>
          <w:szCs w:val="28"/>
        </w:rPr>
        <w:t xml:space="preserve"> работы медицинской организации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11,7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0A2E63" w:rsidP="000A2E63">
      <w:pPr>
        <w:widowControl w:val="0"/>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8C6" w:rsidRPr="005E58C6">
        <w:rPr>
          <w:rFonts w:ascii="Times New Roman" w:hAnsi="Times New Roman" w:cs="Times New Roman"/>
          <w:sz w:val="28"/>
          <w:szCs w:val="28"/>
        </w:rPr>
        <w:t>взимани</w:t>
      </w:r>
      <w:r>
        <w:rPr>
          <w:rFonts w:ascii="Times New Roman" w:hAnsi="Times New Roman" w:cs="Times New Roman"/>
          <w:sz w:val="28"/>
          <w:szCs w:val="28"/>
        </w:rPr>
        <w:t>я</w:t>
      </w:r>
      <w:r w:rsidR="005E58C6" w:rsidRPr="005E58C6">
        <w:rPr>
          <w:rFonts w:ascii="Times New Roman" w:hAnsi="Times New Roman" w:cs="Times New Roman"/>
          <w:sz w:val="28"/>
          <w:szCs w:val="28"/>
        </w:rPr>
        <w:t xml:space="preserve"> денежных средств за медицинскую помощь по программам ОМС</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на 3,2</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отказ</w:t>
      </w:r>
      <w:r w:rsidR="000A2E63">
        <w:rPr>
          <w:rFonts w:ascii="Times New Roman" w:hAnsi="Times New Roman" w:cs="Times New Roman"/>
          <w:sz w:val="28"/>
          <w:szCs w:val="28"/>
        </w:rPr>
        <w:t>а</w:t>
      </w:r>
      <w:r w:rsidRPr="005E58C6">
        <w:rPr>
          <w:rFonts w:ascii="Times New Roman" w:hAnsi="Times New Roman" w:cs="Times New Roman"/>
          <w:sz w:val="28"/>
          <w:szCs w:val="28"/>
        </w:rPr>
        <w:t xml:space="preserve"> в оказании медицинской помощи по программам ОМС</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9,9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Каждое обращение (жалоба) застрахованного лица рассматривается, при этом в 97,7</w:t>
      </w:r>
      <w:r w:rsidR="00000709">
        <w:rPr>
          <w:rFonts w:ascii="Times New Roman" w:hAnsi="Times New Roman" w:cs="Times New Roman"/>
          <w:sz w:val="28"/>
          <w:szCs w:val="28"/>
        </w:rPr>
        <w:t> %</w:t>
      </w:r>
      <w:r w:rsidR="00E25394">
        <w:rPr>
          <w:rFonts w:ascii="Times New Roman" w:hAnsi="Times New Roman" w:cs="Times New Roman"/>
          <w:sz w:val="28"/>
          <w:szCs w:val="28"/>
        </w:rPr>
        <w:t xml:space="preserve"> спорные случаи разрешае</w:t>
      </w:r>
      <w:r w:rsidRPr="005E58C6">
        <w:rPr>
          <w:rFonts w:ascii="Times New Roman" w:hAnsi="Times New Roman" w:cs="Times New Roman"/>
          <w:sz w:val="28"/>
          <w:szCs w:val="28"/>
        </w:rPr>
        <w:t>тся в досудебном порядке страховыми медицинскими организациями.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Страховыми представителями страховых медицинских орган</w:t>
      </w:r>
      <w:r w:rsidR="00E25394">
        <w:rPr>
          <w:rFonts w:ascii="Times New Roman" w:hAnsi="Times New Roman" w:cs="Times New Roman"/>
          <w:sz w:val="28"/>
          <w:szCs w:val="28"/>
        </w:rPr>
        <w:t>изаций                 в 2018 году</w:t>
      </w:r>
      <w:r w:rsidRPr="005E58C6">
        <w:rPr>
          <w:rFonts w:ascii="Times New Roman" w:hAnsi="Times New Roman" w:cs="Times New Roman"/>
          <w:sz w:val="28"/>
          <w:szCs w:val="28"/>
        </w:rPr>
        <w:t xml:space="preserve"> индивидуально проинформированы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застрахованных лиц, подлежащих диспансеризации.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части развития механизмов эффективного управления средствами ОМС утверждены правила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(постановление Правительства Российской Федерации от 21 апреля 2016 г. </w:t>
      </w:r>
      <w:r>
        <w:rPr>
          <w:rFonts w:ascii="Times New Roman" w:hAnsi="Times New Roman" w:cs="Times New Roman"/>
          <w:sz w:val="28"/>
          <w:szCs w:val="28"/>
        </w:rPr>
        <w:t>№ </w:t>
      </w:r>
      <w:r w:rsidRPr="005E58C6">
        <w:rPr>
          <w:rFonts w:ascii="Times New Roman" w:hAnsi="Times New Roman" w:cs="Times New Roman"/>
          <w:sz w:val="28"/>
          <w:szCs w:val="28"/>
        </w:rPr>
        <w:t>332) (далее соответственно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Правила,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мероприятия).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Правилами определен порядок и условия использования медицинскими организациями средств нормированного страхового запаса территориального фонда </w:t>
      </w:r>
      <w:r w:rsidR="00E25394">
        <w:rPr>
          <w:rFonts w:ascii="Times New Roman" w:hAnsi="Times New Roman" w:cs="Times New Roman"/>
          <w:sz w:val="28"/>
          <w:szCs w:val="28"/>
        </w:rPr>
        <w:t xml:space="preserve">ОМС </w:t>
      </w:r>
      <w:r w:rsidRPr="005E58C6">
        <w:rPr>
          <w:rFonts w:ascii="Times New Roman" w:hAnsi="Times New Roman" w:cs="Times New Roman"/>
          <w:sz w:val="28"/>
          <w:szCs w:val="28"/>
        </w:rPr>
        <w:t>для финансового обеспечения мероприятий по: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организации дополнительного профессионального образования медицинских работников по программам повышения квалификации;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приобретению медицинского оборудования.</w:t>
      </w:r>
    </w:p>
    <w:p w:rsidR="005E58C6" w:rsidRPr="005E58C6" w:rsidRDefault="00DF1213"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5E58C6" w:rsidRPr="005E58C6">
        <w:rPr>
          <w:rFonts w:ascii="Times New Roman" w:hAnsi="Times New Roman" w:cs="Times New Roman"/>
          <w:sz w:val="28"/>
          <w:szCs w:val="28"/>
        </w:rPr>
        <w:t xml:space="preserve">1 января 2019 г.,  в нормированном страховом запасе территориальных фондов </w:t>
      </w:r>
      <w:r w:rsidR="00E25394">
        <w:rPr>
          <w:rFonts w:ascii="Times New Roman" w:hAnsi="Times New Roman" w:cs="Times New Roman"/>
          <w:sz w:val="28"/>
          <w:szCs w:val="28"/>
        </w:rPr>
        <w:t xml:space="preserve">ОМС </w:t>
      </w:r>
      <w:r w:rsidR="005E58C6" w:rsidRPr="005E58C6">
        <w:rPr>
          <w:rFonts w:ascii="Times New Roman" w:hAnsi="Times New Roman" w:cs="Times New Roman"/>
          <w:sz w:val="28"/>
          <w:szCs w:val="28"/>
        </w:rPr>
        <w:t>сформировано средств на финансовое обеспечение мероприятий в сумме 13</w:t>
      </w:r>
      <w:r>
        <w:rPr>
          <w:rFonts w:ascii="Times New Roman" w:hAnsi="Times New Roman" w:cs="Times New Roman"/>
          <w:sz w:val="28"/>
          <w:szCs w:val="28"/>
        </w:rPr>
        <w:t> </w:t>
      </w:r>
      <w:r w:rsidR="005E58C6" w:rsidRPr="005E58C6">
        <w:rPr>
          <w:rFonts w:ascii="Times New Roman" w:hAnsi="Times New Roman" w:cs="Times New Roman"/>
          <w:sz w:val="28"/>
          <w:szCs w:val="28"/>
        </w:rPr>
        <w:t>887</w:t>
      </w:r>
      <w:r>
        <w:rPr>
          <w:rFonts w:ascii="Times New Roman" w:hAnsi="Times New Roman" w:cs="Times New Roman"/>
          <w:sz w:val="28"/>
          <w:szCs w:val="28"/>
        </w:rPr>
        <w:t> </w:t>
      </w:r>
      <w:r w:rsidR="005E58C6" w:rsidRPr="005E58C6">
        <w:rPr>
          <w:rFonts w:ascii="Times New Roman" w:hAnsi="Times New Roman" w:cs="Times New Roman"/>
          <w:sz w:val="28"/>
          <w:szCs w:val="28"/>
        </w:rPr>
        <w:t xml:space="preserve">139,3 тыс. руб., использовано средств нормированного страхового запаса территориальных фондов </w:t>
      </w:r>
      <w:r w:rsidR="00E25394">
        <w:rPr>
          <w:rFonts w:ascii="Times New Roman" w:hAnsi="Times New Roman" w:cs="Times New Roman"/>
          <w:sz w:val="28"/>
          <w:szCs w:val="28"/>
        </w:rPr>
        <w:t>ОМС</w:t>
      </w:r>
      <w:r w:rsidR="005E58C6" w:rsidRPr="005E58C6">
        <w:rPr>
          <w:rFonts w:ascii="Times New Roman" w:hAnsi="Times New Roman" w:cs="Times New Roman"/>
          <w:sz w:val="28"/>
          <w:szCs w:val="28"/>
        </w:rPr>
        <w:t xml:space="preserve"> медицинск</w:t>
      </w:r>
      <w:r>
        <w:rPr>
          <w:rFonts w:ascii="Times New Roman" w:hAnsi="Times New Roman" w:cs="Times New Roman"/>
          <w:sz w:val="28"/>
          <w:szCs w:val="28"/>
        </w:rPr>
        <w:t>ими организациями в сумме 7 938 </w:t>
      </w:r>
      <w:r w:rsidR="005E58C6" w:rsidRPr="005E58C6">
        <w:rPr>
          <w:rFonts w:ascii="Times New Roman" w:hAnsi="Times New Roman" w:cs="Times New Roman"/>
          <w:sz w:val="28"/>
          <w:szCs w:val="28"/>
        </w:rPr>
        <w:t>717,4 тыс. руб. (57,2</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из них: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106</w:t>
      </w:r>
      <w:r w:rsidR="00DF1213">
        <w:rPr>
          <w:rFonts w:ascii="Times New Roman" w:hAnsi="Times New Roman" w:cs="Times New Roman"/>
          <w:sz w:val="28"/>
          <w:szCs w:val="28"/>
        </w:rPr>
        <w:t> </w:t>
      </w:r>
      <w:r w:rsidRPr="005E58C6">
        <w:rPr>
          <w:rFonts w:ascii="Times New Roman" w:hAnsi="Times New Roman" w:cs="Times New Roman"/>
          <w:sz w:val="28"/>
          <w:szCs w:val="28"/>
        </w:rPr>
        <w:t xml:space="preserve">136,6 тыс. руб. </w:t>
      </w:r>
      <w:r w:rsidR="00E25394">
        <w:rPr>
          <w:rFonts w:ascii="Times New Roman" w:hAnsi="Times New Roman" w:cs="Times New Roman"/>
          <w:sz w:val="28"/>
          <w:szCs w:val="28"/>
        </w:rPr>
        <w:t xml:space="preserve"> – </w:t>
      </w:r>
      <w:r w:rsidRPr="005E58C6">
        <w:rPr>
          <w:rFonts w:ascii="Times New Roman" w:hAnsi="Times New Roman" w:cs="Times New Roman"/>
          <w:sz w:val="28"/>
          <w:szCs w:val="28"/>
        </w:rPr>
        <w:t>на обучение 17 064 медицинских работников;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6</w:t>
      </w:r>
      <w:r w:rsidR="00DF1213">
        <w:rPr>
          <w:rFonts w:ascii="Times New Roman" w:hAnsi="Times New Roman" w:cs="Times New Roman"/>
          <w:sz w:val="28"/>
          <w:szCs w:val="28"/>
        </w:rPr>
        <w:t> </w:t>
      </w:r>
      <w:r w:rsidRPr="005E58C6">
        <w:rPr>
          <w:rFonts w:ascii="Times New Roman" w:hAnsi="Times New Roman" w:cs="Times New Roman"/>
          <w:sz w:val="28"/>
          <w:szCs w:val="28"/>
        </w:rPr>
        <w:t>243</w:t>
      </w:r>
      <w:r w:rsidR="00DF1213">
        <w:rPr>
          <w:rFonts w:ascii="Times New Roman" w:hAnsi="Times New Roman" w:cs="Times New Roman"/>
          <w:sz w:val="28"/>
          <w:szCs w:val="28"/>
        </w:rPr>
        <w:t> </w:t>
      </w:r>
      <w:r w:rsidRPr="005E58C6">
        <w:rPr>
          <w:rFonts w:ascii="Times New Roman" w:hAnsi="Times New Roman" w:cs="Times New Roman"/>
          <w:sz w:val="28"/>
          <w:szCs w:val="28"/>
        </w:rPr>
        <w:t>872,0 тыс. руб.</w:t>
      </w:r>
      <w:r w:rsidR="00E25394">
        <w:rPr>
          <w:rFonts w:ascii="Times New Roman" w:hAnsi="Times New Roman" w:cs="Times New Roman"/>
          <w:sz w:val="28"/>
          <w:szCs w:val="28"/>
        </w:rPr>
        <w:t xml:space="preserve"> – </w:t>
      </w:r>
      <w:r w:rsidRPr="005E58C6">
        <w:rPr>
          <w:rFonts w:ascii="Times New Roman" w:hAnsi="Times New Roman" w:cs="Times New Roman"/>
          <w:sz w:val="28"/>
          <w:szCs w:val="28"/>
        </w:rPr>
        <w:t xml:space="preserve"> на приобретение 6 916 единиц медицинского оборудования;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w:t>
      </w:r>
      <w:r w:rsidR="00DF1213">
        <w:rPr>
          <w:rFonts w:ascii="Times New Roman" w:hAnsi="Times New Roman" w:cs="Times New Roman"/>
          <w:sz w:val="28"/>
          <w:szCs w:val="28"/>
        </w:rPr>
        <w:t> </w:t>
      </w:r>
      <w:r w:rsidRPr="005E58C6">
        <w:rPr>
          <w:rFonts w:ascii="Times New Roman" w:hAnsi="Times New Roman" w:cs="Times New Roman"/>
          <w:sz w:val="28"/>
          <w:szCs w:val="28"/>
        </w:rPr>
        <w:t>588</w:t>
      </w:r>
      <w:r w:rsidR="00DF1213">
        <w:rPr>
          <w:rFonts w:ascii="Times New Roman" w:hAnsi="Times New Roman" w:cs="Times New Roman"/>
          <w:sz w:val="28"/>
          <w:szCs w:val="28"/>
        </w:rPr>
        <w:t> </w:t>
      </w:r>
      <w:r w:rsidRPr="005E58C6">
        <w:rPr>
          <w:rFonts w:ascii="Times New Roman" w:hAnsi="Times New Roman" w:cs="Times New Roman"/>
          <w:sz w:val="28"/>
          <w:szCs w:val="28"/>
        </w:rPr>
        <w:t xml:space="preserve">708,8 тыс. руб. </w:t>
      </w:r>
      <w:r w:rsidR="00E25394">
        <w:rPr>
          <w:rFonts w:ascii="Times New Roman" w:hAnsi="Times New Roman" w:cs="Times New Roman"/>
          <w:sz w:val="28"/>
          <w:szCs w:val="28"/>
        </w:rPr>
        <w:t xml:space="preserve">– </w:t>
      </w:r>
      <w:r w:rsidRPr="005E58C6">
        <w:rPr>
          <w:rFonts w:ascii="Times New Roman" w:hAnsi="Times New Roman" w:cs="Times New Roman"/>
          <w:sz w:val="28"/>
          <w:szCs w:val="28"/>
        </w:rPr>
        <w:t xml:space="preserve">на ремонт 1 418 единиц медицинского оборудования. </w:t>
      </w:r>
    </w:p>
    <w:p w:rsidR="005E58C6" w:rsidRPr="00DF1213" w:rsidRDefault="005E58C6" w:rsidP="005E58C6">
      <w:pPr>
        <w:widowControl w:val="0"/>
        <w:spacing w:after="0" w:line="312" w:lineRule="auto"/>
        <w:ind w:firstLine="709"/>
        <w:jc w:val="both"/>
        <w:rPr>
          <w:rFonts w:ascii="Times New Roman" w:hAnsi="Times New Roman" w:cs="Times New Roman"/>
          <w:b/>
          <w:sz w:val="28"/>
          <w:szCs w:val="28"/>
        </w:rPr>
      </w:pPr>
      <w:r w:rsidRPr="00DF1213">
        <w:rPr>
          <w:rFonts w:ascii="Times New Roman" w:hAnsi="Times New Roman" w:cs="Times New Roman"/>
          <w:b/>
          <w:sz w:val="28"/>
          <w:szCs w:val="28"/>
        </w:rPr>
        <w:t>Модернизация системы здравоохранения</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Во исполнение распоряжения Правительства Российской Федерации от 18 января 2017 г. </w:t>
      </w:r>
      <w:r>
        <w:rPr>
          <w:rFonts w:ascii="Times New Roman" w:hAnsi="Times New Roman" w:cs="Times New Roman"/>
          <w:sz w:val="28"/>
          <w:szCs w:val="28"/>
        </w:rPr>
        <w:t>№ </w:t>
      </w:r>
      <w:r w:rsidRPr="005E58C6">
        <w:rPr>
          <w:rFonts w:ascii="Times New Roman" w:hAnsi="Times New Roman" w:cs="Times New Roman"/>
          <w:sz w:val="28"/>
          <w:szCs w:val="28"/>
        </w:rPr>
        <w:t>33-р в ведении Минздрава России создано новое федеральное учреждение - федеральное госуд</w:t>
      </w:r>
      <w:r w:rsidR="00E25394">
        <w:rPr>
          <w:rFonts w:ascii="Times New Roman" w:hAnsi="Times New Roman" w:cs="Times New Roman"/>
          <w:sz w:val="28"/>
          <w:szCs w:val="28"/>
        </w:rPr>
        <w:t>арственное бюджетное учреждение</w:t>
      </w:r>
      <w:r w:rsidRPr="005E58C6">
        <w:rPr>
          <w:rFonts w:ascii="Times New Roman" w:hAnsi="Times New Roman" w:cs="Times New Roman"/>
          <w:sz w:val="28"/>
          <w:szCs w:val="28"/>
        </w:rPr>
        <w:t xml:space="preserve"> «Федеральный центр цереброваскулярной патологии и инсульта» Министерства здравоохранения Российской Федерации (устав утвержден приказом Минздрава России от 26 июня 2018 г. </w:t>
      </w:r>
      <w:r>
        <w:rPr>
          <w:rFonts w:ascii="Times New Roman" w:hAnsi="Times New Roman" w:cs="Times New Roman"/>
          <w:sz w:val="28"/>
          <w:szCs w:val="28"/>
        </w:rPr>
        <w:t>№ </w:t>
      </w:r>
      <w:r w:rsidRPr="005E58C6">
        <w:rPr>
          <w:rFonts w:ascii="Times New Roman" w:hAnsi="Times New Roman" w:cs="Times New Roman"/>
          <w:sz w:val="28"/>
          <w:szCs w:val="28"/>
        </w:rPr>
        <w:t>384, который в установленном порядке  5 июля 2018 г. зарегистрирован в налоговом органе по месту нахождения данного юридического лица).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Также в 1 квартале 2018 года завершены  начатые ранее в 2017 году мероприятия по реорганизации подведомственных Минздраву России учреждений, а также по передаче их в веден</w:t>
      </w:r>
      <w:r w:rsidR="00E25394">
        <w:rPr>
          <w:rFonts w:ascii="Times New Roman" w:hAnsi="Times New Roman" w:cs="Times New Roman"/>
          <w:sz w:val="28"/>
          <w:szCs w:val="28"/>
        </w:rPr>
        <w:t>ие иных федеральных организаций.</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Во исполнение распоряжения Правительства Российской Федерации от 10</w:t>
      </w:r>
      <w:r w:rsidR="00DF1213">
        <w:rPr>
          <w:rFonts w:ascii="Times New Roman" w:hAnsi="Times New Roman" w:cs="Times New Roman"/>
          <w:sz w:val="28"/>
          <w:szCs w:val="28"/>
        </w:rPr>
        <w:t xml:space="preserve"> февраля </w:t>
      </w:r>
      <w:r w:rsidR="00E25394">
        <w:rPr>
          <w:rFonts w:ascii="Times New Roman" w:hAnsi="Times New Roman" w:cs="Times New Roman"/>
          <w:sz w:val="28"/>
          <w:szCs w:val="28"/>
        </w:rPr>
        <w:t>2015</w:t>
      </w:r>
      <w:r w:rsidRPr="005E58C6">
        <w:rPr>
          <w:rFonts w:ascii="Times New Roman" w:hAnsi="Times New Roman" w:cs="Times New Roman"/>
          <w:sz w:val="28"/>
          <w:szCs w:val="28"/>
        </w:rPr>
        <w:t xml:space="preserve"> </w:t>
      </w:r>
      <w:r>
        <w:rPr>
          <w:rFonts w:ascii="Times New Roman" w:hAnsi="Times New Roman" w:cs="Times New Roman"/>
          <w:sz w:val="28"/>
          <w:szCs w:val="28"/>
        </w:rPr>
        <w:t>№ </w:t>
      </w:r>
      <w:r w:rsidRPr="005E58C6">
        <w:rPr>
          <w:rFonts w:ascii="Times New Roman" w:hAnsi="Times New Roman" w:cs="Times New Roman"/>
          <w:sz w:val="28"/>
          <w:szCs w:val="28"/>
        </w:rPr>
        <w:t>184-р завершена реорганизация ФГБУ «Санкт-Петербургский многопрофильный центр» Минздрава России в форме присоединения к федеральному государственному бюджетному образовательному учреждению высшего образования  «Санкт-Петербургский государственный униве</w:t>
      </w:r>
      <w:r w:rsidR="00E25394">
        <w:rPr>
          <w:rFonts w:ascii="Times New Roman" w:hAnsi="Times New Roman" w:cs="Times New Roman"/>
          <w:sz w:val="28"/>
          <w:szCs w:val="28"/>
        </w:rPr>
        <w:t>рситет», находящему</w:t>
      </w:r>
      <w:r w:rsidRPr="005E58C6">
        <w:rPr>
          <w:rFonts w:ascii="Times New Roman" w:hAnsi="Times New Roman" w:cs="Times New Roman"/>
          <w:sz w:val="28"/>
          <w:szCs w:val="28"/>
        </w:rPr>
        <w:t>ся в ведении Правительства Российской Федерации, ранее образованного в результате реорганизации ФГБУ «Национальный медико-хирургический Центр имени Н.И. Пирогова» путем выделения из него филиала Санкт-Петербургский клинический комплекс.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завершены реорганизационные мероприятия по оптимизации сети подведомственных Минздраву России организаций в форме присоединения в отношении следующих 3 федеральных государственных бюджетных учреждений: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ФГБУ «Приволжский федеральный медицинский исследовательский центр» Минздрава России реорганизовано в форме его присоединения к ФГБОУ ВО «Нижегородская государственная медицинская академия» </w:t>
      </w:r>
      <w:r w:rsidRPr="005E58C6">
        <w:rPr>
          <w:rFonts w:ascii="Times New Roman" w:hAnsi="Times New Roman" w:cs="Times New Roman"/>
          <w:sz w:val="28"/>
          <w:szCs w:val="28"/>
        </w:rPr>
        <w:lastRenderedPageBreak/>
        <w:t xml:space="preserve">Минздрава России (приказ Минздрава России от 13 сентября 2017 г. </w:t>
      </w:r>
      <w:r>
        <w:rPr>
          <w:rFonts w:ascii="Times New Roman" w:hAnsi="Times New Roman" w:cs="Times New Roman"/>
          <w:sz w:val="28"/>
          <w:szCs w:val="28"/>
        </w:rPr>
        <w:t>№ </w:t>
      </w:r>
      <w:r w:rsidRPr="005E58C6">
        <w:rPr>
          <w:rFonts w:ascii="Times New Roman" w:hAnsi="Times New Roman" w:cs="Times New Roman"/>
          <w:sz w:val="28"/>
          <w:szCs w:val="28"/>
        </w:rPr>
        <w:t>630).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ФГБУ «Научно-практический центр интервенционной кардиоангиологии» Минздрава России реорганизовано в форме его присоединения к ФГАОУ ВО «Первый Московский государственный медицинский университет имени И.М.Сеченова» Минздрава России (приказ Минздрава России от 13сентября 2017 г. </w:t>
      </w:r>
      <w:r>
        <w:rPr>
          <w:rFonts w:ascii="Times New Roman" w:hAnsi="Times New Roman" w:cs="Times New Roman"/>
          <w:sz w:val="28"/>
          <w:szCs w:val="28"/>
        </w:rPr>
        <w:t>№ </w:t>
      </w:r>
      <w:r w:rsidRPr="005E58C6">
        <w:rPr>
          <w:rFonts w:ascii="Times New Roman" w:hAnsi="Times New Roman" w:cs="Times New Roman"/>
          <w:sz w:val="28"/>
          <w:szCs w:val="28"/>
        </w:rPr>
        <w:t>629).</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ФГБУ «Российская детская клиническая больница» Минздрава России реорганизовано в форме его присоединения к ФГБОУ ВО «Российский национальный исследовательский медицинский университет имени Н.И.Пирогова» Минздрава России (приказ Минздрава России от 12 апреля 2017 г. </w:t>
      </w:r>
      <w:r>
        <w:rPr>
          <w:rFonts w:ascii="Times New Roman" w:hAnsi="Times New Roman" w:cs="Times New Roman"/>
          <w:sz w:val="28"/>
          <w:szCs w:val="28"/>
        </w:rPr>
        <w:t>№ </w:t>
      </w:r>
      <w:r w:rsidRPr="005E58C6">
        <w:rPr>
          <w:rFonts w:ascii="Times New Roman" w:hAnsi="Times New Roman" w:cs="Times New Roman"/>
          <w:sz w:val="28"/>
          <w:szCs w:val="28"/>
        </w:rPr>
        <w:t>174).</w:t>
      </w:r>
    </w:p>
    <w:p w:rsidR="005E58C6" w:rsidRPr="00DF1213" w:rsidRDefault="005E58C6" w:rsidP="005E58C6">
      <w:pPr>
        <w:widowControl w:val="0"/>
        <w:spacing w:after="0" w:line="312" w:lineRule="auto"/>
        <w:ind w:firstLine="709"/>
        <w:jc w:val="both"/>
        <w:rPr>
          <w:rFonts w:ascii="Times New Roman" w:hAnsi="Times New Roman" w:cs="Times New Roman"/>
          <w:i/>
          <w:sz w:val="28"/>
          <w:szCs w:val="28"/>
        </w:rPr>
      </w:pPr>
      <w:r w:rsidRPr="005E58C6">
        <w:rPr>
          <w:rFonts w:ascii="Times New Roman" w:hAnsi="Times New Roman" w:cs="Times New Roman"/>
          <w:sz w:val="28"/>
          <w:szCs w:val="28"/>
        </w:rPr>
        <w:t xml:space="preserve"> </w:t>
      </w:r>
      <w:r w:rsidRPr="00DF1213">
        <w:rPr>
          <w:rFonts w:ascii="Times New Roman" w:hAnsi="Times New Roman" w:cs="Times New Roman"/>
          <w:i/>
          <w:sz w:val="28"/>
          <w:szCs w:val="28"/>
        </w:rPr>
        <w:t>Организация национальных научно-практических медицинских центров</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приказом Минздрава России от 21 марта 2017 г. </w:t>
      </w:r>
      <w:r>
        <w:rPr>
          <w:rFonts w:ascii="Times New Roman" w:hAnsi="Times New Roman" w:cs="Times New Roman"/>
          <w:sz w:val="28"/>
          <w:szCs w:val="28"/>
        </w:rPr>
        <w:t>№ </w:t>
      </w:r>
      <w:r w:rsidRPr="005E58C6">
        <w:rPr>
          <w:rFonts w:ascii="Times New Roman" w:hAnsi="Times New Roman" w:cs="Times New Roman"/>
          <w:sz w:val="28"/>
          <w:szCs w:val="28"/>
        </w:rPr>
        <w:t xml:space="preserve">125 «Об организации работы по формированию сети национальных научно-практических медицинских центров» и решением президиума Научного совета Минздрава России (протокол от  4 апреля 2017 г. </w:t>
      </w:r>
      <w:r>
        <w:rPr>
          <w:rFonts w:ascii="Times New Roman" w:hAnsi="Times New Roman" w:cs="Times New Roman"/>
          <w:sz w:val="28"/>
          <w:szCs w:val="28"/>
        </w:rPr>
        <w:t>№ </w:t>
      </w:r>
      <w:r w:rsidRPr="005E58C6">
        <w:rPr>
          <w:rFonts w:ascii="Times New Roman" w:hAnsi="Times New Roman" w:cs="Times New Roman"/>
          <w:sz w:val="28"/>
          <w:szCs w:val="28"/>
        </w:rPr>
        <w:t>07/27/69) завершены мероприятия по созданию 2 национальных медицинских исследовательских центров по соответствующим профилям медицинской помощи на базе находящихся в ведении Минздрава России федеральных государственных научны</w:t>
      </w:r>
      <w:r w:rsidR="0081736E">
        <w:rPr>
          <w:rFonts w:ascii="Times New Roman" w:hAnsi="Times New Roman" w:cs="Times New Roman"/>
          <w:sz w:val="28"/>
          <w:szCs w:val="28"/>
        </w:rPr>
        <w:t>х</w:t>
      </w:r>
      <w:r w:rsidRPr="005E58C6">
        <w:rPr>
          <w:rFonts w:ascii="Times New Roman" w:hAnsi="Times New Roman" w:cs="Times New Roman"/>
          <w:sz w:val="28"/>
          <w:szCs w:val="28"/>
        </w:rPr>
        <w:t xml:space="preserve"> учреждений - ФГБУ «Национальный медицинский исследовательский центр хирургии имени А.В. Вишневского» Минздрава России и ФГАУ «Межотраслевой научно-технический комплекс «Микрохирургия глаза» имени академика С.Н. Федорова» Минздрава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Завершение формирования сети национальных медицинских исследовательских центров будет осуществляться в рамках федерального проекта «Развитие сети национальных медицинских исследовательских центров и внедрение инновационных медицинских технологий» в составе национального проекта «Здравоохранение».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Кроме того, Правительством Российской Федерации издано распоряжение от 08.12.2018 </w:t>
      </w:r>
      <w:r>
        <w:rPr>
          <w:rFonts w:ascii="Times New Roman" w:hAnsi="Times New Roman" w:cs="Times New Roman"/>
          <w:sz w:val="28"/>
          <w:szCs w:val="28"/>
        </w:rPr>
        <w:t>№ </w:t>
      </w:r>
      <w:r w:rsidRPr="005E58C6">
        <w:rPr>
          <w:rFonts w:ascii="Times New Roman" w:hAnsi="Times New Roman" w:cs="Times New Roman"/>
          <w:sz w:val="28"/>
          <w:szCs w:val="28"/>
        </w:rPr>
        <w:t xml:space="preserve">2722-р, предусматривающее передачу в ведение Минпромторга России ФГУП «Опытный завод Российского научного центра «Восстановительная травматология и </w:t>
      </w:r>
      <w:r w:rsidR="00A60741">
        <w:rPr>
          <w:rFonts w:ascii="Times New Roman" w:hAnsi="Times New Roman" w:cs="Times New Roman"/>
          <w:sz w:val="28"/>
          <w:szCs w:val="28"/>
        </w:rPr>
        <w:t>ортопедия» имени академика Г.А. </w:t>
      </w:r>
      <w:r w:rsidRPr="005E58C6">
        <w:rPr>
          <w:rFonts w:ascii="Times New Roman" w:hAnsi="Times New Roman" w:cs="Times New Roman"/>
          <w:sz w:val="28"/>
          <w:szCs w:val="28"/>
        </w:rPr>
        <w:t xml:space="preserve">Илизарова» Минздрава России, с последующей его </w:t>
      </w:r>
      <w:r w:rsidRPr="005E58C6">
        <w:rPr>
          <w:rFonts w:ascii="Times New Roman" w:hAnsi="Times New Roman" w:cs="Times New Roman"/>
          <w:sz w:val="28"/>
          <w:szCs w:val="28"/>
        </w:rPr>
        <w:lastRenderedPageBreak/>
        <w:t>реорганизацией в форме присоединения к ФГУП «ЦИТО», подведомственному Минпромторгу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C учетом  мероприятий по оптимизации сети медицинских организаций по состоянию на 1 января 2018 г.   в государственной и муниципальной системе зд</w:t>
      </w:r>
      <w:r w:rsidR="00DF1213">
        <w:rPr>
          <w:rFonts w:ascii="Times New Roman" w:hAnsi="Times New Roman" w:cs="Times New Roman"/>
          <w:sz w:val="28"/>
          <w:szCs w:val="28"/>
        </w:rPr>
        <w:t>равоохранения функционировало 6 </w:t>
      </w:r>
      <w:r w:rsidRPr="005E58C6">
        <w:rPr>
          <w:rFonts w:ascii="Times New Roman" w:hAnsi="Times New Roman" w:cs="Times New Roman"/>
          <w:sz w:val="28"/>
          <w:szCs w:val="28"/>
        </w:rPr>
        <w:t xml:space="preserve">228 медицинских организаций, в том числе: </w:t>
      </w:r>
      <w:r w:rsidR="00DF1213">
        <w:rPr>
          <w:rFonts w:ascii="Times New Roman" w:hAnsi="Times New Roman" w:cs="Times New Roman"/>
          <w:sz w:val="28"/>
          <w:szCs w:val="28"/>
        </w:rPr>
        <w:t>3 </w:t>
      </w:r>
      <w:r w:rsidRPr="005E58C6">
        <w:rPr>
          <w:rFonts w:ascii="Times New Roman" w:hAnsi="Times New Roman" w:cs="Times New Roman"/>
          <w:sz w:val="28"/>
          <w:szCs w:val="28"/>
        </w:rPr>
        <w:t>903 (62,7</w:t>
      </w:r>
      <w:r w:rsidR="00000709">
        <w:rPr>
          <w:rFonts w:ascii="Times New Roman" w:hAnsi="Times New Roman" w:cs="Times New Roman"/>
          <w:sz w:val="28"/>
          <w:szCs w:val="28"/>
        </w:rPr>
        <w:t> %</w:t>
      </w:r>
      <w:r w:rsidRPr="005E58C6">
        <w:rPr>
          <w:rFonts w:ascii="Times New Roman" w:hAnsi="Times New Roman" w:cs="Times New Roman"/>
          <w:sz w:val="28"/>
          <w:szCs w:val="28"/>
        </w:rPr>
        <w:t>) медицинских  организации, оказывающих стационарную медицинскую помощь, 640 (10,3</w:t>
      </w:r>
      <w:r w:rsidR="00000709">
        <w:rPr>
          <w:rFonts w:ascii="Times New Roman" w:hAnsi="Times New Roman" w:cs="Times New Roman"/>
          <w:sz w:val="28"/>
          <w:szCs w:val="28"/>
        </w:rPr>
        <w:t> %</w:t>
      </w:r>
      <w:r w:rsidRPr="005E58C6">
        <w:rPr>
          <w:rFonts w:ascii="Times New Roman" w:hAnsi="Times New Roman" w:cs="Times New Roman"/>
          <w:sz w:val="28"/>
          <w:szCs w:val="28"/>
        </w:rPr>
        <w:t>) диспансера, 1</w:t>
      </w:r>
      <w:r w:rsidR="00DF1213">
        <w:rPr>
          <w:rFonts w:ascii="Times New Roman" w:hAnsi="Times New Roman" w:cs="Times New Roman"/>
          <w:sz w:val="28"/>
          <w:szCs w:val="28"/>
        </w:rPr>
        <w:t> </w:t>
      </w:r>
      <w:r w:rsidRPr="005E58C6">
        <w:rPr>
          <w:rFonts w:ascii="Times New Roman" w:hAnsi="Times New Roman" w:cs="Times New Roman"/>
          <w:sz w:val="28"/>
          <w:szCs w:val="28"/>
        </w:rPr>
        <w:t>066 (17,1</w:t>
      </w:r>
      <w:r w:rsidR="00000709">
        <w:rPr>
          <w:rFonts w:ascii="Times New Roman" w:hAnsi="Times New Roman" w:cs="Times New Roman"/>
          <w:sz w:val="28"/>
          <w:szCs w:val="28"/>
        </w:rPr>
        <w:t> %</w:t>
      </w:r>
      <w:r w:rsidRPr="005E58C6">
        <w:rPr>
          <w:rFonts w:ascii="Times New Roman" w:hAnsi="Times New Roman" w:cs="Times New Roman"/>
          <w:sz w:val="28"/>
          <w:szCs w:val="28"/>
        </w:rPr>
        <w:t>) самостоятельных медицинских организации, оказывающих амбулаторно-поликлиническую медицинскую помощь</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и 619 (9,9</w:t>
      </w:r>
      <w:r w:rsidR="00000709">
        <w:rPr>
          <w:rFonts w:ascii="Times New Roman" w:hAnsi="Times New Roman" w:cs="Times New Roman"/>
          <w:sz w:val="28"/>
          <w:szCs w:val="28"/>
        </w:rPr>
        <w:t> %</w:t>
      </w:r>
      <w:r w:rsidRPr="005E58C6">
        <w:rPr>
          <w:rFonts w:ascii="Times New Roman" w:hAnsi="Times New Roman" w:cs="Times New Roman"/>
          <w:sz w:val="28"/>
          <w:szCs w:val="28"/>
        </w:rPr>
        <w:t>) медицинских организации, оказывающих амбулаторно-поликлиническую медицинскую помощь по профилю «Стоматология».</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ходе проводимой органами исполнительной власти субъектов Российской Федерации в сфере здравоохранения реорганизации сети в       2018 году общее число медицинских организаций сократилось на 153 (2,4</w:t>
      </w:r>
      <w:r w:rsidR="00000709">
        <w:rPr>
          <w:rFonts w:ascii="Times New Roman" w:hAnsi="Times New Roman" w:cs="Times New Roman"/>
          <w:sz w:val="28"/>
          <w:szCs w:val="28"/>
        </w:rPr>
        <w:t> %</w:t>
      </w:r>
      <w:r w:rsidRPr="005E58C6">
        <w:rPr>
          <w:rFonts w:ascii="Times New Roman" w:hAnsi="Times New Roman" w:cs="Times New Roman"/>
          <w:sz w:val="28"/>
          <w:szCs w:val="28"/>
        </w:rPr>
        <w:t>), в том числе: больничных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63 (на 1,6</w:t>
      </w:r>
      <w:r w:rsidR="00000709">
        <w:rPr>
          <w:rFonts w:ascii="Times New Roman" w:hAnsi="Times New Roman" w:cs="Times New Roman"/>
          <w:sz w:val="28"/>
          <w:szCs w:val="28"/>
        </w:rPr>
        <w:t> %</w:t>
      </w:r>
      <w:r w:rsidRPr="005E58C6">
        <w:rPr>
          <w:rFonts w:ascii="Times New Roman" w:hAnsi="Times New Roman" w:cs="Times New Roman"/>
          <w:sz w:val="28"/>
          <w:szCs w:val="28"/>
        </w:rPr>
        <w:t>), диспансеров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14 (на 2,1</w:t>
      </w:r>
      <w:r w:rsidR="00000709">
        <w:rPr>
          <w:rFonts w:ascii="Times New Roman" w:hAnsi="Times New Roman" w:cs="Times New Roman"/>
          <w:sz w:val="28"/>
          <w:szCs w:val="28"/>
        </w:rPr>
        <w:t> %</w:t>
      </w:r>
      <w:r w:rsidRPr="005E58C6">
        <w:rPr>
          <w:rFonts w:ascii="Times New Roman" w:hAnsi="Times New Roman" w:cs="Times New Roman"/>
          <w:sz w:val="28"/>
          <w:szCs w:val="28"/>
        </w:rPr>
        <w:t>), самостоятельных амбулаторно-поликлинических организаций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52 (на 4,7</w:t>
      </w:r>
      <w:r w:rsidR="00000709">
        <w:rPr>
          <w:rFonts w:ascii="Times New Roman" w:hAnsi="Times New Roman" w:cs="Times New Roman"/>
          <w:sz w:val="28"/>
          <w:szCs w:val="28"/>
        </w:rPr>
        <w:t> %</w:t>
      </w:r>
      <w:r w:rsidRPr="005E58C6">
        <w:rPr>
          <w:rFonts w:ascii="Times New Roman" w:hAnsi="Times New Roman" w:cs="Times New Roman"/>
          <w:sz w:val="28"/>
          <w:szCs w:val="28"/>
        </w:rPr>
        <w:t>) и стоматологических поликлиник</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24 (на 3,7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число больничных организаций входят: 1 361 центральные районные больницы (34,9</w:t>
      </w:r>
      <w:r w:rsidR="00000709">
        <w:rPr>
          <w:rFonts w:ascii="Times New Roman" w:hAnsi="Times New Roman" w:cs="Times New Roman"/>
          <w:sz w:val="28"/>
          <w:szCs w:val="28"/>
        </w:rPr>
        <w:t> %</w:t>
      </w:r>
      <w:r w:rsidRPr="005E58C6">
        <w:rPr>
          <w:rFonts w:ascii="Times New Roman" w:hAnsi="Times New Roman" w:cs="Times New Roman"/>
          <w:sz w:val="28"/>
          <w:szCs w:val="28"/>
        </w:rPr>
        <w:t>), 752 городски</w:t>
      </w:r>
      <w:r w:rsidR="0081736E">
        <w:rPr>
          <w:rFonts w:ascii="Times New Roman" w:hAnsi="Times New Roman" w:cs="Times New Roman"/>
          <w:sz w:val="28"/>
          <w:szCs w:val="28"/>
        </w:rPr>
        <w:t>е</w:t>
      </w:r>
      <w:r w:rsidRPr="005E58C6">
        <w:rPr>
          <w:rFonts w:ascii="Times New Roman" w:hAnsi="Times New Roman" w:cs="Times New Roman"/>
          <w:sz w:val="28"/>
          <w:szCs w:val="28"/>
        </w:rPr>
        <w:t xml:space="preserve"> больниц</w:t>
      </w:r>
      <w:r w:rsidR="0081736E">
        <w:rPr>
          <w:rFonts w:ascii="Times New Roman" w:hAnsi="Times New Roman" w:cs="Times New Roman"/>
          <w:sz w:val="28"/>
          <w:szCs w:val="28"/>
        </w:rPr>
        <w:t>ы</w:t>
      </w:r>
      <w:r w:rsidRPr="005E58C6">
        <w:rPr>
          <w:rFonts w:ascii="Times New Roman" w:hAnsi="Times New Roman" w:cs="Times New Roman"/>
          <w:sz w:val="28"/>
          <w:szCs w:val="28"/>
        </w:rPr>
        <w:t xml:space="preserve"> (19,3</w:t>
      </w:r>
      <w:r w:rsidR="00000709">
        <w:rPr>
          <w:rFonts w:ascii="Times New Roman" w:hAnsi="Times New Roman" w:cs="Times New Roman"/>
          <w:sz w:val="28"/>
          <w:szCs w:val="28"/>
        </w:rPr>
        <w:t> %</w:t>
      </w:r>
      <w:r w:rsidRPr="005E58C6">
        <w:rPr>
          <w:rFonts w:ascii="Times New Roman" w:hAnsi="Times New Roman" w:cs="Times New Roman"/>
          <w:sz w:val="28"/>
          <w:szCs w:val="28"/>
        </w:rPr>
        <w:t>), 361 специализированн</w:t>
      </w:r>
      <w:r w:rsidR="0081736E">
        <w:rPr>
          <w:rFonts w:ascii="Times New Roman" w:hAnsi="Times New Roman" w:cs="Times New Roman"/>
          <w:sz w:val="28"/>
          <w:szCs w:val="28"/>
        </w:rPr>
        <w:t>ая</w:t>
      </w:r>
      <w:r w:rsidRPr="005E58C6">
        <w:rPr>
          <w:rFonts w:ascii="Times New Roman" w:hAnsi="Times New Roman" w:cs="Times New Roman"/>
          <w:sz w:val="28"/>
          <w:szCs w:val="28"/>
        </w:rPr>
        <w:t xml:space="preserve"> больниц</w:t>
      </w:r>
      <w:r w:rsidR="0081736E">
        <w:rPr>
          <w:rFonts w:ascii="Times New Roman" w:hAnsi="Times New Roman" w:cs="Times New Roman"/>
          <w:sz w:val="28"/>
          <w:szCs w:val="28"/>
        </w:rPr>
        <w:t>а</w:t>
      </w:r>
      <w:r w:rsidRPr="005E58C6">
        <w:rPr>
          <w:rFonts w:ascii="Times New Roman" w:hAnsi="Times New Roman" w:cs="Times New Roman"/>
          <w:sz w:val="28"/>
          <w:szCs w:val="28"/>
        </w:rPr>
        <w:t xml:space="preserve"> (9,3</w:t>
      </w:r>
      <w:r w:rsidR="00000709">
        <w:rPr>
          <w:rFonts w:ascii="Times New Roman" w:hAnsi="Times New Roman" w:cs="Times New Roman"/>
          <w:sz w:val="28"/>
          <w:szCs w:val="28"/>
        </w:rPr>
        <w:t> %</w:t>
      </w:r>
      <w:r w:rsidRPr="005E58C6">
        <w:rPr>
          <w:rFonts w:ascii="Times New Roman" w:hAnsi="Times New Roman" w:cs="Times New Roman"/>
          <w:sz w:val="28"/>
          <w:szCs w:val="28"/>
        </w:rPr>
        <w:t>), 418 районных больниц (10,7</w:t>
      </w:r>
      <w:r w:rsidR="00000709">
        <w:rPr>
          <w:rFonts w:ascii="Times New Roman" w:hAnsi="Times New Roman" w:cs="Times New Roman"/>
          <w:sz w:val="28"/>
          <w:szCs w:val="28"/>
        </w:rPr>
        <w:t> %</w:t>
      </w:r>
      <w:r w:rsidRPr="005E58C6">
        <w:rPr>
          <w:rFonts w:ascii="Times New Roman" w:hAnsi="Times New Roman" w:cs="Times New Roman"/>
          <w:sz w:val="28"/>
          <w:szCs w:val="28"/>
        </w:rPr>
        <w:t>), 150 детских городских больниц (3,8</w:t>
      </w:r>
      <w:r w:rsidR="00000709">
        <w:rPr>
          <w:rFonts w:ascii="Times New Roman" w:hAnsi="Times New Roman" w:cs="Times New Roman"/>
          <w:sz w:val="28"/>
          <w:szCs w:val="28"/>
        </w:rPr>
        <w:t> %</w:t>
      </w:r>
      <w:r w:rsidRPr="005E58C6">
        <w:rPr>
          <w:rFonts w:ascii="Times New Roman" w:hAnsi="Times New Roman" w:cs="Times New Roman"/>
          <w:sz w:val="28"/>
          <w:szCs w:val="28"/>
        </w:rPr>
        <w:t>), 195 (5,0</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областные, краевые, республиканские больницы (включая детские).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число диспансеров входят: противотуберкулезные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156 (24,4</w:t>
      </w:r>
      <w:r w:rsidR="00000709">
        <w:rPr>
          <w:rFonts w:ascii="Times New Roman" w:hAnsi="Times New Roman" w:cs="Times New Roman"/>
          <w:sz w:val="28"/>
          <w:szCs w:val="28"/>
        </w:rPr>
        <w:t> %</w:t>
      </w:r>
      <w:r w:rsidRPr="005E58C6">
        <w:rPr>
          <w:rFonts w:ascii="Times New Roman" w:hAnsi="Times New Roman" w:cs="Times New Roman"/>
          <w:sz w:val="28"/>
          <w:szCs w:val="28"/>
        </w:rPr>
        <w:t>), кожно-венерологические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122 (19,1</w:t>
      </w:r>
      <w:r w:rsidR="00000709">
        <w:rPr>
          <w:rFonts w:ascii="Times New Roman" w:hAnsi="Times New Roman" w:cs="Times New Roman"/>
          <w:sz w:val="28"/>
          <w:szCs w:val="28"/>
        </w:rPr>
        <w:t> %</w:t>
      </w:r>
      <w:r w:rsidRPr="005E58C6">
        <w:rPr>
          <w:rFonts w:ascii="Times New Roman" w:hAnsi="Times New Roman" w:cs="Times New Roman"/>
          <w:sz w:val="28"/>
          <w:szCs w:val="28"/>
        </w:rPr>
        <w:t>), онкологические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 (14,8</w:t>
      </w:r>
      <w:r w:rsidR="00000709">
        <w:rPr>
          <w:rFonts w:ascii="Times New Roman" w:hAnsi="Times New Roman" w:cs="Times New Roman"/>
          <w:sz w:val="28"/>
          <w:szCs w:val="28"/>
        </w:rPr>
        <w:t> %</w:t>
      </w:r>
      <w:r w:rsidRPr="005E58C6">
        <w:rPr>
          <w:rFonts w:ascii="Times New Roman" w:hAnsi="Times New Roman" w:cs="Times New Roman"/>
          <w:sz w:val="28"/>
          <w:szCs w:val="28"/>
        </w:rPr>
        <w:t>), психоневрологические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83 (13,0</w:t>
      </w:r>
      <w:r w:rsidR="00000709">
        <w:rPr>
          <w:rFonts w:ascii="Times New Roman" w:hAnsi="Times New Roman" w:cs="Times New Roman"/>
          <w:sz w:val="28"/>
          <w:szCs w:val="28"/>
        </w:rPr>
        <w:t> %</w:t>
      </w:r>
      <w:r w:rsidRPr="005E58C6">
        <w:rPr>
          <w:rFonts w:ascii="Times New Roman" w:hAnsi="Times New Roman" w:cs="Times New Roman"/>
          <w:sz w:val="28"/>
          <w:szCs w:val="28"/>
        </w:rPr>
        <w:t>), наркологические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86 (13,4</w:t>
      </w:r>
      <w:r w:rsidR="00000709">
        <w:rPr>
          <w:rFonts w:ascii="Times New Roman" w:hAnsi="Times New Roman" w:cs="Times New Roman"/>
          <w:sz w:val="28"/>
          <w:szCs w:val="28"/>
        </w:rPr>
        <w:t> %</w:t>
      </w:r>
      <w:r w:rsidRPr="005E58C6">
        <w:rPr>
          <w:rFonts w:ascii="Times New Roman" w:hAnsi="Times New Roman" w:cs="Times New Roman"/>
          <w:sz w:val="28"/>
          <w:szCs w:val="28"/>
        </w:rPr>
        <w:t>), врачебно-физкультурные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67 (10,5</w:t>
      </w:r>
      <w:r w:rsidR="00000709">
        <w:rPr>
          <w:rFonts w:ascii="Times New Roman" w:hAnsi="Times New Roman" w:cs="Times New Roman"/>
          <w:sz w:val="28"/>
          <w:szCs w:val="28"/>
        </w:rPr>
        <w:t> %</w:t>
      </w:r>
      <w:r w:rsidRPr="005E58C6">
        <w:rPr>
          <w:rFonts w:ascii="Times New Roman" w:hAnsi="Times New Roman" w:cs="Times New Roman"/>
          <w:sz w:val="28"/>
          <w:szCs w:val="28"/>
        </w:rPr>
        <w:t>), кардиологические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 (3,6</w:t>
      </w:r>
      <w:r w:rsidR="00000709">
        <w:rPr>
          <w:rFonts w:ascii="Times New Roman" w:hAnsi="Times New Roman" w:cs="Times New Roman"/>
          <w:sz w:val="28"/>
          <w:szCs w:val="28"/>
        </w:rPr>
        <w:t> %</w:t>
      </w:r>
      <w:r w:rsidRPr="005E58C6">
        <w:rPr>
          <w:rFonts w:ascii="Times New Roman" w:hAnsi="Times New Roman" w:cs="Times New Roman"/>
          <w:sz w:val="28"/>
          <w:szCs w:val="28"/>
        </w:rPr>
        <w:t>), эндокринологические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 (1,2</w:t>
      </w:r>
      <w:r w:rsidR="00000709">
        <w:rPr>
          <w:rFonts w:ascii="Times New Roman" w:hAnsi="Times New Roman" w:cs="Times New Roman"/>
          <w:sz w:val="28"/>
          <w:szCs w:val="28"/>
        </w:rPr>
        <w:t> %</w:t>
      </w:r>
      <w:r w:rsidRPr="005E58C6">
        <w:rPr>
          <w:rFonts w:ascii="Times New Roman" w:hAnsi="Times New Roman" w:cs="Times New Roman"/>
          <w:sz w:val="28"/>
          <w:szCs w:val="28"/>
        </w:rPr>
        <w:t>) и 1 офтальмологический диспансер (0,1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Государственные медицинские организации, находящиеся в ведении субъектов Российской Федерации, составляют 5</w:t>
      </w:r>
      <w:r w:rsidR="00DF1213">
        <w:rPr>
          <w:rFonts w:ascii="Times New Roman" w:hAnsi="Times New Roman" w:cs="Times New Roman"/>
          <w:sz w:val="28"/>
          <w:szCs w:val="28"/>
        </w:rPr>
        <w:t> </w:t>
      </w:r>
      <w:r w:rsidRPr="005E58C6">
        <w:rPr>
          <w:rFonts w:ascii="Times New Roman" w:hAnsi="Times New Roman" w:cs="Times New Roman"/>
          <w:sz w:val="28"/>
          <w:szCs w:val="28"/>
        </w:rPr>
        <w:t>883 (94,5</w:t>
      </w:r>
      <w:r w:rsidR="00000709">
        <w:rPr>
          <w:rFonts w:ascii="Times New Roman" w:hAnsi="Times New Roman" w:cs="Times New Roman"/>
          <w:sz w:val="28"/>
          <w:szCs w:val="28"/>
        </w:rPr>
        <w:t> %</w:t>
      </w:r>
      <w:r w:rsidRPr="005E58C6">
        <w:rPr>
          <w:rFonts w:ascii="Times New Roman" w:hAnsi="Times New Roman" w:cs="Times New Roman"/>
          <w:sz w:val="28"/>
          <w:szCs w:val="28"/>
        </w:rPr>
        <w:t>), число муниципальных медицинских организаций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190 (3,0</w:t>
      </w:r>
      <w:r w:rsidR="00000709">
        <w:rPr>
          <w:rFonts w:ascii="Times New Roman" w:hAnsi="Times New Roman" w:cs="Times New Roman"/>
          <w:sz w:val="28"/>
          <w:szCs w:val="28"/>
        </w:rPr>
        <w:t> %</w:t>
      </w:r>
      <w:r w:rsidR="0081736E">
        <w:rPr>
          <w:rFonts w:ascii="Times New Roman" w:hAnsi="Times New Roman" w:cs="Times New Roman"/>
          <w:sz w:val="28"/>
          <w:szCs w:val="28"/>
        </w:rPr>
        <w:t xml:space="preserve">), </w:t>
      </w:r>
      <w:r w:rsidRPr="005E58C6">
        <w:rPr>
          <w:rFonts w:ascii="Times New Roman" w:hAnsi="Times New Roman" w:cs="Times New Roman"/>
          <w:sz w:val="28"/>
          <w:szCs w:val="28"/>
        </w:rPr>
        <w:t>федеральных медицинских организаций, подведомственных Минздраву России</w:t>
      </w:r>
      <w:r w:rsidR="0081736E">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155 (2,5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посещений на 1 жителя в год в амбулаторно-поликлинических организациях  составило в 2018 году 8,4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8,4).</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В 2018 году в медицинских организациях, оказывающих медицинскую помощь в стационарных условиях</w:t>
      </w:r>
      <w:r w:rsidR="0081736E">
        <w:rPr>
          <w:rFonts w:ascii="Times New Roman" w:hAnsi="Times New Roman" w:cs="Times New Roman"/>
          <w:sz w:val="28"/>
          <w:szCs w:val="28"/>
        </w:rPr>
        <w:t>,</w:t>
      </w:r>
      <w:r w:rsidRPr="005E58C6">
        <w:rPr>
          <w:rFonts w:ascii="Times New Roman" w:hAnsi="Times New Roman" w:cs="Times New Roman"/>
          <w:sz w:val="28"/>
          <w:szCs w:val="28"/>
        </w:rPr>
        <w:t xml:space="preserve"> было развернуто 4 829 дневных стационара на 95 292 койко-мест, на которых было пролечено 3</w:t>
      </w:r>
      <w:r w:rsidR="00DF1213">
        <w:rPr>
          <w:rFonts w:ascii="Times New Roman" w:hAnsi="Times New Roman" w:cs="Times New Roman"/>
          <w:sz w:val="28"/>
          <w:szCs w:val="28"/>
        </w:rPr>
        <w:t> </w:t>
      </w:r>
      <w:r w:rsidRPr="005E58C6">
        <w:rPr>
          <w:rFonts w:ascii="Times New Roman" w:hAnsi="Times New Roman" w:cs="Times New Roman"/>
          <w:sz w:val="28"/>
          <w:szCs w:val="28"/>
        </w:rPr>
        <w:t>128</w:t>
      </w:r>
      <w:r w:rsidR="00DF1213">
        <w:rPr>
          <w:rFonts w:ascii="Times New Roman" w:hAnsi="Times New Roman" w:cs="Times New Roman"/>
          <w:sz w:val="28"/>
          <w:szCs w:val="28"/>
        </w:rPr>
        <w:t> </w:t>
      </w:r>
      <w:r w:rsidRPr="005E58C6">
        <w:rPr>
          <w:rFonts w:ascii="Times New Roman" w:hAnsi="Times New Roman" w:cs="Times New Roman"/>
          <w:sz w:val="28"/>
          <w:szCs w:val="28"/>
        </w:rPr>
        <w:t>534 пациента, средняя длительность лечения составила 9,5 дня.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медицинских организациях, оказывающих медицинскую помощь в амбулаторных условиях, было развернуто 8 936 дневных стационаров на 154 708 койко-мест, на которых было пролечено 5</w:t>
      </w:r>
      <w:r w:rsidR="00DF1213">
        <w:rPr>
          <w:rFonts w:ascii="Times New Roman" w:hAnsi="Times New Roman" w:cs="Times New Roman"/>
          <w:sz w:val="28"/>
          <w:szCs w:val="28"/>
        </w:rPr>
        <w:t> </w:t>
      </w:r>
      <w:r w:rsidRPr="005E58C6">
        <w:rPr>
          <w:rFonts w:ascii="Times New Roman" w:hAnsi="Times New Roman" w:cs="Times New Roman"/>
          <w:sz w:val="28"/>
          <w:szCs w:val="28"/>
        </w:rPr>
        <w:t>146</w:t>
      </w:r>
      <w:r w:rsidR="00DF1213">
        <w:rPr>
          <w:rFonts w:ascii="Times New Roman" w:hAnsi="Times New Roman" w:cs="Times New Roman"/>
          <w:sz w:val="28"/>
          <w:szCs w:val="28"/>
        </w:rPr>
        <w:t> </w:t>
      </w:r>
      <w:r w:rsidRPr="005E58C6">
        <w:rPr>
          <w:rFonts w:ascii="Times New Roman" w:hAnsi="Times New Roman" w:cs="Times New Roman"/>
          <w:sz w:val="28"/>
          <w:szCs w:val="28"/>
        </w:rPr>
        <w:t>557 пациента со средней длительностью лечения 10,4 дня.</w:t>
      </w:r>
    </w:p>
    <w:p w:rsidR="005E58C6" w:rsidRPr="005E58C6" w:rsidRDefault="005E58C6" w:rsidP="0081736E">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сравнению с 2017 годом в 2018 году число коек, развернутых в дневных стационарах медицинских организаций, оказывающих медицинскую помощь в стационарных и амбулаторных условиях, сократилось на 0,5</w:t>
      </w:r>
      <w:r w:rsidR="00000709">
        <w:rPr>
          <w:rFonts w:ascii="Times New Roman" w:hAnsi="Times New Roman" w:cs="Times New Roman"/>
          <w:sz w:val="28"/>
          <w:szCs w:val="28"/>
        </w:rPr>
        <w:t> %</w:t>
      </w:r>
      <w:r w:rsidRPr="005E58C6">
        <w:rPr>
          <w:rFonts w:ascii="Times New Roman" w:hAnsi="Times New Roman" w:cs="Times New Roman"/>
          <w:sz w:val="28"/>
          <w:szCs w:val="28"/>
        </w:rPr>
        <w:t>, в то же время, число пролеченных пациентов увеличилось на 1,6</w:t>
      </w:r>
      <w:r w:rsidR="00000709">
        <w:rPr>
          <w:rFonts w:ascii="Times New Roman" w:hAnsi="Times New Roman" w:cs="Times New Roman"/>
          <w:sz w:val="28"/>
          <w:szCs w:val="28"/>
        </w:rPr>
        <w:t> %</w:t>
      </w:r>
      <w:r w:rsidRPr="005E58C6">
        <w:rPr>
          <w:rFonts w:ascii="Times New Roman" w:hAnsi="Times New Roman" w:cs="Times New Roman"/>
          <w:sz w:val="28"/>
          <w:szCs w:val="28"/>
        </w:rPr>
        <w:t>, а среднее число дней лечения снизилось на 1,0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скорая, в том числе скорая специализированная, медицинская помощь  оказывалась 2 276 станциями (отделениями) скорой медицинской помощи, в том числе 163 самостоятельными (7,2</w:t>
      </w:r>
      <w:r w:rsidR="00000709">
        <w:rPr>
          <w:rFonts w:ascii="Times New Roman" w:hAnsi="Times New Roman" w:cs="Times New Roman"/>
          <w:sz w:val="28"/>
          <w:szCs w:val="28"/>
        </w:rPr>
        <w:t> %</w:t>
      </w:r>
      <w:r w:rsidRPr="005E58C6">
        <w:rPr>
          <w:rFonts w:ascii="Times New Roman" w:hAnsi="Times New Roman" w:cs="Times New Roman"/>
          <w:sz w:val="28"/>
          <w:szCs w:val="28"/>
        </w:rPr>
        <w:t>). Число бригад скорой медицинской помощи составило 53 109, в том числе 37 907 (71,4</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фельдшерских.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сравнению с предыдущим годом число станций (отделений) скорой медицинской помощи уменьшилось на 62 (на 2,7</w:t>
      </w:r>
      <w:r w:rsidR="00000709">
        <w:rPr>
          <w:rFonts w:ascii="Times New Roman" w:hAnsi="Times New Roman" w:cs="Times New Roman"/>
          <w:sz w:val="28"/>
          <w:szCs w:val="28"/>
        </w:rPr>
        <w:t> %</w:t>
      </w:r>
      <w:r w:rsidRPr="005E58C6">
        <w:rPr>
          <w:rFonts w:ascii="Times New Roman" w:hAnsi="Times New Roman" w:cs="Times New Roman"/>
          <w:sz w:val="28"/>
          <w:szCs w:val="28"/>
        </w:rPr>
        <w:t>), а общее число бригад возросло на 1 296 (на 8,9</w:t>
      </w:r>
      <w:r w:rsidR="00000709">
        <w:rPr>
          <w:rFonts w:ascii="Times New Roman" w:hAnsi="Times New Roman" w:cs="Times New Roman"/>
          <w:sz w:val="28"/>
          <w:szCs w:val="28"/>
        </w:rPr>
        <w:t> %</w:t>
      </w:r>
      <w:r w:rsidRPr="005E58C6">
        <w:rPr>
          <w:rFonts w:ascii="Times New Roman" w:hAnsi="Times New Roman" w:cs="Times New Roman"/>
          <w:sz w:val="28"/>
          <w:szCs w:val="28"/>
        </w:rPr>
        <w:t>). Число врачебных бригад снизилось на 1296 (на 10,4</w:t>
      </w:r>
      <w:r w:rsidR="00000709">
        <w:rPr>
          <w:rFonts w:ascii="Times New Roman" w:hAnsi="Times New Roman" w:cs="Times New Roman"/>
          <w:sz w:val="28"/>
          <w:szCs w:val="28"/>
        </w:rPr>
        <w:t> %</w:t>
      </w:r>
      <w:r w:rsidRPr="005E58C6">
        <w:rPr>
          <w:rFonts w:ascii="Times New Roman" w:hAnsi="Times New Roman" w:cs="Times New Roman"/>
          <w:sz w:val="28"/>
          <w:szCs w:val="28"/>
        </w:rPr>
        <w:t>), при росте фельдшерских бригад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w:t>
      </w:r>
      <w:r w:rsidR="00DF1213">
        <w:rPr>
          <w:rFonts w:ascii="Times New Roman" w:hAnsi="Times New Roman" w:cs="Times New Roman"/>
          <w:sz w:val="28"/>
          <w:szCs w:val="28"/>
        </w:rPr>
        <w:t> </w:t>
      </w:r>
      <w:r w:rsidRPr="005E58C6">
        <w:rPr>
          <w:rFonts w:ascii="Times New Roman" w:hAnsi="Times New Roman" w:cs="Times New Roman"/>
          <w:sz w:val="28"/>
          <w:szCs w:val="28"/>
        </w:rPr>
        <w:t>156 (на 3,1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Обеспеченность врачебными бригадами скорой медицинской помощи снизилась с 0,11 до 0,10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 при росте фельдшерскими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0,25 до 0,26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населения.</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коечный фонд стационаров Российской Федерации уменьшился на 0,9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1</w:t>
      </w:r>
      <w:r w:rsidR="00DF1213">
        <w:rPr>
          <w:rFonts w:ascii="Times New Roman" w:hAnsi="Times New Roman" w:cs="Times New Roman"/>
          <w:sz w:val="28"/>
          <w:szCs w:val="28"/>
        </w:rPr>
        <w:t> </w:t>
      </w:r>
      <w:r w:rsidRPr="005E58C6">
        <w:rPr>
          <w:rFonts w:ascii="Times New Roman" w:hAnsi="Times New Roman" w:cs="Times New Roman"/>
          <w:sz w:val="28"/>
          <w:szCs w:val="28"/>
        </w:rPr>
        <w:t>044</w:t>
      </w:r>
      <w:r w:rsidR="00DF1213">
        <w:rPr>
          <w:rFonts w:ascii="Times New Roman" w:hAnsi="Times New Roman" w:cs="Times New Roman"/>
          <w:sz w:val="28"/>
          <w:szCs w:val="28"/>
        </w:rPr>
        <w:t> </w:t>
      </w:r>
      <w:r w:rsidRPr="005E58C6">
        <w:rPr>
          <w:rFonts w:ascii="Times New Roman" w:hAnsi="Times New Roman" w:cs="Times New Roman"/>
          <w:sz w:val="28"/>
          <w:szCs w:val="28"/>
        </w:rPr>
        <w:t>875 коек. Обеспеченность койками снизилась с 71,8 до 71,1 на 10 тыс.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Обеспеченность койками в 2018 году по федеральным округам находится в диапазоне от 66,6 в Северо-Кавказском федеральном округе до 78,9 на 10 тыс. населения в Дальневосточном федеральном округе.</w:t>
      </w:r>
    </w:p>
    <w:p w:rsidR="005E58C6" w:rsidRPr="005E58C6" w:rsidRDefault="005E58C6" w:rsidP="00DF1213">
      <w:pPr>
        <w:widowControl w:val="0"/>
        <w:tabs>
          <w:tab w:val="left" w:pos="1064"/>
        </w:tabs>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Наиболее высокий уровень обеспеченности койками отмечается в Чукотском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132,1; Магаданской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109,4, Сахалинской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102,3; Республике Тыва</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 xml:space="preserve">102,2; Республике Саха(Якутия) </w:t>
      </w:r>
      <w:r w:rsidR="00DF1213">
        <w:rPr>
          <w:rFonts w:ascii="Times New Roman" w:hAnsi="Times New Roman" w:cs="Times New Roman"/>
          <w:sz w:val="28"/>
          <w:szCs w:val="28"/>
        </w:rPr>
        <w:t>–</w:t>
      </w:r>
      <w:r w:rsidRPr="005E58C6">
        <w:rPr>
          <w:rFonts w:ascii="Times New Roman" w:hAnsi="Times New Roman" w:cs="Times New Roman"/>
          <w:sz w:val="28"/>
          <w:szCs w:val="28"/>
        </w:rPr>
        <w:t xml:space="preserve"> 92,1; Республи</w:t>
      </w:r>
      <w:r w:rsidR="00DF1213">
        <w:rPr>
          <w:rFonts w:ascii="Times New Roman" w:hAnsi="Times New Roman" w:cs="Times New Roman"/>
          <w:sz w:val="28"/>
          <w:szCs w:val="28"/>
        </w:rPr>
        <w:t>ке Коми –</w:t>
      </w:r>
      <w:r w:rsidRPr="005E58C6">
        <w:rPr>
          <w:rFonts w:ascii="Times New Roman" w:hAnsi="Times New Roman" w:cs="Times New Roman"/>
          <w:sz w:val="28"/>
          <w:szCs w:val="28"/>
        </w:rPr>
        <w:t xml:space="preserve"> 8</w:t>
      </w:r>
      <w:r w:rsidR="00DF1213">
        <w:rPr>
          <w:rFonts w:ascii="Times New Roman" w:hAnsi="Times New Roman" w:cs="Times New Roman"/>
          <w:sz w:val="28"/>
          <w:szCs w:val="28"/>
        </w:rPr>
        <w:t xml:space="preserve">9,1; Камчатском крае – 89,1 на </w:t>
      </w:r>
      <w:r w:rsidR="00DF1213">
        <w:rPr>
          <w:rFonts w:ascii="Times New Roman" w:hAnsi="Times New Roman" w:cs="Times New Roman"/>
          <w:sz w:val="28"/>
          <w:szCs w:val="28"/>
        </w:rPr>
        <w:lastRenderedPageBreak/>
        <w:t>10 </w:t>
      </w:r>
      <w:r w:rsidRPr="005E58C6">
        <w:rPr>
          <w:rFonts w:ascii="Times New Roman" w:hAnsi="Times New Roman" w:cs="Times New Roman"/>
          <w:sz w:val="28"/>
          <w:szCs w:val="28"/>
        </w:rPr>
        <w:t>тыс. населения, наиболее низкий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Республике Ингушетия</w:t>
      </w:r>
      <w:r w:rsidR="00DF1213">
        <w:rPr>
          <w:rFonts w:ascii="Times New Roman" w:hAnsi="Times New Roman" w:cs="Times New Roman"/>
          <w:sz w:val="28"/>
          <w:szCs w:val="28"/>
        </w:rPr>
        <w:t xml:space="preserve"> – 45,2; г. </w:t>
      </w:r>
      <w:r w:rsidRPr="005E58C6">
        <w:rPr>
          <w:rFonts w:ascii="Times New Roman" w:hAnsi="Times New Roman" w:cs="Times New Roman"/>
          <w:sz w:val="28"/>
          <w:szCs w:val="28"/>
        </w:rPr>
        <w:t>Москве</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54,5;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56,1; Республике Татарстан</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56,7; г.Севастополе</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58,0; Ленинградской области</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 xml:space="preserve">59,3.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Различия между показателями обеспеченности населения субъектов Российской Федерации койками 3 кратные.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среднее число дней занятости койки в году составило 313 дней. По федеральным округам показатель составил от 308 дней в Южном    федеральном округе до 321 дней в Северо-Западном федеральном округе.</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w:t>
      </w:r>
      <w:r w:rsidR="00DF1213">
        <w:rPr>
          <w:rFonts w:ascii="Times New Roman" w:hAnsi="Times New Roman" w:cs="Times New Roman"/>
          <w:sz w:val="28"/>
          <w:szCs w:val="28"/>
        </w:rPr>
        <w:t xml:space="preserve">лее интенсивно работали койки в – г. Санкт-Петербурге </w:t>
      </w:r>
      <w:r w:rsidRPr="005E58C6">
        <w:rPr>
          <w:rFonts w:ascii="Times New Roman" w:hAnsi="Times New Roman" w:cs="Times New Roman"/>
          <w:sz w:val="28"/>
          <w:szCs w:val="28"/>
        </w:rPr>
        <w:t>334, Тюменской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334 дня, Кировской области и Ханты-Мансийском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334 дня, Тамбовской, Новгородской, Магаданской областях, в Хабаровском крае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333 дня. Превышение среднероссийского показателя в этих регионах составило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5,1-6,7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Наименее интенсивная (на 5,8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14,4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ниже среднероссийского значения показателя) работа койки отмечена в Еврейской автономной области - 268, Тверской области - 276, Ямало-Ненецком автономном округе - 284; Республике Марий Эл - 287, Карачаево-Черкесской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287 дней, Костромской области-290, Камчатской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292, Республике Коми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293 дня, Тульской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294 дня, Ростовской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295 дней.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Различия между значениями показателя интенсивности эксплуатации коечного фонда составили 27,5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средняя длительность пребывания пациента в стационаре сократилась на 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составила 10,7 дней. Наименьшая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Центральном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10,0 дня, наибольшая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Дальневосточном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11,9 дней.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группу с наибольшей средней продолжительностью пребывания пациентов в стационаре вошли следующие субъекты Российской Федерации: Чукотский автономный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13,9; Магаданская область</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13,2 дня; Смоленская область</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12,9; Сахалинская и Орловская области </w:t>
      </w:r>
      <w:r w:rsidR="00DF1213">
        <w:rPr>
          <w:rFonts w:ascii="Times New Roman" w:hAnsi="Times New Roman" w:cs="Times New Roman"/>
          <w:sz w:val="28"/>
          <w:szCs w:val="28"/>
        </w:rPr>
        <w:t>–</w:t>
      </w:r>
      <w:r w:rsidRPr="005E58C6">
        <w:rPr>
          <w:rFonts w:ascii="Times New Roman" w:hAnsi="Times New Roman" w:cs="Times New Roman"/>
          <w:sz w:val="28"/>
          <w:szCs w:val="28"/>
        </w:rPr>
        <w:t xml:space="preserve"> 12,8 дней;  Курская, Кемеровская, Иркутская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12,7 дней; Костромская область -12,6 дней.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Наименьшая продолжительность пребывания пациента в стационаре отмечалась: в г. Москве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7,6;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9,3 дня; Республике Алтай - 9,6; Тюменской области</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9,8 дней; г. Севастополе и Краснодарском крае</w:t>
      </w:r>
      <w:r w:rsidR="00DF1213">
        <w:rPr>
          <w:rFonts w:ascii="Times New Roman" w:hAnsi="Times New Roman" w:cs="Times New Roman"/>
          <w:sz w:val="28"/>
          <w:szCs w:val="28"/>
        </w:rPr>
        <w:t xml:space="preserve"> – </w:t>
      </w:r>
      <w:r w:rsidRPr="005E58C6">
        <w:rPr>
          <w:rFonts w:ascii="Times New Roman" w:hAnsi="Times New Roman" w:cs="Times New Roman"/>
          <w:sz w:val="28"/>
          <w:szCs w:val="28"/>
        </w:rPr>
        <w:t xml:space="preserve">9,8 дней.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Значения показателя в субъектах Российской Федерации различаются в 1,8 раза.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показатель больничной летальности составил 1,90</w:t>
      </w:r>
      <w:r w:rsidR="00000709">
        <w:rPr>
          <w:rFonts w:ascii="Times New Roman" w:hAnsi="Times New Roman" w:cs="Times New Roman"/>
          <w:sz w:val="28"/>
          <w:szCs w:val="28"/>
        </w:rPr>
        <w:t> %</w:t>
      </w:r>
      <w:r w:rsidR="00DF1213">
        <w:rPr>
          <w:rFonts w:ascii="Times New Roman" w:hAnsi="Times New Roman" w:cs="Times New Roman"/>
          <w:sz w:val="28"/>
          <w:szCs w:val="28"/>
        </w:rPr>
        <w:t xml:space="preserve"> (2017 </w:t>
      </w:r>
      <w:r w:rsidRPr="005E58C6">
        <w:rPr>
          <w:rFonts w:ascii="Times New Roman" w:hAnsi="Times New Roman" w:cs="Times New Roman"/>
          <w:sz w:val="28"/>
          <w:szCs w:val="28"/>
        </w:rPr>
        <w:t>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DF1213">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Самая высокая (выше средней) больничная летальность регистрируется в медицинских организациях Северо-Западного федерального округа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Центрального федерального округа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2,08</w:t>
      </w:r>
      <w:r w:rsidR="00000709">
        <w:rPr>
          <w:rFonts w:ascii="Times New Roman" w:hAnsi="Times New Roman" w:cs="Times New Roman"/>
          <w:sz w:val="28"/>
          <w:szCs w:val="28"/>
        </w:rPr>
        <w:t> %</w:t>
      </w:r>
      <w:r w:rsidRPr="005E58C6">
        <w:rPr>
          <w:rFonts w:ascii="Times New Roman" w:hAnsi="Times New Roman" w:cs="Times New Roman"/>
          <w:sz w:val="28"/>
          <w:szCs w:val="28"/>
        </w:rPr>
        <w:t>, самая низкая в Северо-Кавказском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0,91</w:t>
      </w:r>
      <w:r w:rsidR="00000709">
        <w:rPr>
          <w:rFonts w:ascii="Times New Roman" w:hAnsi="Times New Roman" w:cs="Times New Roman"/>
          <w:sz w:val="28"/>
          <w:szCs w:val="28"/>
        </w:rPr>
        <w:t> %</w:t>
      </w:r>
      <w:r w:rsidRPr="005E58C6">
        <w:rPr>
          <w:rFonts w:ascii="Times New Roman" w:hAnsi="Times New Roman" w:cs="Times New Roman"/>
          <w:sz w:val="28"/>
          <w:szCs w:val="28"/>
        </w:rPr>
        <w:t>. В остальных федеральных округах значения показателей составляют 1,71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субъектам Российской Федерации значение показателя больничной летальности свыше 2,4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отмечается в Мурманской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2,43</w:t>
      </w:r>
      <w:r w:rsidR="00000709">
        <w:rPr>
          <w:rFonts w:ascii="Times New Roman" w:hAnsi="Times New Roman" w:cs="Times New Roman"/>
          <w:sz w:val="28"/>
          <w:szCs w:val="28"/>
        </w:rPr>
        <w:t> %</w:t>
      </w:r>
      <w:r w:rsidRPr="005E58C6">
        <w:rPr>
          <w:rFonts w:ascii="Times New Roman" w:hAnsi="Times New Roman" w:cs="Times New Roman"/>
          <w:sz w:val="28"/>
          <w:szCs w:val="28"/>
        </w:rPr>
        <w:t>, Кемеровской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2,44</w:t>
      </w:r>
      <w:r w:rsidR="00000709">
        <w:rPr>
          <w:rFonts w:ascii="Times New Roman" w:hAnsi="Times New Roman" w:cs="Times New Roman"/>
          <w:sz w:val="28"/>
          <w:szCs w:val="28"/>
        </w:rPr>
        <w:t> %</w:t>
      </w:r>
      <w:r w:rsidRPr="005E58C6">
        <w:rPr>
          <w:rFonts w:ascii="Times New Roman" w:hAnsi="Times New Roman" w:cs="Times New Roman"/>
          <w:sz w:val="28"/>
          <w:szCs w:val="28"/>
        </w:rPr>
        <w:t>, г. Санкт-Петербурге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2,46</w:t>
      </w:r>
      <w:r w:rsidR="00000709">
        <w:rPr>
          <w:rFonts w:ascii="Times New Roman" w:hAnsi="Times New Roman" w:cs="Times New Roman"/>
          <w:sz w:val="28"/>
          <w:szCs w:val="28"/>
        </w:rPr>
        <w:t> %</w:t>
      </w:r>
      <w:r w:rsidRPr="005E58C6">
        <w:rPr>
          <w:rFonts w:ascii="Times New Roman" w:hAnsi="Times New Roman" w:cs="Times New Roman"/>
          <w:sz w:val="28"/>
          <w:szCs w:val="28"/>
        </w:rPr>
        <w:t>, Псковской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2,56</w:t>
      </w:r>
      <w:r w:rsidR="00000709">
        <w:rPr>
          <w:rFonts w:ascii="Times New Roman" w:hAnsi="Times New Roman" w:cs="Times New Roman"/>
          <w:sz w:val="28"/>
          <w:szCs w:val="28"/>
        </w:rPr>
        <w:t> %</w:t>
      </w:r>
      <w:r w:rsidRPr="005E58C6">
        <w:rPr>
          <w:rFonts w:ascii="Times New Roman" w:hAnsi="Times New Roman" w:cs="Times New Roman"/>
          <w:sz w:val="28"/>
          <w:szCs w:val="28"/>
        </w:rPr>
        <w:t>; Новгородской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2,58</w:t>
      </w:r>
      <w:r w:rsidR="00000709">
        <w:rPr>
          <w:rFonts w:ascii="Times New Roman" w:hAnsi="Times New Roman" w:cs="Times New Roman"/>
          <w:sz w:val="28"/>
          <w:szCs w:val="28"/>
        </w:rPr>
        <w:t> %</w:t>
      </w:r>
      <w:r w:rsidRPr="005E58C6">
        <w:rPr>
          <w:rFonts w:ascii="Times New Roman" w:hAnsi="Times New Roman" w:cs="Times New Roman"/>
          <w:sz w:val="28"/>
          <w:szCs w:val="28"/>
        </w:rPr>
        <w:t>, Ярославской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2,60</w:t>
      </w:r>
      <w:r w:rsidR="00000709">
        <w:rPr>
          <w:rFonts w:ascii="Times New Roman" w:hAnsi="Times New Roman" w:cs="Times New Roman"/>
          <w:sz w:val="28"/>
          <w:szCs w:val="28"/>
        </w:rPr>
        <w:t> %</w:t>
      </w:r>
      <w:r w:rsidRPr="005E58C6">
        <w:rPr>
          <w:rFonts w:ascii="Times New Roman" w:hAnsi="Times New Roman" w:cs="Times New Roman"/>
          <w:sz w:val="28"/>
          <w:szCs w:val="28"/>
        </w:rPr>
        <w:t>, Тверской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Тульской области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2,64</w:t>
      </w:r>
      <w:r w:rsidR="00000709">
        <w:rPr>
          <w:rFonts w:ascii="Times New Roman" w:hAnsi="Times New Roman" w:cs="Times New Roman"/>
          <w:sz w:val="28"/>
          <w:szCs w:val="28"/>
        </w:rPr>
        <w:t> %</w:t>
      </w:r>
      <w:r w:rsidR="00DF1213">
        <w:rPr>
          <w:rFonts w:ascii="Times New Roman" w:hAnsi="Times New Roman" w:cs="Times New Roman"/>
          <w:sz w:val="28"/>
          <w:szCs w:val="28"/>
        </w:rPr>
        <w:t>, г. </w:t>
      </w:r>
      <w:r w:rsidRPr="005E58C6">
        <w:rPr>
          <w:rFonts w:ascii="Times New Roman" w:hAnsi="Times New Roman" w:cs="Times New Roman"/>
          <w:sz w:val="28"/>
          <w:szCs w:val="28"/>
        </w:rPr>
        <w:t>Севастополе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2,94</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Карелия</w:t>
      </w:r>
      <w:r w:rsidR="00DF1213">
        <w:rPr>
          <w:rFonts w:ascii="Times New Roman" w:hAnsi="Times New Roman" w:cs="Times New Roman"/>
          <w:sz w:val="28"/>
          <w:szCs w:val="28"/>
        </w:rPr>
        <w:t xml:space="preserve"> –</w:t>
      </w:r>
      <w:r w:rsidRPr="005E58C6">
        <w:rPr>
          <w:rFonts w:ascii="Times New Roman" w:hAnsi="Times New Roman" w:cs="Times New Roman"/>
          <w:sz w:val="28"/>
          <w:szCs w:val="28"/>
        </w:rPr>
        <w:t xml:space="preserve"> 2,98</w:t>
      </w:r>
      <w:r w:rsidR="00000709">
        <w:rPr>
          <w:rFonts w:ascii="Times New Roman" w:hAnsi="Times New Roman" w:cs="Times New Roman"/>
          <w:sz w:val="28"/>
          <w:szCs w:val="28"/>
        </w:rPr>
        <w:t> %</w:t>
      </w:r>
      <w:r w:rsidRPr="005E58C6">
        <w:rPr>
          <w:rFonts w:ascii="Times New Roman" w:hAnsi="Times New Roman" w:cs="Times New Roman"/>
          <w:sz w:val="28"/>
          <w:szCs w:val="28"/>
        </w:rPr>
        <w:t>, Ленинградской области</w:t>
      </w:r>
      <w:r w:rsidR="00DF1213">
        <w:rPr>
          <w:rFonts w:ascii="Times New Roman" w:hAnsi="Times New Roman" w:cs="Times New Roman"/>
          <w:sz w:val="28"/>
          <w:szCs w:val="28"/>
        </w:rPr>
        <w:t xml:space="preserve"> –</w:t>
      </w:r>
      <w:r w:rsidRPr="005E58C6">
        <w:rPr>
          <w:rFonts w:ascii="Times New Roman" w:hAnsi="Times New Roman" w:cs="Times New Roman"/>
          <w:sz w:val="28"/>
          <w:szCs w:val="28"/>
        </w:rPr>
        <w:t xml:space="preserve"> 3,0</w:t>
      </w:r>
      <w:r w:rsidR="00DF1213">
        <w:rPr>
          <w:rFonts w:ascii="Times New Roman" w:hAnsi="Times New Roman" w:cs="Times New Roman"/>
          <w:sz w:val="28"/>
          <w:szCs w:val="28"/>
        </w:rPr>
        <w:t xml:space="preserve"> </w:t>
      </w:r>
      <w:r w:rsidRPr="005E58C6">
        <w:rPr>
          <w:rFonts w:ascii="Times New Roman" w:hAnsi="Times New Roman" w:cs="Times New Roman"/>
          <w:sz w:val="28"/>
          <w:szCs w:val="28"/>
        </w:rPr>
        <w:t>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Больничная летальность на уровне до 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регистрируется в Республике Дагестан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0,40</w:t>
      </w:r>
      <w:r w:rsidR="00000709">
        <w:rPr>
          <w:rFonts w:ascii="Times New Roman" w:hAnsi="Times New Roman" w:cs="Times New Roman"/>
          <w:sz w:val="28"/>
          <w:szCs w:val="28"/>
        </w:rPr>
        <w:t> %</w:t>
      </w:r>
      <w:r w:rsidRPr="005E58C6">
        <w:rPr>
          <w:rFonts w:ascii="Times New Roman" w:hAnsi="Times New Roman" w:cs="Times New Roman"/>
          <w:sz w:val="28"/>
          <w:szCs w:val="28"/>
        </w:rPr>
        <w:t>, Чеченской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0,54</w:t>
      </w:r>
      <w:r w:rsidR="00000709">
        <w:rPr>
          <w:rFonts w:ascii="Times New Roman" w:hAnsi="Times New Roman" w:cs="Times New Roman"/>
          <w:sz w:val="28"/>
          <w:szCs w:val="28"/>
        </w:rPr>
        <w:t> %</w:t>
      </w:r>
      <w:r w:rsidRPr="005E58C6">
        <w:rPr>
          <w:rFonts w:ascii="Times New Roman" w:hAnsi="Times New Roman" w:cs="Times New Roman"/>
          <w:sz w:val="28"/>
          <w:szCs w:val="28"/>
        </w:rPr>
        <w:t>, Республике Ингушетия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0,71</w:t>
      </w:r>
      <w:r w:rsidR="00000709">
        <w:rPr>
          <w:rFonts w:ascii="Times New Roman" w:hAnsi="Times New Roman" w:cs="Times New Roman"/>
          <w:sz w:val="28"/>
          <w:szCs w:val="28"/>
        </w:rPr>
        <w:t> %</w:t>
      </w:r>
      <w:r w:rsidRPr="005E58C6">
        <w:rPr>
          <w:rFonts w:ascii="Times New Roman" w:hAnsi="Times New Roman" w:cs="Times New Roman"/>
          <w:sz w:val="28"/>
          <w:szCs w:val="28"/>
        </w:rPr>
        <w:t>, Кабардино-Балкарской Республике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0,84</w:t>
      </w:r>
      <w:r w:rsidR="00000709">
        <w:rPr>
          <w:rFonts w:ascii="Times New Roman" w:hAnsi="Times New Roman" w:cs="Times New Roman"/>
          <w:sz w:val="28"/>
          <w:szCs w:val="28"/>
        </w:rPr>
        <w:t> %</w:t>
      </w:r>
      <w:r w:rsidRPr="005E58C6">
        <w:rPr>
          <w:rFonts w:ascii="Times New Roman" w:hAnsi="Times New Roman" w:cs="Times New Roman"/>
          <w:sz w:val="28"/>
          <w:szCs w:val="28"/>
        </w:rPr>
        <w:t>, Ямало-Ненецком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0,84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Значение показателя в субъектах Российской Федерации различается в 3,7 раза.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Default="0081736E" w:rsidP="005E58C6">
      <w:pPr>
        <w:widowControl w:val="0"/>
        <w:spacing w:after="0" w:line="312" w:lineRule="auto"/>
        <w:ind w:firstLine="709"/>
        <w:jc w:val="both"/>
        <w:rPr>
          <w:rFonts w:ascii="Times New Roman" w:hAnsi="Times New Roman" w:cs="Times New Roman"/>
          <w:sz w:val="28"/>
          <w:szCs w:val="28"/>
        </w:rPr>
      </w:pPr>
    </w:p>
    <w:p w:rsidR="0081736E" w:rsidRPr="005E58C6" w:rsidRDefault="0081736E" w:rsidP="005E58C6">
      <w:pPr>
        <w:widowControl w:val="0"/>
        <w:spacing w:after="0" w:line="312" w:lineRule="auto"/>
        <w:ind w:firstLine="709"/>
        <w:jc w:val="both"/>
        <w:rPr>
          <w:rFonts w:ascii="Times New Roman" w:hAnsi="Times New Roman" w:cs="Times New Roman"/>
          <w:sz w:val="28"/>
          <w:szCs w:val="28"/>
        </w:rPr>
      </w:pPr>
    </w:p>
    <w:p w:rsidR="00DF1213" w:rsidRDefault="00DF1213" w:rsidP="00DF1213">
      <w:pPr>
        <w:widowControl w:val="0"/>
        <w:spacing w:after="0" w:line="312" w:lineRule="auto"/>
        <w:jc w:val="both"/>
        <w:rPr>
          <w:rFonts w:ascii="Times New Roman" w:hAnsi="Times New Roman" w:cs="Times New Roman"/>
          <w:sz w:val="28"/>
          <w:szCs w:val="28"/>
        </w:rPr>
      </w:pPr>
    </w:p>
    <w:p w:rsidR="005E58C6" w:rsidRPr="00DF1213" w:rsidRDefault="003A5C65" w:rsidP="00DF1213">
      <w:pPr>
        <w:widowControl w:val="0"/>
        <w:spacing w:after="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E58C6" w:rsidRPr="00DF1213">
        <w:rPr>
          <w:rFonts w:ascii="Times New Roman" w:hAnsi="Times New Roman" w:cs="Times New Roman"/>
          <w:b/>
          <w:sz w:val="28"/>
          <w:szCs w:val="28"/>
        </w:rPr>
        <w:t>Раздел 6. Реализация государственной программы Российской Федерации «Развитие здравоохранения», в том числе по видам медицинской помощи</w:t>
      </w:r>
    </w:p>
    <w:p w:rsidR="005E58C6" w:rsidRPr="00DF1213" w:rsidRDefault="005E58C6" w:rsidP="005E58C6">
      <w:pPr>
        <w:widowControl w:val="0"/>
        <w:spacing w:after="0" w:line="312" w:lineRule="auto"/>
        <w:ind w:firstLine="709"/>
        <w:jc w:val="both"/>
        <w:rPr>
          <w:rFonts w:ascii="Times New Roman" w:hAnsi="Times New Roman" w:cs="Times New Roman"/>
          <w:b/>
          <w:sz w:val="28"/>
          <w:szCs w:val="28"/>
        </w:rPr>
      </w:pPr>
      <w:r w:rsidRPr="00DF1213">
        <w:rPr>
          <w:rFonts w:ascii="Times New Roman" w:hAnsi="Times New Roman" w:cs="Times New Roman"/>
          <w:b/>
          <w:sz w:val="28"/>
          <w:szCs w:val="28"/>
        </w:rPr>
        <w:t>подраздел 6.1 Первичная медико-санитарная помощь. Профилактика заболеваний и формирование здорового образа жизни</w:t>
      </w:r>
    </w:p>
    <w:p w:rsidR="009C5CF7" w:rsidRPr="009C5CF7" w:rsidRDefault="009C5CF7" w:rsidP="009C5CF7">
      <w:pPr>
        <w:widowControl w:val="0"/>
        <w:spacing w:after="0" w:line="312" w:lineRule="auto"/>
        <w:ind w:firstLine="709"/>
        <w:jc w:val="both"/>
        <w:rPr>
          <w:rFonts w:ascii="Times New Roman" w:hAnsi="Times New Roman" w:cs="Times New Roman"/>
          <w:b/>
          <w:i/>
          <w:sz w:val="28"/>
          <w:szCs w:val="28"/>
        </w:rPr>
      </w:pPr>
      <w:r w:rsidRPr="009C5CF7">
        <w:rPr>
          <w:rFonts w:ascii="Times New Roman" w:hAnsi="Times New Roman" w:cs="Times New Roman"/>
          <w:b/>
          <w:i/>
          <w:sz w:val="28"/>
          <w:szCs w:val="28"/>
        </w:rPr>
        <w:t>Развитие первичной медико-санитарной помощи</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оценки территориальной доступности медицинских организаций Минздравом России совместно с регионами  разработана и актуализирована  геоинформационная </w:t>
      </w:r>
      <w:r w:rsidR="00857874">
        <w:rPr>
          <w:rFonts w:ascii="Times New Roman" w:hAnsi="Times New Roman" w:cs="Times New Roman"/>
          <w:sz w:val="28"/>
          <w:szCs w:val="28"/>
        </w:rPr>
        <w:t>под</w:t>
      </w:r>
      <w:r w:rsidRPr="005E58C6">
        <w:rPr>
          <w:rFonts w:ascii="Times New Roman" w:hAnsi="Times New Roman" w:cs="Times New Roman"/>
          <w:sz w:val="28"/>
          <w:szCs w:val="28"/>
        </w:rPr>
        <w:t>система</w:t>
      </w:r>
      <w:r w:rsidR="00857874">
        <w:rPr>
          <w:rFonts w:ascii="Times New Roman" w:hAnsi="Times New Roman" w:cs="Times New Roman"/>
          <w:sz w:val="28"/>
          <w:szCs w:val="28"/>
        </w:rPr>
        <w:t xml:space="preserve"> единой государственной информационной системы в сфере здравоохранения (далее – геоинформационная система)</w:t>
      </w:r>
      <w:r w:rsidRPr="005E58C6">
        <w:rPr>
          <w:rFonts w:ascii="Times New Roman" w:hAnsi="Times New Roman" w:cs="Times New Roman"/>
          <w:sz w:val="28"/>
          <w:szCs w:val="28"/>
        </w:rPr>
        <w:t xml:space="preserve">, содержащая информацию о населенных пунктах, численности проживающего в них населения, транспортной инфраструктуре, медицинских организациях.  </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состоянию на 1 января 2019 года, геоинформационная система содержит данные о более чем 156 тыс. населенных пунктах и 82,6 тыс. медицинских организациях и их структурных подразделениях. </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основании анализа данных геоинформационной системы выявлено, что более чем в 480 населенных пунктах с численностью населения от 101 до 2 тыс. человек первичная медико-санитарная помощь отдалена от населения и требуется строительство дополнительных медицинских объектов фельд</w:t>
      </w:r>
      <w:r w:rsidR="00857874">
        <w:rPr>
          <w:rFonts w:ascii="Times New Roman" w:hAnsi="Times New Roman" w:cs="Times New Roman"/>
          <w:sz w:val="28"/>
          <w:szCs w:val="28"/>
        </w:rPr>
        <w:t>шерско-акушерских пунктов</w:t>
      </w:r>
      <w:r w:rsidRPr="005E58C6">
        <w:rPr>
          <w:rFonts w:ascii="Times New Roman" w:hAnsi="Times New Roman" w:cs="Times New Roman"/>
          <w:sz w:val="28"/>
          <w:szCs w:val="28"/>
        </w:rPr>
        <w:t xml:space="preserve">, офисов врачей общей практики, врачебных амбулаторий. </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Повышение доступности первичной медико-санитарной помощи - обеспечение первичной медико-санитарной помощью  жителей населенных пунктов с численностью от 100 до 2000 человек, находящихся по данным геоинформационной системы Минздрава России вне зоны доступности медицинской помощи, являлось приоритетной задачей 2018 года.</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этих целях из резервного фонда Правительства Российской Федерации выделены бюджетные ассигнования:</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 тыс. человек (распоряжение Правительства Российской Федерации от 3 марта 2018 г. </w:t>
      </w:r>
      <w:r>
        <w:rPr>
          <w:rFonts w:ascii="Times New Roman" w:hAnsi="Times New Roman" w:cs="Times New Roman"/>
          <w:sz w:val="28"/>
          <w:szCs w:val="28"/>
        </w:rPr>
        <w:t>№ </w:t>
      </w:r>
      <w:r w:rsidRPr="005E58C6">
        <w:rPr>
          <w:rFonts w:ascii="Times New Roman" w:hAnsi="Times New Roman" w:cs="Times New Roman"/>
          <w:sz w:val="28"/>
          <w:szCs w:val="28"/>
        </w:rPr>
        <w:t>369-р) в сумме 1,23 млрд рублей;</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на приобретение передвижных медицинских комплексов для оказания </w:t>
      </w:r>
      <w:r w:rsidRPr="005E58C6">
        <w:rPr>
          <w:rFonts w:ascii="Times New Roman" w:hAnsi="Times New Roman" w:cs="Times New Roman"/>
          <w:sz w:val="28"/>
          <w:szCs w:val="28"/>
        </w:rPr>
        <w:lastRenderedPageBreak/>
        <w:t xml:space="preserve">медицинской помощи жителям населенных пунктов с численностью населения до 100 человек (распоряжение Правительства Российской Федерации от 3 марта 2018 г. </w:t>
      </w:r>
      <w:r>
        <w:rPr>
          <w:rFonts w:ascii="Times New Roman" w:hAnsi="Times New Roman" w:cs="Times New Roman"/>
          <w:sz w:val="28"/>
          <w:szCs w:val="28"/>
        </w:rPr>
        <w:t>№ </w:t>
      </w:r>
      <w:r w:rsidRPr="005E58C6">
        <w:rPr>
          <w:rFonts w:ascii="Times New Roman" w:hAnsi="Times New Roman" w:cs="Times New Roman"/>
          <w:sz w:val="28"/>
          <w:szCs w:val="28"/>
        </w:rPr>
        <w:t>370-р) в сумме 2,20 млрд рублей.</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субъектов Российской Федерации, в 2018 году приобретено 350 модульн</w:t>
      </w:r>
      <w:r w:rsidR="00857874">
        <w:rPr>
          <w:rFonts w:ascii="Times New Roman" w:hAnsi="Times New Roman" w:cs="Times New Roman"/>
          <w:sz w:val="28"/>
          <w:szCs w:val="28"/>
        </w:rPr>
        <w:t>ых фельдшерско-акушерских пунктов</w:t>
      </w:r>
      <w:r w:rsidRPr="005E58C6">
        <w:rPr>
          <w:rFonts w:ascii="Times New Roman" w:hAnsi="Times New Roman" w:cs="Times New Roman"/>
          <w:sz w:val="28"/>
          <w:szCs w:val="28"/>
        </w:rPr>
        <w:t>; 246 передвижных медицинских комплексов (из них: 1</w:t>
      </w:r>
      <w:r w:rsidR="00857874">
        <w:rPr>
          <w:rFonts w:ascii="Times New Roman" w:hAnsi="Times New Roman" w:cs="Times New Roman"/>
          <w:sz w:val="28"/>
          <w:szCs w:val="28"/>
        </w:rPr>
        <w:t>48 фельдшерско-акушерских пунктов</w:t>
      </w:r>
      <w:r w:rsidRPr="005E58C6">
        <w:rPr>
          <w:rFonts w:ascii="Times New Roman" w:hAnsi="Times New Roman" w:cs="Times New Roman"/>
          <w:sz w:val="28"/>
          <w:szCs w:val="28"/>
        </w:rPr>
        <w:t>; 30</w:t>
      </w:r>
      <w:r>
        <w:rPr>
          <w:rFonts w:ascii="Times New Roman" w:hAnsi="Times New Roman" w:cs="Times New Roman"/>
          <w:sz w:val="28"/>
          <w:szCs w:val="28"/>
        </w:rPr>
        <w:t xml:space="preserve"> – </w:t>
      </w:r>
      <w:r w:rsidRPr="005E58C6">
        <w:rPr>
          <w:rFonts w:ascii="Times New Roman" w:hAnsi="Times New Roman" w:cs="Times New Roman"/>
          <w:sz w:val="28"/>
          <w:szCs w:val="28"/>
        </w:rPr>
        <w:t>флюорографов; 27</w:t>
      </w:r>
      <w:r>
        <w:rPr>
          <w:rFonts w:ascii="Times New Roman" w:hAnsi="Times New Roman" w:cs="Times New Roman"/>
          <w:sz w:val="28"/>
          <w:szCs w:val="28"/>
        </w:rPr>
        <w:t xml:space="preserve"> – </w:t>
      </w:r>
      <w:r w:rsidRPr="005E58C6">
        <w:rPr>
          <w:rFonts w:ascii="Times New Roman" w:hAnsi="Times New Roman" w:cs="Times New Roman"/>
          <w:sz w:val="28"/>
          <w:szCs w:val="28"/>
        </w:rPr>
        <w:t>маммографов; 41</w:t>
      </w:r>
      <w:r>
        <w:rPr>
          <w:rFonts w:ascii="Times New Roman" w:hAnsi="Times New Roman" w:cs="Times New Roman"/>
          <w:sz w:val="28"/>
          <w:szCs w:val="28"/>
        </w:rPr>
        <w:t xml:space="preserve"> – </w:t>
      </w:r>
      <w:r w:rsidRPr="005E58C6">
        <w:rPr>
          <w:rFonts w:ascii="Times New Roman" w:hAnsi="Times New Roman" w:cs="Times New Roman"/>
          <w:sz w:val="28"/>
          <w:szCs w:val="28"/>
        </w:rPr>
        <w:t>иных медицинских комплексов).</w:t>
      </w:r>
    </w:p>
    <w:p w:rsidR="009C5CF7" w:rsidRPr="005E58C6"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мероприятий по повышению доступности первичной медико-санитарной помощи мобильными медицинскими бригадами  и мобильными медицинскими комплексами в 2018 г. выполнено около 4,2 млн посещений, что на 34</w:t>
      </w:r>
      <w:r>
        <w:rPr>
          <w:rFonts w:ascii="Times New Roman" w:hAnsi="Times New Roman" w:cs="Times New Roman"/>
          <w:sz w:val="28"/>
          <w:szCs w:val="28"/>
        </w:rPr>
        <w:t> %</w:t>
      </w:r>
      <w:r w:rsidRPr="005E58C6">
        <w:rPr>
          <w:rFonts w:ascii="Times New Roman" w:hAnsi="Times New Roman" w:cs="Times New Roman"/>
          <w:sz w:val="28"/>
          <w:szCs w:val="28"/>
        </w:rPr>
        <w:t xml:space="preserve">  больше, чем в 2017 г. (3,12 млн посещений).  </w:t>
      </w:r>
    </w:p>
    <w:p w:rsidR="009C5CF7" w:rsidRPr="009C5CF7" w:rsidRDefault="009C5CF7" w:rsidP="009C5CF7">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малонаселенных пунктах с числом жителей меньше 100 человек, где отсутствуют  фельдшерские пункты организовано 11 389 домовых хозяйств (в 2017 г.</w:t>
      </w:r>
      <w:r>
        <w:rPr>
          <w:rFonts w:ascii="Times New Roman" w:hAnsi="Times New Roman" w:cs="Times New Roman"/>
          <w:sz w:val="28"/>
          <w:szCs w:val="28"/>
        </w:rPr>
        <w:t xml:space="preserve"> – </w:t>
      </w:r>
      <w:r w:rsidRPr="005E58C6">
        <w:rPr>
          <w:rFonts w:ascii="Times New Roman" w:hAnsi="Times New Roman" w:cs="Times New Roman"/>
          <w:sz w:val="28"/>
          <w:szCs w:val="28"/>
        </w:rPr>
        <w:t>11 295), для  оказания первой помощи.</w:t>
      </w:r>
    </w:p>
    <w:p w:rsidR="009C5CF7" w:rsidRPr="009C5CF7" w:rsidRDefault="009C5CF7" w:rsidP="009C5CF7">
      <w:pPr>
        <w:widowControl w:val="0"/>
        <w:spacing w:after="0" w:line="312" w:lineRule="auto"/>
        <w:ind w:firstLine="709"/>
        <w:jc w:val="both"/>
        <w:rPr>
          <w:rFonts w:ascii="Times New Roman" w:hAnsi="Times New Roman" w:cs="Times New Roman"/>
          <w:b/>
          <w:i/>
          <w:sz w:val="28"/>
          <w:szCs w:val="28"/>
        </w:rPr>
      </w:pPr>
      <w:r w:rsidRPr="001E5458">
        <w:rPr>
          <w:rFonts w:ascii="Times New Roman" w:hAnsi="Times New Roman" w:cs="Times New Roman"/>
          <w:b/>
          <w:i/>
          <w:sz w:val="28"/>
          <w:szCs w:val="28"/>
        </w:rPr>
        <w:t>Профилактика заболеваний и формирование здорового образа жизни</w:t>
      </w:r>
    </w:p>
    <w:p w:rsidR="005E58C6" w:rsidRPr="009C5CF7" w:rsidRDefault="005E58C6" w:rsidP="005E58C6">
      <w:pPr>
        <w:widowControl w:val="0"/>
        <w:spacing w:after="0" w:line="312" w:lineRule="auto"/>
        <w:ind w:firstLine="709"/>
        <w:jc w:val="both"/>
        <w:rPr>
          <w:rFonts w:ascii="Times New Roman" w:hAnsi="Times New Roman" w:cs="Times New Roman"/>
          <w:i/>
          <w:sz w:val="28"/>
          <w:szCs w:val="28"/>
        </w:rPr>
      </w:pPr>
      <w:r w:rsidRPr="009C5CF7">
        <w:rPr>
          <w:rFonts w:ascii="Times New Roman" w:hAnsi="Times New Roman" w:cs="Times New Roman"/>
          <w:i/>
          <w:sz w:val="28"/>
          <w:szCs w:val="28"/>
        </w:rPr>
        <w:t>Диспансеризация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диспансеризация определенных групп взрослого населения проводилась в соответствии с приказом Министерства здравоохранения Российской Федерации от 26 октября 2017 г. </w:t>
      </w:r>
      <w:r>
        <w:rPr>
          <w:rFonts w:ascii="Times New Roman" w:hAnsi="Times New Roman" w:cs="Times New Roman"/>
          <w:sz w:val="28"/>
          <w:szCs w:val="28"/>
        </w:rPr>
        <w:t>№ </w:t>
      </w:r>
      <w:r w:rsidRPr="005E58C6">
        <w:rPr>
          <w:rFonts w:ascii="Times New Roman" w:hAnsi="Times New Roman" w:cs="Times New Roman"/>
          <w:sz w:val="28"/>
          <w:szCs w:val="28"/>
        </w:rPr>
        <w:t>869н «Об утверждении порядка проведения диспансеризации определенных групп взрослого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прошли диспансеризацию 21,9 млн человек (92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запланированного), из них 5,2 млн человек, проживающие в сельской местности (23,9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населения, прошедшего диспансеризацию).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диспансеризация проводилась в 3599 медицинских организациях. Доля граждан, диспансеризация которых была проведена с использованием медицинских мобильных бригад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составила 3,9</w:t>
      </w:r>
      <w:r w:rsidR="00000709">
        <w:rPr>
          <w:rFonts w:ascii="Times New Roman" w:hAnsi="Times New Roman" w:cs="Times New Roman"/>
          <w:sz w:val="28"/>
          <w:szCs w:val="28"/>
        </w:rPr>
        <w:t> % (858,</w:t>
      </w:r>
      <w:r w:rsidRPr="005E58C6">
        <w:rPr>
          <w:rFonts w:ascii="Times New Roman" w:hAnsi="Times New Roman" w:cs="Times New Roman"/>
          <w:sz w:val="28"/>
          <w:szCs w:val="28"/>
        </w:rPr>
        <w:t xml:space="preserve">8 тыс.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Из числа лиц, прошедших диспансеризацию</w:t>
      </w:r>
      <w:r w:rsidR="003A5C65">
        <w:rPr>
          <w:rFonts w:ascii="Times New Roman" w:hAnsi="Times New Roman" w:cs="Times New Roman"/>
          <w:sz w:val="28"/>
          <w:szCs w:val="28"/>
        </w:rPr>
        <w:t>,</w:t>
      </w:r>
      <w:r w:rsidRPr="005E58C6">
        <w:rPr>
          <w:rFonts w:ascii="Times New Roman" w:hAnsi="Times New Roman" w:cs="Times New Roman"/>
          <w:sz w:val="28"/>
          <w:szCs w:val="28"/>
        </w:rPr>
        <w:t xml:space="preserve"> 29,7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составляли лица в возрасте 21-36 лет, 41,5</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возрасте 39-60 лет и 28,8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составляли лица старше 60 лет.</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работающих граждан, прошедших диспансеризацию, составила в 2018 году 52,7</w:t>
      </w:r>
      <w:r w:rsidR="00000709">
        <w:rPr>
          <w:rFonts w:ascii="Times New Roman" w:hAnsi="Times New Roman" w:cs="Times New Roman"/>
          <w:sz w:val="28"/>
          <w:szCs w:val="28"/>
        </w:rPr>
        <w:t> %</w:t>
      </w:r>
      <w:r w:rsidRPr="005E58C6">
        <w:rPr>
          <w:rFonts w:ascii="Times New Roman" w:hAnsi="Times New Roman" w:cs="Times New Roman"/>
          <w:sz w:val="28"/>
          <w:szCs w:val="28"/>
        </w:rPr>
        <w:t>, доля граждан, обучающихся в образовательных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результатам диспансеризации 1 группа здоровья установлена у 29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лиц, прошедших диспансеризацию, 2 группа здоровья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у 17</w:t>
      </w:r>
      <w:r w:rsidR="00000709">
        <w:rPr>
          <w:rFonts w:ascii="Times New Roman" w:hAnsi="Times New Roman" w:cs="Times New Roman"/>
          <w:sz w:val="28"/>
          <w:szCs w:val="28"/>
        </w:rPr>
        <w:t> %</w:t>
      </w:r>
      <w:r w:rsidRPr="005E58C6">
        <w:rPr>
          <w:rFonts w:ascii="Times New Roman" w:hAnsi="Times New Roman" w:cs="Times New Roman"/>
          <w:sz w:val="28"/>
          <w:szCs w:val="28"/>
        </w:rPr>
        <w:t>, 3 группа здоровья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у 54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Болезни системы кровообращения впервые выявлены у 4,1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обследованных (921 449 случаев), всего болезни системы кровообращения выявлены у 8,5 млн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Зарегистрировано 199 088 случаев злокачественных новообразований, что составило 910,3 случаев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 населения, в том числе визуальной локализации на ранних стадиях.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Частота впервые выявленных случаев рака ше</w:t>
      </w:r>
      <w:r w:rsidR="00000709">
        <w:rPr>
          <w:rFonts w:ascii="Times New Roman" w:hAnsi="Times New Roman" w:cs="Times New Roman"/>
          <w:sz w:val="28"/>
          <w:szCs w:val="28"/>
        </w:rPr>
        <w:t>йки матки составила 11,3 на 100 </w:t>
      </w:r>
      <w:r w:rsidRPr="005E58C6">
        <w:rPr>
          <w:rFonts w:ascii="Times New Roman" w:hAnsi="Times New Roman" w:cs="Times New Roman"/>
          <w:sz w:val="28"/>
          <w:szCs w:val="28"/>
        </w:rPr>
        <w:t>тыс., из них на 1-2 стадии 67,9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рака молочной железы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73,3 на 100 тыс., из них на 1-2 стадии 68,7</w:t>
      </w:r>
      <w:r w:rsidR="00000709">
        <w:rPr>
          <w:rFonts w:ascii="Times New Roman" w:hAnsi="Times New Roman" w:cs="Times New Roman"/>
          <w:sz w:val="28"/>
          <w:szCs w:val="28"/>
        </w:rPr>
        <w:t> %</w:t>
      </w:r>
      <w:r w:rsidRPr="005E58C6">
        <w:rPr>
          <w:rFonts w:ascii="Times New Roman" w:hAnsi="Times New Roman" w:cs="Times New Roman"/>
          <w:sz w:val="28"/>
          <w:szCs w:val="28"/>
        </w:rPr>
        <w:t>, колоректального рака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15,8 на 100</w:t>
      </w:r>
      <w:r w:rsidR="00000709">
        <w:rPr>
          <w:rFonts w:ascii="Times New Roman" w:hAnsi="Times New Roman" w:cs="Times New Roman"/>
          <w:sz w:val="28"/>
          <w:szCs w:val="28"/>
        </w:rPr>
        <w:t> </w:t>
      </w:r>
      <w:r w:rsidRPr="005E58C6">
        <w:rPr>
          <w:rFonts w:ascii="Times New Roman" w:hAnsi="Times New Roman" w:cs="Times New Roman"/>
          <w:sz w:val="28"/>
          <w:szCs w:val="28"/>
        </w:rPr>
        <w:t>тыс., из них на 1-2 стадии 57,1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 результатам диспансеризации установлено диспансерное наблюдение из впервые выявленных случаев в 97,8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случаев злокачественных новообразований, в 87,1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003A5C65">
        <w:rPr>
          <w:rFonts w:ascii="Times New Roman" w:hAnsi="Times New Roman" w:cs="Times New Roman"/>
          <w:sz w:val="28"/>
          <w:szCs w:val="28"/>
        </w:rPr>
        <w:t xml:space="preserve">случаев </w:t>
      </w:r>
      <w:r w:rsidRPr="005E58C6">
        <w:rPr>
          <w:rFonts w:ascii="Times New Roman" w:hAnsi="Times New Roman" w:cs="Times New Roman"/>
          <w:sz w:val="28"/>
          <w:szCs w:val="28"/>
        </w:rPr>
        <w:t xml:space="preserve">болезней системы кровообращения.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итогам диспансеризации в 2018 году назначено лечение 28,9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обследованных граждан.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Направлены на дополнительное обследование, не входящее в объем диспансеризации</w:t>
      </w:r>
      <w:r w:rsidR="003A5C65">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граждан, на получение специализированной, в том числе высокотехнологичной, медицинской помощи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9C5CF7" w:rsidRDefault="005E58C6" w:rsidP="005E58C6">
      <w:pPr>
        <w:widowControl w:val="0"/>
        <w:spacing w:after="0" w:line="312" w:lineRule="auto"/>
        <w:ind w:firstLine="709"/>
        <w:jc w:val="both"/>
        <w:rPr>
          <w:rFonts w:ascii="Times New Roman" w:hAnsi="Times New Roman" w:cs="Times New Roman"/>
          <w:i/>
          <w:sz w:val="28"/>
          <w:szCs w:val="28"/>
        </w:rPr>
      </w:pPr>
      <w:r w:rsidRPr="009C5CF7">
        <w:rPr>
          <w:rFonts w:ascii="Times New Roman" w:hAnsi="Times New Roman" w:cs="Times New Roman"/>
          <w:i/>
          <w:sz w:val="28"/>
          <w:szCs w:val="28"/>
        </w:rPr>
        <w:t>Иммунопрофилактика населения в рамках Национального календаря профилактических прививок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по сравнению с 2017 годом, объём закупок вакцин для профилактики гриппа был увеличен на 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более 62,3 млн доз, в том числе 18,7 млн доз для детей и 43,6 млн доз для взрослых. Все противогриппозные вакцины («Совигрипп», «Ультрикс» и  «Флю-М», производимые российскими компаниями АО «НПО «Микроген», ООО «ФОРТ» и ФГУП «Санкт-Петербургский научно-исследовательский институт вакцин и сывороток и предприятие по производству бактерийных препаратов» ФМБА России) содержали актуальные штаммы, рекомендованные ВОЗ </w:t>
      </w:r>
      <w:r w:rsidRPr="005E58C6">
        <w:rPr>
          <w:rFonts w:ascii="Times New Roman" w:hAnsi="Times New Roman" w:cs="Times New Roman"/>
          <w:sz w:val="28"/>
          <w:szCs w:val="28"/>
        </w:rPr>
        <w:tab/>
        <w:t xml:space="preserve"> на предстоящий эпидемический сезон.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итогам вакцинальной компании в 2018 году привито против гриппа более 70,8 млн человек (49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численности населения Российской Федерации), что на 3,4 млн человек больше, чем в  2017 году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lastRenderedPageBreak/>
        <w:t>46,6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численности населения или  67,4 млн человек), за счет средств работодателей привито более 5,8 млн человек. Заболеваемость гриппом в 2018 году снизилась на 24,2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составила 26,48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34,93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преддверии эпидемического сезона 2018-2019 годов организован ряд мероприятий, направленных на популяризацию вакцинопрофилактики среди населения. В адрес работодателей, органов исполнительной власти субъектов Российской Федерации в сфере охраны здоровья были направлены информационные письма с предложением активизировать работу по информированию населения о преимуществах иммунопрофилактики. Население активно информировалось о необходимости обязательного обращения за медицинской помощью в первые часы заболевания и недопустимости самолечения. Врачам поручено обеспечить мониторинг состояния пациентов с гриппом, в том числе с использованием дистанционных консультаций с применением телемедицинских технологий сложных случаев.</w:t>
      </w:r>
    </w:p>
    <w:p w:rsidR="005E58C6" w:rsidRPr="005E58C6" w:rsidRDefault="003A5C65"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E58C6" w:rsidRPr="005E58C6">
        <w:rPr>
          <w:rFonts w:ascii="Times New Roman" w:hAnsi="Times New Roman" w:cs="Times New Roman"/>
          <w:sz w:val="28"/>
          <w:szCs w:val="28"/>
        </w:rPr>
        <w:t xml:space="preserve">азработаны клинические рекомендации по профилактике, диагностике, лечению, реабилитации «Грипп у детей», «Грипп у взрослых», методические рекомендации по профилактике, диагностике, лечению гриппа у беременных женщин.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Российской Федерации ежегодно увеличивается охват вакцинацией против пневмококковой инфекции. За период январь-декабрь 2018 года согласно форме федерального статистического наблюдения </w:t>
      </w:r>
      <w:r>
        <w:rPr>
          <w:rFonts w:ascii="Times New Roman" w:hAnsi="Times New Roman" w:cs="Times New Roman"/>
          <w:sz w:val="28"/>
          <w:szCs w:val="28"/>
        </w:rPr>
        <w:t>№ </w:t>
      </w:r>
      <w:r w:rsidRPr="005E58C6">
        <w:rPr>
          <w:rFonts w:ascii="Times New Roman" w:hAnsi="Times New Roman" w:cs="Times New Roman"/>
          <w:sz w:val="28"/>
          <w:szCs w:val="28"/>
        </w:rPr>
        <w:t>5 «Сведения о профилактических прививках» против пневмококковой инфекции среди взрослого населения вакцинировано 640 091 человек, что на 30,4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чем за аналогичный период 2017 года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490 719 человек). </w:t>
      </w:r>
    </w:p>
    <w:p w:rsidR="005E58C6" w:rsidRPr="009C5CF7" w:rsidRDefault="005E58C6" w:rsidP="005E58C6">
      <w:pPr>
        <w:widowControl w:val="0"/>
        <w:spacing w:after="0" w:line="312" w:lineRule="auto"/>
        <w:ind w:firstLine="709"/>
        <w:jc w:val="both"/>
        <w:rPr>
          <w:rFonts w:ascii="Times New Roman" w:hAnsi="Times New Roman" w:cs="Times New Roman"/>
          <w:i/>
          <w:sz w:val="28"/>
          <w:szCs w:val="28"/>
        </w:rPr>
      </w:pPr>
      <w:r w:rsidRPr="009C5CF7">
        <w:rPr>
          <w:rFonts w:ascii="Times New Roman" w:hAnsi="Times New Roman" w:cs="Times New Roman"/>
          <w:i/>
          <w:sz w:val="28"/>
          <w:szCs w:val="28"/>
        </w:rPr>
        <w:t>Организация обеспечения биологической и химической безопасности</w:t>
      </w:r>
    </w:p>
    <w:p w:rsidR="005E58C6" w:rsidRPr="005E58C6" w:rsidRDefault="005E58C6" w:rsidP="003A5C6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Минздравом России совместно с заинтересованными федеральными органами исполнительной власти в 2018 году разработаны Основы государственной политики в области обеспечения химической и биологической безопасности Российской Федерации на период до 2025 года и дальнейшую перспективу</w:t>
      </w:r>
      <w:r w:rsidRPr="00E96393">
        <w:rPr>
          <w:rFonts w:ascii="Times New Roman" w:hAnsi="Times New Roman" w:cs="Times New Roman"/>
          <w:sz w:val="28"/>
          <w:szCs w:val="28"/>
        </w:rPr>
        <w:t xml:space="preserve">, </w:t>
      </w:r>
      <w:r w:rsidR="003A5C65" w:rsidRPr="00E96393">
        <w:rPr>
          <w:rFonts w:ascii="Times New Roman" w:hAnsi="Times New Roman" w:cs="Times New Roman"/>
          <w:sz w:val="28"/>
          <w:szCs w:val="28"/>
        </w:rPr>
        <w:t xml:space="preserve"> </w:t>
      </w:r>
      <w:r w:rsidRPr="00E96393">
        <w:rPr>
          <w:rFonts w:ascii="Times New Roman" w:hAnsi="Times New Roman" w:cs="Times New Roman"/>
          <w:sz w:val="28"/>
          <w:szCs w:val="28"/>
        </w:rPr>
        <w:t xml:space="preserve"> утвержден</w:t>
      </w:r>
      <w:r w:rsidR="003A5C65" w:rsidRPr="00E96393">
        <w:rPr>
          <w:rFonts w:ascii="Times New Roman" w:hAnsi="Times New Roman" w:cs="Times New Roman"/>
          <w:sz w:val="28"/>
          <w:szCs w:val="28"/>
        </w:rPr>
        <w:t>н</w:t>
      </w:r>
      <w:r w:rsidRPr="00E96393">
        <w:rPr>
          <w:rFonts w:ascii="Times New Roman" w:hAnsi="Times New Roman" w:cs="Times New Roman"/>
          <w:sz w:val="28"/>
          <w:szCs w:val="28"/>
        </w:rPr>
        <w:t>ы</w:t>
      </w:r>
      <w:r w:rsidR="003A5C65" w:rsidRPr="00E96393">
        <w:rPr>
          <w:rFonts w:ascii="Times New Roman" w:hAnsi="Times New Roman" w:cs="Times New Roman"/>
          <w:sz w:val="28"/>
          <w:szCs w:val="28"/>
        </w:rPr>
        <w:t>е</w:t>
      </w:r>
      <w:r w:rsidRPr="00E96393">
        <w:rPr>
          <w:rFonts w:ascii="Times New Roman" w:hAnsi="Times New Roman" w:cs="Times New Roman"/>
          <w:sz w:val="28"/>
          <w:szCs w:val="28"/>
        </w:rPr>
        <w:t xml:space="preserve"> Указом</w:t>
      </w:r>
      <w:r w:rsidRPr="005E58C6">
        <w:rPr>
          <w:rFonts w:ascii="Times New Roman" w:hAnsi="Times New Roman" w:cs="Times New Roman"/>
          <w:sz w:val="28"/>
          <w:szCs w:val="28"/>
        </w:rPr>
        <w:t xml:space="preserve"> Президента Российской Федерации от 11 марта 2019 г. </w:t>
      </w:r>
      <w:r>
        <w:rPr>
          <w:rFonts w:ascii="Times New Roman" w:hAnsi="Times New Roman" w:cs="Times New Roman"/>
          <w:sz w:val="28"/>
          <w:szCs w:val="28"/>
        </w:rPr>
        <w:t>№ </w:t>
      </w:r>
      <w:r w:rsidRPr="005E58C6">
        <w:rPr>
          <w:rFonts w:ascii="Times New Roman" w:hAnsi="Times New Roman" w:cs="Times New Roman"/>
          <w:sz w:val="28"/>
          <w:szCs w:val="28"/>
        </w:rPr>
        <w:t>97</w:t>
      </w:r>
      <w:r w:rsidR="003A5C65">
        <w:rPr>
          <w:rFonts w:ascii="Times New Roman" w:hAnsi="Times New Roman" w:cs="Times New Roman"/>
          <w:sz w:val="28"/>
          <w:szCs w:val="28"/>
        </w:rPr>
        <w:t>, являющиеся д</w:t>
      </w:r>
      <w:r w:rsidRPr="005E58C6">
        <w:rPr>
          <w:rFonts w:ascii="Times New Roman" w:hAnsi="Times New Roman" w:cs="Times New Roman"/>
          <w:sz w:val="28"/>
          <w:szCs w:val="28"/>
        </w:rPr>
        <w:t>окумент</w:t>
      </w:r>
      <w:r w:rsidR="003A5C65">
        <w:rPr>
          <w:rFonts w:ascii="Times New Roman" w:hAnsi="Times New Roman" w:cs="Times New Roman"/>
          <w:sz w:val="28"/>
          <w:szCs w:val="28"/>
        </w:rPr>
        <w:t>ом</w:t>
      </w:r>
      <w:r w:rsidRPr="005E58C6">
        <w:rPr>
          <w:rFonts w:ascii="Times New Roman" w:hAnsi="Times New Roman" w:cs="Times New Roman"/>
          <w:sz w:val="28"/>
          <w:szCs w:val="28"/>
        </w:rPr>
        <w:t xml:space="preserve"> стратегического планирования в области обеспечения национальной безопасности Российской Федерации, целью которой является поддержание </w:t>
      </w:r>
      <w:r w:rsidRPr="005E58C6">
        <w:rPr>
          <w:rFonts w:ascii="Times New Roman" w:hAnsi="Times New Roman" w:cs="Times New Roman"/>
          <w:sz w:val="28"/>
          <w:szCs w:val="28"/>
        </w:rPr>
        <w:lastRenderedPageBreak/>
        <w:t>допустимого уровня риска негативного воздействия опасных химических и биологических факторов на население и окружающую среду, путем: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мониторинга химических и биологических рисков;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совершенствования нормативно-правового регулирования и государственного управления;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развити</w:t>
      </w:r>
      <w:r w:rsidR="003A5C65">
        <w:rPr>
          <w:rFonts w:ascii="Times New Roman" w:hAnsi="Times New Roman" w:cs="Times New Roman"/>
          <w:sz w:val="28"/>
          <w:szCs w:val="28"/>
        </w:rPr>
        <w:t>я</w:t>
      </w:r>
      <w:r w:rsidRPr="005E58C6">
        <w:rPr>
          <w:rFonts w:ascii="Times New Roman" w:hAnsi="Times New Roman" w:cs="Times New Roman"/>
          <w:sz w:val="28"/>
          <w:szCs w:val="28"/>
        </w:rPr>
        <w:t xml:space="preserve"> ресурсного обеспечения национальной системы химической и биологической безопасности;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осуществлени</w:t>
      </w:r>
      <w:r w:rsidR="003A5C65">
        <w:rPr>
          <w:rFonts w:ascii="Times New Roman" w:hAnsi="Times New Roman" w:cs="Times New Roman"/>
          <w:sz w:val="28"/>
          <w:szCs w:val="28"/>
        </w:rPr>
        <w:t>я</w:t>
      </w:r>
      <w:r w:rsidRPr="005E58C6">
        <w:rPr>
          <w:rFonts w:ascii="Times New Roman" w:hAnsi="Times New Roman" w:cs="Times New Roman"/>
          <w:sz w:val="28"/>
          <w:szCs w:val="28"/>
        </w:rPr>
        <w:t xml:space="preserve"> комплекса мероприятий по нейтрализации химических и биологических угроз, предупреждению и минимизации химических и биологических рисков, повышению защищенности населения и окружающей среды от негативного воздействия опасных химических и биологических факторов, а также оценки эффективности указанных мероприятий.</w:t>
      </w:r>
    </w:p>
    <w:p w:rsidR="005E58C6" w:rsidRPr="009C5CF7" w:rsidRDefault="009C5CF7" w:rsidP="005E58C6">
      <w:pPr>
        <w:widowControl w:val="0"/>
        <w:spacing w:after="0" w:line="312" w:lineRule="auto"/>
        <w:ind w:firstLine="709"/>
        <w:jc w:val="both"/>
        <w:rPr>
          <w:rFonts w:ascii="Times New Roman" w:hAnsi="Times New Roman" w:cs="Times New Roman"/>
          <w:i/>
          <w:sz w:val="28"/>
          <w:szCs w:val="28"/>
        </w:rPr>
      </w:pPr>
      <w:r>
        <w:rPr>
          <w:rFonts w:ascii="Times New Roman" w:hAnsi="Times New Roman" w:cs="Times New Roman"/>
          <w:b/>
          <w:i/>
          <w:sz w:val="28"/>
          <w:szCs w:val="28"/>
        </w:rPr>
        <w:t xml:space="preserve"> </w:t>
      </w:r>
      <w:r w:rsidRPr="009C5CF7">
        <w:rPr>
          <w:rFonts w:ascii="Times New Roman" w:hAnsi="Times New Roman" w:cs="Times New Roman"/>
          <w:i/>
          <w:sz w:val="28"/>
          <w:szCs w:val="28"/>
        </w:rPr>
        <w:t>Ф</w:t>
      </w:r>
      <w:r w:rsidR="005E58C6" w:rsidRPr="009C5CF7">
        <w:rPr>
          <w:rFonts w:ascii="Times New Roman" w:hAnsi="Times New Roman" w:cs="Times New Roman"/>
          <w:i/>
          <w:sz w:val="28"/>
          <w:szCs w:val="28"/>
        </w:rPr>
        <w:t>ормирование здорового образа жизни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продолжалась работа по профилактике заболеваний и формированию здорового образа жизни, включающая реализацию мер по профилактике алкоголизма, противодействию потреблению табака, популяризации культуры здорового питания, спортивно-оздоровительных программ.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Разработан федеральный проект «Формирование системы мотивации граждан к здоровому образу жизни, включая здоровое питание и отказ от вредных привычек», направленный на формирование среды, способствующей ведению гражданами здорового образа жизни, включая разработку модельных муниципальных и корпоративных программ по укреплению общественного здоровья во всех регионах Российской Федерации. Модельные муниципальные и корпоративные программы предусматривают реализацию мероприятий популяционной профилактики поведенческих факторов риска.</w:t>
      </w:r>
      <w:r w:rsidRPr="005E58C6">
        <w:rPr>
          <w:rFonts w:ascii="Times New Roman" w:hAnsi="Times New Roman" w:cs="Times New Roman"/>
          <w:sz w:val="28"/>
          <w:szCs w:val="28"/>
        </w:rPr>
        <w:tab/>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Федеральный проект «Укрепление общественного здоровья» включает разработку нормативных правовых актов, основанных на рекомендациях Всемирной организации здравоохранения.</w:t>
      </w:r>
    </w:p>
    <w:p w:rsidR="005E58C6" w:rsidRPr="001E5458" w:rsidRDefault="005E58C6" w:rsidP="005E58C6">
      <w:pPr>
        <w:widowControl w:val="0"/>
        <w:spacing w:after="0" w:line="312" w:lineRule="auto"/>
        <w:ind w:firstLine="709"/>
        <w:jc w:val="both"/>
        <w:rPr>
          <w:rFonts w:ascii="Times New Roman" w:hAnsi="Times New Roman" w:cs="Times New Roman"/>
          <w:i/>
          <w:sz w:val="28"/>
          <w:szCs w:val="28"/>
        </w:rPr>
      </w:pPr>
      <w:r w:rsidRPr="001E5458">
        <w:rPr>
          <w:rFonts w:ascii="Times New Roman" w:hAnsi="Times New Roman" w:cs="Times New Roman"/>
          <w:i/>
          <w:sz w:val="28"/>
          <w:szCs w:val="28"/>
        </w:rPr>
        <w:t xml:space="preserve">Меры,  направленные на снижение потребления алкоголя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Отмечается позитивная тенденция к снижению потребления как легальной, так и нелегальной, алкогольной продукции в пересчете на абсолютный алкоголь (безводный спирт) с 14,3 литров на душу населения в 2009 году до 9,7 литров на душу населения в 2018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В соответствии с Концепцией по информированию населения Российской Федерации о вреде злоупотребления алкоголем, утвержденной приказом Минздрава России от 30 июня 2016 г. </w:t>
      </w:r>
      <w:r>
        <w:rPr>
          <w:rFonts w:ascii="Times New Roman" w:hAnsi="Times New Roman" w:cs="Times New Roman"/>
          <w:sz w:val="28"/>
          <w:szCs w:val="28"/>
        </w:rPr>
        <w:t>№ </w:t>
      </w:r>
      <w:r w:rsidRPr="005E58C6">
        <w:rPr>
          <w:rFonts w:ascii="Times New Roman" w:hAnsi="Times New Roman" w:cs="Times New Roman"/>
          <w:sz w:val="28"/>
          <w:szCs w:val="28"/>
        </w:rPr>
        <w:t xml:space="preserve">448, на официальном сайте Минздрава России размещаются новостные сообщения, посвященные профилактическим и просветительским мероприятиям на тему алкоголя. В средствах массовой информации выходят публикации, посвященные теме алкоголя в контексте системы здравоохранения на федеральном уровне. Наибольшее число публикаций принадлежит интернет-СМИ.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Продолжает функционировать круглосуточно бесплатно для населения Российской Федерации единая федеральная телефонная справочная служба Минздрава России по формированию здорового образа жизни у населения Российской Федерации 8 (800) 200 0 200, предоставляющая консультации,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том числе по теме «Риски потребления алкоголя и профилактика алкогольной зависимости».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работы по обновлению, развитию, продвижению и поддержке интернет-портала Минздрава России о здоровом образе жизни takzdorovo.ru  размещаются  статьи, новости, авторские колонки, онлайн-конференции и видеоматериалы по теме профилактика и борьба с алкогольной зависимостью. Среднесуточная посещаемость интернет-портала составляет более 25 тыс. пользователей.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Меры по информированию населения Российской Федерации о вреде злоупотребления алкоголем предусмотрены информационно коммуникационной кампанией с использованием основных телекоммуникационных каналов для всех целевых аудиторий в рамках федерального проекта «Формирование системы мотивации граждан к здоровому образу жизни, включая здоровое питание и отказ от вредных привычек».  </w:t>
      </w:r>
    </w:p>
    <w:p w:rsidR="005E58C6" w:rsidRPr="001E5458" w:rsidRDefault="005E58C6" w:rsidP="005E58C6">
      <w:pPr>
        <w:widowControl w:val="0"/>
        <w:spacing w:after="0" w:line="312" w:lineRule="auto"/>
        <w:ind w:firstLine="709"/>
        <w:jc w:val="both"/>
        <w:rPr>
          <w:rFonts w:ascii="Times New Roman" w:hAnsi="Times New Roman" w:cs="Times New Roman"/>
          <w:i/>
          <w:sz w:val="28"/>
          <w:szCs w:val="28"/>
        </w:rPr>
      </w:pPr>
      <w:r w:rsidRPr="001E5458">
        <w:rPr>
          <w:rFonts w:ascii="Times New Roman" w:hAnsi="Times New Roman" w:cs="Times New Roman"/>
          <w:i/>
          <w:sz w:val="28"/>
          <w:szCs w:val="28"/>
        </w:rPr>
        <w:t>Осуществление государственной политики противодействия потребления табака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распространенность табакокурения среди взрослого населения снизилась до 30 процентов.</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исполнения указания През</w:t>
      </w:r>
      <w:r w:rsidR="001E5458">
        <w:rPr>
          <w:rFonts w:ascii="Times New Roman" w:hAnsi="Times New Roman" w:cs="Times New Roman"/>
          <w:sz w:val="28"/>
          <w:szCs w:val="28"/>
        </w:rPr>
        <w:t xml:space="preserve">идента Российской Федерации  от </w:t>
      </w:r>
      <w:r w:rsidRPr="005E58C6">
        <w:rPr>
          <w:rFonts w:ascii="Times New Roman" w:hAnsi="Times New Roman" w:cs="Times New Roman"/>
          <w:sz w:val="28"/>
          <w:szCs w:val="28"/>
        </w:rPr>
        <w:t xml:space="preserve">27 декабря 2017 г. </w:t>
      </w:r>
      <w:r>
        <w:rPr>
          <w:rFonts w:ascii="Times New Roman" w:hAnsi="Times New Roman" w:cs="Times New Roman"/>
          <w:sz w:val="28"/>
          <w:szCs w:val="28"/>
        </w:rPr>
        <w:t>№ </w:t>
      </w:r>
      <w:r w:rsidRPr="005E58C6">
        <w:rPr>
          <w:rFonts w:ascii="Times New Roman" w:hAnsi="Times New Roman" w:cs="Times New Roman"/>
          <w:sz w:val="28"/>
          <w:szCs w:val="28"/>
        </w:rPr>
        <w:t>Пр-2711 разработан проект Концепции осуществления государственной политики противодействия потребления табака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проект Концепции), осуществляется проведение анализа </w:t>
      </w:r>
      <w:r w:rsidRPr="005E58C6">
        <w:rPr>
          <w:rFonts w:ascii="Times New Roman" w:hAnsi="Times New Roman" w:cs="Times New Roman"/>
          <w:sz w:val="28"/>
          <w:szCs w:val="28"/>
        </w:rPr>
        <w:lastRenderedPageBreak/>
        <w:t xml:space="preserve">правоприменительной практики изменений законодательства, принятых  во исполнение Указа Президента Российской Федерации от 7 мая 2012 г. </w:t>
      </w:r>
      <w:r>
        <w:rPr>
          <w:rFonts w:ascii="Times New Roman" w:hAnsi="Times New Roman" w:cs="Times New Roman"/>
          <w:sz w:val="28"/>
          <w:szCs w:val="28"/>
        </w:rPr>
        <w:t>№ </w:t>
      </w:r>
      <w:r w:rsidRPr="005E58C6">
        <w:rPr>
          <w:rFonts w:ascii="Times New Roman" w:hAnsi="Times New Roman" w:cs="Times New Roman"/>
          <w:sz w:val="28"/>
          <w:szCs w:val="28"/>
        </w:rPr>
        <w:t xml:space="preserve">598 «О совершенствовании государственной политики в сфере здравоохранения» (подпункт «а» пункта 2) и направленных на ограничение потребления табака (пункт 1 и подпункт «а» пункта 4 поручения Правительства Российской Федерации от 29 декабря 2017 г. </w:t>
      </w:r>
      <w:r>
        <w:rPr>
          <w:rFonts w:ascii="Times New Roman" w:hAnsi="Times New Roman" w:cs="Times New Roman"/>
          <w:sz w:val="28"/>
          <w:szCs w:val="28"/>
        </w:rPr>
        <w:t>№ </w:t>
      </w:r>
      <w:r w:rsidRPr="005E58C6">
        <w:rPr>
          <w:rFonts w:ascii="Times New Roman" w:hAnsi="Times New Roman" w:cs="Times New Roman"/>
          <w:sz w:val="28"/>
          <w:szCs w:val="28"/>
        </w:rPr>
        <w:t>ДК-П12-8801</w:t>
      </w:r>
      <w:r w:rsidR="003A5C65">
        <w:rPr>
          <w:rFonts w:ascii="Times New Roman" w:hAnsi="Times New Roman" w:cs="Times New Roman"/>
          <w:sz w:val="28"/>
          <w:szCs w:val="28"/>
        </w:rPr>
        <w:t>)</w:t>
      </w:r>
      <w:r w:rsidRPr="005E58C6">
        <w:rPr>
          <w:rFonts w:ascii="Times New Roman" w:hAnsi="Times New Roman" w:cs="Times New Roman"/>
          <w:sz w:val="28"/>
          <w:szCs w:val="28"/>
        </w:rPr>
        <w:t>.</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подготовки проекта Концепции были проанализированы имеющиеся научные данные, опыт регулирования оборота табака за рубежом, результаты применения антитабачного законодательства в России, позиции ведущих экспертов отрасли. В подготовке проекта Концепции принимали участие 16 федеральных органов исполнительной власти, определенных соисполнителями.</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Действующий в России тотальный запрет на курение в общественных местах, на территориях и объектах дает свои результаты: люди существенно меньше подвергаются воздействию вторичного дыма в разных общественных учреждениях по сравнению с 2009 годом. Сократилась доля детей и подростков, подвергающихся воздействию вторичного табачного дыма у себя дома. Запрет на курение в закрытых общественных учреждениях, на объектах и в средствах транспорта и запрет на рекламу и продвижение табачных изделий соблюдается в 90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более случаях.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то же время сохраняется ряд проблем, которые требуют своего решения.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фоне сокращения потребления табака происходит рост потребления электронных сигарет среди детей и подростков, в том числе среди ранее некуривших, что вызывает особую тревогу. Так, доля школьников, потребляющих табачные изделия ежедневно, в 2017 году составила 9,3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что практически не отличается от 2004 года.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2015 году доля потребителей электронных сигарет среди школьников составила в среднем по стране 8,5</w:t>
      </w:r>
      <w:r w:rsidR="00000709">
        <w:rPr>
          <w:rFonts w:ascii="Times New Roman" w:hAnsi="Times New Roman" w:cs="Times New Roman"/>
          <w:sz w:val="28"/>
          <w:szCs w:val="28"/>
        </w:rPr>
        <w:t> %</w:t>
      </w:r>
      <w:r w:rsidRPr="005E58C6">
        <w:rPr>
          <w:rFonts w:ascii="Times New Roman" w:hAnsi="Times New Roman" w:cs="Times New Roman"/>
          <w:sz w:val="28"/>
          <w:szCs w:val="28"/>
        </w:rPr>
        <w:t>: 10,3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среди мальчиков и 6,5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среди девочек.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Кроме того, использование продуктов, имитирующих потребление табачных изделий, имеет результатом стимулирование продажи табака, табачной продукции и (или) потребления табака. При этом продажа, реклама, продвижение и потребление данных продуктов не урегулированы законодательно.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По результатам научно-исследовательской работы по сбору, обработке и анализу информации по потреблению табака, эффективности действующего законодательства, и выработк</w:t>
      </w:r>
      <w:r w:rsidR="003A5C65">
        <w:rPr>
          <w:rFonts w:ascii="Times New Roman" w:hAnsi="Times New Roman" w:cs="Times New Roman"/>
          <w:sz w:val="28"/>
          <w:szCs w:val="28"/>
        </w:rPr>
        <w:t>е</w:t>
      </w:r>
      <w:r w:rsidRPr="005E58C6">
        <w:rPr>
          <w:rFonts w:ascii="Times New Roman" w:hAnsi="Times New Roman" w:cs="Times New Roman"/>
          <w:sz w:val="28"/>
          <w:szCs w:val="28"/>
        </w:rPr>
        <w:t xml:space="preserve"> предложений по его совершенствованию, выполненной ФГБУ «НМИЦ профилактической медицины», законодательство в отношении запрета курения в общественных местах в целом исполняется в закрытых помещениях учреждений. Однако запрет на курение на автобусных остановках, железнодорожных платформах, в парках, на пляжах и подъездах домов и на открытых территориях соблюдается значительно хуже.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Так, запрет на курение на открытых общественных территориях соблюдается в менее 50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случаев, что указывает на необходимость в более четком обозначении запрета в нормативных документах и в более эффективном контроле со стороны правоохранительных органов.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результатам опроса, 11,7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респондентов были очевидцами продажи табачных изделий несовершеннолетним. Немногочисленные случаи нарушения закона в отношении продажи табачных изделий несовершеннолетним указывают на необходимость ужесточения контроля  за соблюдением этой статьи закона как од</w:t>
      </w:r>
      <w:r w:rsidR="003A5C65">
        <w:rPr>
          <w:rFonts w:ascii="Times New Roman" w:hAnsi="Times New Roman" w:cs="Times New Roman"/>
          <w:sz w:val="28"/>
          <w:szCs w:val="28"/>
        </w:rPr>
        <w:t>ного</w:t>
      </w:r>
      <w:r w:rsidRPr="005E58C6">
        <w:rPr>
          <w:rFonts w:ascii="Times New Roman" w:hAnsi="Times New Roman" w:cs="Times New Roman"/>
          <w:sz w:val="28"/>
          <w:szCs w:val="28"/>
        </w:rPr>
        <w:t xml:space="preserve"> из способов предупреждения потребления табака среди несовершеннолетних.</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Выявленные случаи правонарушений относительно продаж табачной продукции свидетельствуют о необходимости ужесточения  надзора и контроля за исполнением положений законодательства, для предупреждения дальнейшего нарастания случаев правонарушений.</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МВД России, наиболее распространенным видом административных правонарушений в данной сфере является нарушение статьи 6,24 (нарушение запрета курения на отдельных территориях, в помещениях и на объектах) Кодекса Российской Федерации об административных правонарушениях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КоАП). Согласно данным статистической отчетности МВД России, за период с января по сентябрь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2018 года сотрудниками органов внутренних дел на территории Российской Федерации пресечено 366 095 (-12,7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аналогичному периоду прошлого года,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АППГ)  совершенных в общественных местах административных правонарушений, предусмотренных статьей 6.24 КоАП.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Кроме того, за период с января по сентябрь 2018 года по статье 6.23 (вовлечение несовершеннолетнего в процесс потребления табака) КоАП </w:t>
      </w:r>
      <w:r w:rsidRPr="005E58C6">
        <w:rPr>
          <w:rFonts w:ascii="Times New Roman" w:hAnsi="Times New Roman" w:cs="Times New Roman"/>
          <w:sz w:val="28"/>
          <w:szCs w:val="28"/>
        </w:rPr>
        <w:lastRenderedPageBreak/>
        <w:t>выявлено 1 882 административных правонарушения (-8,5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АППГ).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части 2 статьи 14.53 (оптовая или розничная продажа насвая, табака сосательного (снюса)) КоАП пресечено 589 (+17,8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АППГ) правонарушений, по части 1 статьи 14.31 (спонсорство табака либо стимулирование продажи табака, табачной продукции или табачных изделий и (или) потребления табака) КоАП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 (+350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АППГ) правонарушений.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этот же период сотрудниками полиции выявлено 664 преступления, связанных с незаконным производством и оборотом табака и табачной продукции. Окончено расследование  188 уголовных дел о преступлениях данной категории, из которых 175 направлены в суд.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Установлено 931 лицо, совершившее преступление, в суд направлены уголовные дела в отношении 883 лиц.</w:t>
      </w:r>
    </w:p>
    <w:p w:rsidR="005E58C6" w:rsidRPr="001E5458" w:rsidRDefault="005E58C6" w:rsidP="005E58C6">
      <w:pPr>
        <w:widowControl w:val="0"/>
        <w:spacing w:after="0" w:line="312" w:lineRule="auto"/>
        <w:ind w:firstLine="709"/>
        <w:jc w:val="both"/>
        <w:rPr>
          <w:rFonts w:ascii="Times New Roman" w:hAnsi="Times New Roman" w:cs="Times New Roman"/>
          <w:i/>
          <w:sz w:val="28"/>
          <w:szCs w:val="28"/>
        </w:rPr>
      </w:pPr>
      <w:r w:rsidRPr="001E5458">
        <w:rPr>
          <w:rFonts w:ascii="Times New Roman" w:hAnsi="Times New Roman" w:cs="Times New Roman"/>
          <w:i/>
          <w:sz w:val="28"/>
          <w:szCs w:val="28"/>
        </w:rPr>
        <w:t>Коммуникационная кампания по стимулированию к ведению здорового образа жизни</w:t>
      </w:r>
    </w:p>
    <w:p w:rsidR="001E5458"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реализован ряд мероприятий, направленных на формирование ответственного отношения граждан Российской Федерации к своему здоровью, в частности, в рамках реализации приоритетного проекта «Формирование здорового образа жизни», паспорт которого утвержден протоколом президиума Совета при Президенте Российской Федерации по стратегическому развитию и приоритетным проектам от 26 июля 2017 г. </w:t>
      </w:r>
      <w:r>
        <w:rPr>
          <w:rFonts w:ascii="Times New Roman" w:hAnsi="Times New Roman" w:cs="Times New Roman"/>
          <w:sz w:val="28"/>
          <w:szCs w:val="28"/>
        </w:rPr>
        <w:t>№ </w:t>
      </w:r>
      <w:r w:rsidRPr="005E58C6">
        <w:rPr>
          <w:rFonts w:ascii="Times New Roman" w:hAnsi="Times New Roman" w:cs="Times New Roman"/>
          <w:sz w:val="28"/>
          <w:szCs w:val="28"/>
        </w:rPr>
        <w:t>8. Итогом реализации приоритетного проекта планировалось достижение  к 2025 году следующих показателей (по состоянию на 2017 год):</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распространенности потребления табака с 32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снижение общего потребления алкоголя в литрах в этиловом эквиваленте на душу населения с 10,3 л. до 8,0 л.;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показателя числа абортов, совершаемых по желанию женщины, на тысячу женщин фертильного возраста с 20,5 до 16,0;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доли граждан с артериальной гипертензией, контролирующих свое артериальное давление, с 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55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доли граждан, приверженных здоровому образу жизни, с 36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60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рост доли граждан, систематически занимающихся физической культурой и спортом, с 34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45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рамках приоритетного проекта «Формирование здорового образа жизни» Минздравом России реализована информационно-</w:t>
      </w:r>
      <w:r w:rsidRPr="005E58C6">
        <w:rPr>
          <w:rFonts w:ascii="Times New Roman" w:hAnsi="Times New Roman" w:cs="Times New Roman"/>
          <w:sz w:val="28"/>
          <w:szCs w:val="28"/>
        </w:rPr>
        <w:lastRenderedPageBreak/>
        <w:t>коммуникационная кампания по формированию приоритетов здорового образа жизни у населения Российской Федерации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Кампания).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Кампании разработаны 235 рекламно-информационных материалов: 8 аудиороликов хронометражем 30 и 15 секунд, 4 видеоролика для размещения на телевидении хронометражем 30, 20, 15 и 10 секунд,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12 видеороликов для размещения в сети Интернет хронометражем 30 секунд, 16 дизайн-макетов для размещения на наружных рекламных конструкциях, 14 дизайн-макетов для брендирования общественного транспорта, 84 дизайн¬макета баннеров для размещения в сети Интернет, в том числе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42 анимированных, 15 макетов для контекстной рекламы, 40 дизайн-макетов для сувенирной продукции.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Рекламно-информационные материалы размещались в период с 20 сентября по 15 декабря 2018 года. Наружная реклама размещена в 15 целевых регионах Российской Федерации на 360 рекламных конструкциях размером 3х6 метров (в том числе, в Москве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60, в Санкт-Петербурге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40, в Екатеринбурге и Нижнем Новгороде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30, в Ростове-на-Дону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25, в остальных регионах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на 15 рекламных конструкциях в каждом). Выполнено брендирование 85 единиц общественного транспорта в 13 целевых регионах Российской Федерации. Аудиоролики размещены в эфире 6 радиостанций, всего обеспечено 376 выходов аудиороликов, общий хронометраж составил 141 минуту. Созданные видеоролики размещены в эфире 6 федеральных телеканалов, а также в сети Интернет.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Кроме того, реализован специальный проект в традиционных СМИ, в рамках которого разработано и размещено 23 динамические заставки на федеральном телевидении (общее количество выходов составило 3 805 раз); 27 программ (сюжетов, рубрик) на телевидении (общий хронометраж составил 17 640 сек.); опубликовано 32 информационные статьи в печатных СМИ, создано и размещено 48 программ на радио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основным направлениям Кампании. Кроме того, тема здорового образа жизни интегрирована в проведение 2 массовых мероприятий в Москве: Mercedes-Benz Fashion Week Russia и день рождения телеканала МУЗ-ТВ.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Охват населения реализованной коммуникационной кампани</w:t>
      </w:r>
      <w:r w:rsidR="003A5C65">
        <w:rPr>
          <w:rFonts w:ascii="Times New Roman" w:hAnsi="Times New Roman" w:cs="Times New Roman"/>
          <w:sz w:val="28"/>
          <w:szCs w:val="28"/>
        </w:rPr>
        <w:t>ей</w:t>
      </w:r>
      <w:r w:rsidRPr="005E58C6">
        <w:rPr>
          <w:rFonts w:ascii="Times New Roman" w:hAnsi="Times New Roman" w:cs="Times New Roman"/>
          <w:sz w:val="28"/>
          <w:szCs w:val="28"/>
        </w:rPr>
        <w:t xml:space="preserve"> составил 75,8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лиц старше 12 лет.</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В рамках информационной поддержки Кампании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тыс.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Кроме того, для населения Российской Федерации функционирует горячая линия 8 800 200 0 200, круглосуточно и бесплатно предоставляющая консультации по вопросам здорового образа жизни. За 2018 год на горячую линию поступило 884 468 звонков, из них 742 822 входящих и 141 646 исходящих звонков. Тематика всех обращений: 133 778 человек (82,8</w:t>
      </w:r>
      <w:r w:rsidR="00000709">
        <w:rPr>
          <w:rFonts w:ascii="Times New Roman" w:hAnsi="Times New Roman" w:cs="Times New Roman"/>
          <w:sz w:val="28"/>
          <w:szCs w:val="28"/>
        </w:rPr>
        <w:t> %</w:t>
      </w:r>
      <w:r w:rsidRPr="005E58C6">
        <w:rPr>
          <w:rFonts w:ascii="Times New Roman" w:hAnsi="Times New Roman" w:cs="Times New Roman"/>
          <w:sz w:val="28"/>
          <w:szCs w:val="28"/>
        </w:rPr>
        <w:t>) были проконсультированы по рискам потребления табака; 1 436 граждан (0,9</w:t>
      </w:r>
      <w:r w:rsidR="00000709">
        <w:rPr>
          <w:rFonts w:ascii="Times New Roman" w:hAnsi="Times New Roman" w:cs="Times New Roman"/>
          <w:sz w:val="28"/>
          <w:szCs w:val="28"/>
        </w:rPr>
        <w:t> %</w:t>
      </w:r>
      <w:r w:rsidRPr="005E58C6">
        <w:rPr>
          <w:rFonts w:ascii="Times New Roman" w:hAnsi="Times New Roman" w:cs="Times New Roman"/>
          <w:sz w:val="28"/>
          <w:szCs w:val="28"/>
        </w:rPr>
        <w:t>) интересовались работой центров здоровья; 671 человек (0,4</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вопросами здорового питания; 6 664 человека (4,1</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рисками потребления алкоголя и профилактикой алкогольной зависимости; 1 160 человек (0,7</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рисками потребления наркотиков и профилактикой наркотической зависимости; 1547 (1,0</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профилактикой ВИЧ-инфекции; 93 человека (0,1</w:t>
      </w:r>
      <w:r w:rsidR="00000709">
        <w:rPr>
          <w:rFonts w:ascii="Times New Roman" w:hAnsi="Times New Roman" w:cs="Times New Roman"/>
          <w:sz w:val="28"/>
          <w:szCs w:val="28"/>
        </w:rPr>
        <w:t> %</w:t>
      </w:r>
      <w:r w:rsidRPr="005E58C6">
        <w:rPr>
          <w:rFonts w:ascii="Times New Roman" w:hAnsi="Times New Roman" w:cs="Times New Roman"/>
          <w:sz w:val="28"/>
          <w:szCs w:val="28"/>
        </w:rPr>
        <w:t>) были проконсультированы по вопросам физической активности; 16 312 человек (10,1</w:t>
      </w:r>
      <w:r w:rsidR="00000709">
        <w:rPr>
          <w:rFonts w:ascii="Times New Roman" w:hAnsi="Times New Roman" w:cs="Times New Roman"/>
          <w:sz w:val="28"/>
          <w:szCs w:val="28"/>
        </w:rPr>
        <w:t> %</w:t>
      </w:r>
      <w:r w:rsidRPr="005E58C6">
        <w:rPr>
          <w:rFonts w:ascii="Times New Roman" w:hAnsi="Times New Roman" w:cs="Times New Roman"/>
          <w:sz w:val="28"/>
          <w:szCs w:val="28"/>
        </w:rPr>
        <w:t>) обращались по вопросам работы «горячей линии». На месячное телефонное сопровождение в первый месяц отказа  от табакокурения дали свое согласие 9 245 абонентов, однократную консультацию получили 86 498 абонентов.</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Следует отметить, что в настоящее время мероприятия, направленные на увеличение ожидаемой продолжительности здоровой жизни, увеличение доли граждан, ведущих здоровый образ жизни, а также увеличение доли граждан, систематически занимающихся физической культурой и спортом, формирование системы мотивации граждан к здоровому образу жизни, включая здоровое питание и отказ от вредных привычек, перенесены в паспорт федерального проекта «Укрепление общественного здоровья».</w:t>
      </w:r>
    </w:p>
    <w:p w:rsidR="005E58C6" w:rsidRPr="001E5458" w:rsidRDefault="005E58C6" w:rsidP="005E58C6">
      <w:pPr>
        <w:widowControl w:val="0"/>
        <w:spacing w:after="0" w:line="312" w:lineRule="auto"/>
        <w:ind w:firstLine="709"/>
        <w:jc w:val="both"/>
        <w:rPr>
          <w:rFonts w:ascii="Times New Roman" w:hAnsi="Times New Roman" w:cs="Times New Roman"/>
          <w:i/>
          <w:sz w:val="28"/>
          <w:szCs w:val="28"/>
        </w:rPr>
      </w:pPr>
      <w:r w:rsidRPr="001E5458">
        <w:rPr>
          <w:rFonts w:ascii="Times New Roman" w:hAnsi="Times New Roman" w:cs="Times New Roman"/>
          <w:i/>
          <w:sz w:val="28"/>
          <w:szCs w:val="28"/>
        </w:rPr>
        <w:t>Коммуникационная кампания, направленная на повышение уровня информированности граждан Российской Федерации по вопросам профилактики ВИЧ-инфекции и вирусных гепатитов В и С</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течение 2018 года Минздравом России реализована информационно-коммуникационная кампания</w:t>
      </w:r>
      <w:r w:rsidR="003A5C65">
        <w:rPr>
          <w:rFonts w:ascii="Times New Roman" w:hAnsi="Times New Roman" w:cs="Times New Roman"/>
          <w:sz w:val="28"/>
          <w:szCs w:val="28"/>
        </w:rPr>
        <w:t xml:space="preserve"> по</w:t>
      </w:r>
      <w:r w:rsidRPr="005E58C6">
        <w:rPr>
          <w:rFonts w:ascii="Times New Roman" w:hAnsi="Times New Roman" w:cs="Times New Roman"/>
          <w:sz w:val="28"/>
          <w:szCs w:val="28"/>
        </w:rPr>
        <w:t xml:space="preserve"> вопросам профилактики ВИЧ-инфекции и ассоциированных с ней заболеваний на основе межведомственного взаимодействия, в том числе с привлечением социально ориентированных </w:t>
      </w:r>
      <w:r w:rsidRPr="005E58C6">
        <w:rPr>
          <w:rFonts w:ascii="Times New Roman" w:hAnsi="Times New Roman" w:cs="Times New Roman"/>
          <w:sz w:val="28"/>
          <w:szCs w:val="28"/>
        </w:rPr>
        <w:lastRenderedPageBreak/>
        <w:t>некоммерческих организаций. В рамках кампании проводена Всероссийская акция по тестированию на ВИЧ-инфекцию «Тест на ВИЧ: Экспедиция» совместно с Горьковским автомобильным заводом («ГАЗ»)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Акция), направленная на повышение уровня информированности граждан Российской Федерации по вопросам профилактики ВИЧ-инфекции, вирусных гепатитов В и С и повышение уровня мотивированности к бесплатному анонимному тестированию на ВИЧ-инфекцию.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течение пяти месяцев через территорию 30 регионов Российской Федерации, где отмечены высокие показатели распространенности ВИЧ инфекции и проживает около 50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населения Российской Федерации, был проложен маршрут Акции. Мобильные пункты тестирования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МПТ) на базе трех специализированных автомобилей проследовали от Камчатского края до Калининградской области и сделали остановки в 120 городах, где любой желающий смог пройти бесплатное анонимное экспресс-тестирование на ВИЧ-инфекцию и получить необходимую дотестовую и послетестовую консультации. МПТ располагались в оживленных местах: в парках, около ночных клубов, торговых центров, а также вблизи учебных заведений.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Акция началась 12 июля 2018 года в г. Петропавловске-Камчатском и закончилась 7 ноября 2018 года в г. Светлогорске. В ней приняли участие и сдали тест на ВИЧ-инфекцию более 44 тыс.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Работа велась не только с отдельными гражданами, но и с трудовыми коллективами: в рамках Акции к тестированию на ВИЧ-инфекцию были привлечены 34 крупных предприятия из различных регионов страны</w:t>
      </w:r>
      <w:r w:rsidR="003A5C65">
        <w:rPr>
          <w:rFonts w:ascii="Times New Roman" w:hAnsi="Times New Roman" w:cs="Times New Roman"/>
          <w:sz w:val="28"/>
          <w:szCs w:val="28"/>
        </w:rPr>
        <w:t>,</w:t>
      </w:r>
      <w:r w:rsidRPr="005E58C6">
        <w:rPr>
          <w:rFonts w:ascii="Times New Roman" w:hAnsi="Times New Roman" w:cs="Times New Roman"/>
          <w:sz w:val="28"/>
          <w:szCs w:val="28"/>
        </w:rPr>
        <w:t xml:space="preserve"> </w:t>
      </w:r>
      <w:r w:rsidR="003A5C65">
        <w:rPr>
          <w:rFonts w:ascii="Times New Roman" w:hAnsi="Times New Roman" w:cs="Times New Roman"/>
          <w:sz w:val="28"/>
          <w:szCs w:val="28"/>
        </w:rPr>
        <w:t xml:space="preserve">с </w:t>
      </w:r>
      <w:r w:rsidRPr="005E58C6">
        <w:rPr>
          <w:rFonts w:ascii="Times New Roman" w:hAnsi="Times New Roman" w:cs="Times New Roman"/>
          <w:sz w:val="28"/>
          <w:szCs w:val="28"/>
        </w:rPr>
        <w:t xml:space="preserve">численностью работающих более 700 человек. Всего на предприятиях было протестировано 4 780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каждом регионе к работе привлекались специалисты региональных СПИД-центров и профильных социально ориентированных некоммерческих организаций.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Акции организовано 7 обучающих семинаров для врачей терапевтов в целях формирования системы раннего выявления ВИЧ инфекции, создания тотальной настороженности по отношению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 распространению вируса иммунодефицита человека. В данных мероприятиях приняли участие 907 человек.</w:t>
      </w:r>
      <w:r w:rsidRPr="005E58C6">
        <w:rPr>
          <w:rFonts w:ascii="Times New Roman" w:hAnsi="Times New Roman" w:cs="Times New Roman"/>
          <w:sz w:val="28"/>
          <w:szCs w:val="28"/>
        </w:rPr>
        <w:tab/>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Проведение Акции стало заметным событием и привлекло внимание как федеральных, так и региональных СМИ. В информационной поддержке </w:t>
      </w:r>
      <w:r w:rsidRPr="005E58C6">
        <w:rPr>
          <w:rFonts w:ascii="Times New Roman" w:hAnsi="Times New Roman" w:cs="Times New Roman"/>
          <w:sz w:val="28"/>
          <w:szCs w:val="28"/>
        </w:rPr>
        <w:lastRenderedPageBreak/>
        <w:t xml:space="preserve">Акции был задействован телеканал «РЕН», в федеральном эфире которого вышла серия из 30 репортажей из каждого региона проведения мероприятия. Общий хронометраж материалов составил 150 минут.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период Акции по данным мониторинговой системы «Медиалогия» вышло около 4 500 публикаций на региональных телеканалах, радиостанциях, печатной прессе, интернет СМИ. Кроме того, проводилось баннерное анонсирование Акции в информационно-коммуникационной сети «Интернет»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не менее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динамических баннеров в каждом из 30 регионов, общее количество показов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3,2 млн.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крупнейшей площадке среди российских интернет-СМИ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АО Издательский дом «Комсомольская правда» www.kp.ru</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реализован специальный проект, посвященный Акции, в рамках которого публиковались статьи, фото- и видеоматериалы. Количество уникальных посетителей специального проекта составило 116 092 человек.</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ресурсе информационного агентства «РИА Новости» размещены 2 лонгрида: «Честный разговор про ВИЧ» по проблематике ВИЧ-инфекции и лонгрид, посвященный Акции и размещенный к 1 декабря, Всемирному дню борьбы со СПИДом. Данные материалы прочли более 50 тыс. уникальных посетителей.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коммуникационной кампании созданы и размещены на портале о-spide.ru рекламно-информационные материалы (видеоролики) для последующего размещения на телевидении, в сети интернет: «Как передаётся ВИЧ», «Как жить с ВИЧ»</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хронометражем 30, 20, 15, 10 сек., «Все о ВИЧ»</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50 сек.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велась работа по информированию населения Российской Федерации по проблемам ВИЧ-инфекции в социальных сетях: инициировано более 800 сообщений, задействовано более 400 групп, сообществ, отдельных пользователей.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проект также вошли работы по развитию профильного интернет портала o-spide.ru. На указанном портале создан новый интерактивный раздел, посвященный Акции, благодаря которому пользователи и посетители портала могли отследить весь маршрут и места тестирования. В данном разделе собрана информация по количеству протестированных человек и общий километраж Акции. Кроме того, была проведена работа по модернизации интернет-портала o-spide.ru, изменению его структуры и </w:t>
      </w:r>
      <w:r w:rsidRPr="005E58C6">
        <w:rPr>
          <w:rFonts w:ascii="Times New Roman" w:hAnsi="Times New Roman" w:cs="Times New Roman"/>
          <w:sz w:val="28"/>
          <w:szCs w:val="28"/>
        </w:rPr>
        <w:lastRenderedPageBreak/>
        <w:t xml:space="preserve">дизайна, а также адаптации пользовательского интерфейса с учетом современных требований. Интернет-портал доступен на всех типах устройств, в том числе мобильных. Помимо этого, на данном интернет-портале были размещены новости, статьи и инфографика по вопросам ВИЧ-инфекции и вирусных гепатитов В и С. Также были проведены поисковая оптимизация для привлечения целевой аудитории и ряд технических работ, направленных на повышение стабильности и безопасности функционирования интернет-портала, посещаемость которого достигает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уникальных пользователей в месяц.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инициативе Фонда социально-культурных инициатив с 14 по 20 мая 2018 года прошла пятая Всероссийская акция «Стоп ВИЧ/СПИД» при поддержке Минздрава России, Минпросвещения России, Минобрнауки России, Минкомсвязи России, Роспотребнадзора, Росмолодежи и ряда СМИ. В течение недели по всей стране проходили мероприятия, цель которых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привлечь внимание к проблеме профилактики и лечения заболевания, вызванного ВИЧ-инфекцией.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Открывала акцию Международная научно-практическая конференция «Охрана здоровья детей с ВИЧ-инфекцией в рамках реализации программы «Десятилетие детства в России», которая была организована Минздравом России и прошла 14–15 мая в Санкт-Петербурге. 14 мая прошел Московский фестиваль визуальной культуры со специальным показом авторских работ, созданных в рамках комплексной стратегии профилактики ВИЧ-инфекции для участников Всероссийского общественного движения «Волонтеры медики» и Молодёжного совета при Департаменте здравоохранения города Москвы.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 26 по 27 ноября 2018 г. в г. Москве проведен IV Всероссийский форум для специалистов по профилактике и лечению ВИЧ/СПИДа, который стал важнейшим мероприятием для обмена знаниями и опытом в области борьбы с ВИЧ-инфекцией. Сосредоточение профессионалов со всех регионов России на одной площадке способствовало быстрому поиску решений, выработке тактики работы на ближайшие годы. В мероприятии, по итогам которого опубликованы более 250 публикаций в СМИ, приняли участие 279 экспертов. На Форуме были награждены победители проведенного Министерством здравоохранения Российской Федерации конкурса «Лучший СПИД-центр». </w:t>
      </w:r>
    </w:p>
    <w:p w:rsidR="005E58C6" w:rsidRPr="005E58C6" w:rsidRDefault="005E58C6" w:rsidP="001E545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Коммуникационная кампания по повышению уровня информированности граждан Российской Федерации по вопросам развития системы донорства органов человека в целях трансплантации</w:t>
      </w:r>
      <w:r w:rsidR="001E5458">
        <w:rPr>
          <w:rFonts w:ascii="Times New Roman" w:hAnsi="Times New Roman" w:cs="Times New Roman"/>
          <w:sz w:val="28"/>
          <w:szCs w:val="28"/>
        </w:rPr>
        <w:t xml:space="preserve"> </w:t>
      </w:r>
      <w:r w:rsidRPr="005E58C6">
        <w:rPr>
          <w:rFonts w:ascii="Times New Roman" w:hAnsi="Times New Roman" w:cs="Times New Roman"/>
          <w:sz w:val="28"/>
          <w:szCs w:val="28"/>
        </w:rPr>
        <w:t xml:space="preserve">Минздравом России в 2018 году продолжена реализация коммуникационной кампании, направленной на повышение уровня информированности граждан Российской Федерации по вопросам развития системы донорства органов человеках в целях трансплантации.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Основными задачами коммуникационной кампании являются: информирование граждан о донорстве органов человека в целях трансплантации; мотивирование граждан к безвозмездному донорству органов человека в целях трансплантации, изменение отношения российского общества к данной проблеме.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Коммуникационная кампания для населения проводилась посредством сети Интернет. Была оптимизирована структура специального интернет-ресурса donorstvo.org, посвященного теме донорства органов в целях трансплантации, где ежедневно размещалась официальная информация Минздрава России, материалы из авторитетных российских и зарубежных новостных источников, а также уникальные авторские статьи. В социальных сетях интернет-ресурса donorstvo.org (ВКонтакте, Одноклассники, Facebook, Instagram, Twitter) опубликованы 440 просветительских материалов на тему донорства органов и их трансплантации. Также поддерживался регулярный контакт с целевой аудиторией в интернете посредством постоянного мониторинга и анализа информационного пространства и инициации обсуждения данной темы в тематических форумах, сообществах и блогах.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Кроме того, создан видеоролик социальной рекламы, количество показов которого в сети Интернет составило более 2,8 млн трансляций.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1E5458" w:rsidRPr="005E58C6" w:rsidRDefault="001E5458"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F963C6" w:rsidRDefault="00F963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E572D4">
      <w:pPr>
        <w:widowControl w:val="0"/>
        <w:spacing w:after="0" w:line="312" w:lineRule="auto"/>
        <w:jc w:val="both"/>
        <w:rPr>
          <w:rFonts w:ascii="Times New Roman" w:hAnsi="Times New Roman" w:cs="Times New Roman"/>
          <w:sz w:val="28"/>
          <w:szCs w:val="28"/>
        </w:rPr>
      </w:pPr>
    </w:p>
    <w:p w:rsidR="005E58C6" w:rsidRPr="001E5458" w:rsidRDefault="005E58C6" w:rsidP="005E58C6">
      <w:pPr>
        <w:widowControl w:val="0"/>
        <w:spacing w:after="0" w:line="312" w:lineRule="auto"/>
        <w:ind w:firstLine="709"/>
        <w:jc w:val="both"/>
        <w:rPr>
          <w:rFonts w:ascii="Times New Roman" w:hAnsi="Times New Roman" w:cs="Times New Roman"/>
          <w:b/>
          <w:sz w:val="28"/>
          <w:szCs w:val="28"/>
        </w:rPr>
      </w:pPr>
      <w:r w:rsidRPr="001E5458">
        <w:rPr>
          <w:rFonts w:ascii="Times New Roman" w:hAnsi="Times New Roman" w:cs="Times New Roman"/>
          <w:b/>
          <w:sz w:val="28"/>
          <w:szCs w:val="28"/>
        </w:rPr>
        <w:lastRenderedPageBreak/>
        <w:t>подраздел 6.2  Специализированная, в том числе высокотехнологичная, медицинская помощь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в целях повышения доступности и совершенствования организации медицинской помощи населению Российской Федерации руководителям высших исполнительных органов государственной власти субъектов Российской Федерации рекомендовано обеспечить актуализацию нормативных правовых актов органов исполнительной власти субъектов Российской Федерации в сфере охраны здоровья, содержащих правила организации оказания медицинской помощи больным с острыми и критическими состояниями при заболеваниях системы кровообращения, органов дыхания, органов пищеварения, больным с онкологическими и инфекционными заболеваниями, а также оказания медицинской помощи пострадавшим при дорожно-транспортных происшествиях в субъекте Российской Федерации, схемы маршрутизации пациентов с закреплением персональной ответственности руководителей органов исполнительной власти субъектов Российской Федерации в сфере охраны здоровья, медицинских организаций, включая службу скорой медицинской помощи, за исполнение указанных актов (письмо Минздрава России от 5 июня 2018 г. </w:t>
      </w:r>
      <w:r>
        <w:rPr>
          <w:rFonts w:ascii="Times New Roman" w:hAnsi="Times New Roman" w:cs="Times New Roman"/>
          <w:sz w:val="28"/>
          <w:szCs w:val="28"/>
        </w:rPr>
        <w:t>№ </w:t>
      </w:r>
      <w:r w:rsidRPr="005E58C6">
        <w:rPr>
          <w:rFonts w:ascii="Times New Roman" w:hAnsi="Times New Roman" w:cs="Times New Roman"/>
          <w:sz w:val="28"/>
          <w:szCs w:val="28"/>
        </w:rPr>
        <w:t>10-0/10/13516).</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Письмом Минздрава России от 13 июня 2018 г. </w:t>
      </w:r>
      <w:r>
        <w:rPr>
          <w:rFonts w:ascii="Times New Roman" w:hAnsi="Times New Roman" w:cs="Times New Roman"/>
          <w:sz w:val="28"/>
          <w:szCs w:val="28"/>
        </w:rPr>
        <w:t>№ </w:t>
      </w:r>
      <w:r w:rsidRPr="005E58C6">
        <w:rPr>
          <w:rFonts w:ascii="Times New Roman" w:hAnsi="Times New Roman" w:cs="Times New Roman"/>
          <w:sz w:val="28"/>
          <w:szCs w:val="28"/>
        </w:rPr>
        <w:t>17-9/10/2-3795 руководителям высших исполнительных органов государственной власти субъектов Российской Федерации в срок до 2 июля 2018 г. поручено разработать и утвердить планы мероприятий по снижению смертности от основных причин в субъектах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Минздравом России осуществляется мониторинг и анализ показателей смертности, 2 раза в месяц проводились совещания с субъектами Российской Федерации, в том числе в формате видеоконференцсвязи, по обмену опытом реализации «лучших практик» по снижению смертности и мероприятий, направленных на повышение качества организации статистического учета.</w:t>
      </w:r>
    </w:p>
    <w:p w:rsidR="005E58C6" w:rsidRPr="00DF745D" w:rsidRDefault="005E58C6" w:rsidP="005E58C6">
      <w:pPr>
        <w:widowControl w:val="0"/>
        <w:spacing w:after="0" w:line="312" w:lineRule="auto"/>
        <w:ind w:firstLine="709"/>
        <w:jc w:val="both"/>
        <w:rPr>
          <w:rFonts w:ascii="Times New Roman" w:hAnsi="Times New Roman" w:cs="Times New Roman"/>
          <w:i/>
          <w:sz w:val="28"/>
          <w:szCs w:val="28"/>
        </w:rPr>
      </w:pPr>
      <w:r w:rsidRPr="00DF745D">
        <w:rPr>
          <w:rFonts w:ascii="Times New Roman" w:hAnsi="Times New Roman" w:cs="Times New Roman"/>
          <w:i/>
          <w:sz w:val="28"/>
          <w:szCs w:val="28"/>
        </w:rPr>
        <w:t>Реализация мероприятий, направленных на совершенствование медицинской помощи больным с сосудистыми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дальнейшее развитие получила служба экстренной специализированной медицинской помощи пациентам с острыми нарушениями мозгового кровообращения и острым коронарным синдромом, количество первичных сосудистых отделений и региональных сосудистых </w:t>
      </w:r>
      <w:r w:rsidRPr="005E58C6">
        <w:rPr>
          <w:rFonts w:ascii="Times New Roman" w:hAnsi="Times New Roman" w:cs="Times New Roman"/>
          <w:sz w:val="28"/>
          <w:szCs w:val="28"/>
        </w:rPr>
        <w:lastRenderedPageBreak/>
        <w:t>центров в 2018 году составило 656. Увеличилась частота применения системного тромболизиса и ангиопластик коронарных артерий, что обеспечило снижение смертности от инфаркта миокарда и церебро-васкулярных болезней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7,3 и 3,6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за 2018 год.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оказания организационно-методической поддержки субъектам Российской Федерации Минздравом России 2 раза в месяц проводились совещания, в том числе в формате видеоконференцсвязи, по обмену опытом реализации «лучших практик» по снижению смертности, совместно с главными внештатными специалистами по соответствующим профилям сформированы 8 окружных мультидисциплинарных бригад, которыми в 2018 году был осуществлен 71 выезд в 41 регион. </w:t>
      </w:r>
    </w:p>
    <w:p w:rsidR="005E58C6" w:rsidRPr="00DF745D" w:rsidRDefault="005E58C6" w:rsidP="005E58C6">
      <w:pPr>
        <w:widowControl w:val="0"/>
        <w:spacing w:after="0" w:line="312" w:lineRule="auto"/>
        <w:ind w:firstLine="709"/>
        <w:jc w:val="both"/>
        <w:rPr>
          <w:rFonts w:ascii="Times New Roman" w:hAnsi="Times New Roman" w:cs="Times New Roman"/>
          <w:i/>
          <w:sz w:val="28"/>
          <w:szCs w:val="28"/>
        </w:rPr>
      </w:pPr>
      <w:r w:rsidRPr="00DF745D">
        <w:rPr>
          <w:rFonts w:ascii="Times New Roman" w:hAnsi="Times New Roman" w:cs="Times New Roman"/>
          <w:i/>
          <w:sz w:val="28"/>
          <w:szCs w:val="28"/>
        </w:rPr>
        <w:t>Реализация мероприятий, направленных на совершенствование медицинской помощи больным с онкологическими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стал применяться новый порядок диспансеризации, направленный, в первую очередь, на повышение эффективности выявления онкологических заболеваний на ранних стадиях.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Разработано, утверждено и размещено в электронном рубрикаторе                   80 клинических рекомендаций по профилактике, диагностике, лечению и реабилитации онкологических заболеваний различной локализации, содержащих, в том числе критерии оценки качества оказания медицинской помощи и алгоритмы действия врача в различных клинических ситуациях.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Для оценки доступности и качества медицинской помощи пациентам со злокачественными новообразованиями, в том числе проведения курсов химиотерапии, Федеральным фондом ОМС совместно с Минздравом России создана система индивидуального учета пациентов с онкологическими заболеваниями на основе реестра счетов на оплату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основе разработанных 867 стандартизованных модулей медицинской помощи по профилю «Онкология», которые позволяют рассчитать стоимость типового законченного случая лечения, усовершенствованы способы оплаты медицинской помощи, созданы и внедрены новые дифференцированные клинико-статистические группы (КСГ)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 групп, в 2018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24 группы).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Высокотехнологичная медицинская помощь по профилю «онкология» оказана 186,2 тыс. пациентам (2017</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172,1 тыс. пациентов)                                           в 380 медицинских организациях, в том числе в 82 федеральных.</w:t>
      </w:r>
    </w:p>
    <w:p w:rsidR="005E58C6" w:rsidRPr="00DF745D" w:rsidRDefault="005E58C6" w:rsidP="005E58C6">
      <w:pPr>
        <w:widowControl w:val="0"/>
        <w:spacing w:after="0" w:line="312" w:lineRule="auto"/>
        <w:ind w:firstLine="709"/>
        <w:jc w:val="both"/>
        <w:rPr>
          <w:rFonts w:ascii="Times New Roman" w:hAnsi="Times New Roman" w:cs="Times New Roman"/>
          <w:b/>
          <w:i/>
          <w:sz w:val="28"/>
          <w:szCs w:val="28"/>
        </w:rPr>
      </w:pPr>
      <w:r w:rsidRPr="00DF745D">
        <w:rPr>
          <w:rFonts w:ascii="Times New Roman" w:hAnsi="Times New Roman" w:cs="Times New Roman"/>
          <w:b/>
          <w:i/>
          <w:sz w:val="28"/>
          <w:szCs w:val="28"/>
        </w:rPr>
        <w:lastRenderedPageBreak/>
        <w:t>Мероприятия по выявлению, профилактике и  лечению лиц, инфицированных ВИЧ и вирусными гепатитами В и 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Государственной стратегией противодействия распространению ВИЧ-инфекции в Российской Федерации на период до 2020 года и дальнейшую перспективу, утвержденной распоряжением Правительства Российской Федерации от 20 октября 2016 г. </w:t>
      </w:r>
      <w:r>
        <w:rPr>
          <w:rFonts w:ascii="Times New Roman" w:hAnsi="Times New Roman" w:cs="Times New Roman"/>
          <w:sz w:val="28"/>
          <w:szCs w:val="28"/>
        </w:rPr>
        <w:t>№ </w:t>
      </w:r>
      <w:r w:rsidRPr="005E58C6">
        <w:rPr>
          <w:rFonts w:ascii="Times New Roman" w:hAnsi="Times New Roman" w:cs="Times New Roman"/>
          <w:sz w:val="28"/>
          <w:szCs w:val="28"/>
        </w:rPr>
        <w:t xml:space="preserve">2203-р, и планом мероприятий по ее реализации, утвержденным распоряжением Правительства Российской Федерации от 20 апреля 2017 г. </w:t>
      </w:r>
      <w:r>
        <w:rPr>
          <w:rFonts w:ascii="Times New Roman" w:hAnsi="Times New Roman" w:cs="Times New Roman"/>
          <w:sz w:val="28"/>
          <w:szCs w:val="28"/>
        </w:rPr>
        <w:t>№ </w:t>
      </w:r>
      <w:r w:rsidRPr="005E58C6">
        <w:rPr>
          <w:rFonts w:ascii="Times New Roman" w:hAnsi="Times New Roman" w:cs="Times New Roman"/>
          <w:sz w:val="28"/>
          <w:szCs w:val="28"/>
        </w:rPr>
        <w:t>754-р (далее соответственно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Государственная стратегия, План), в целях совершенствования оказания медицинской помощи больным ВИЧ-инфекцией 20 ноября 2018 г. утверждены приказы Минздрава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 xml:space="preserve">796н «Об утверждении стандарта первичной медико-санитарной помощи взрослым при болезни, вызванной вирусом иммунодефицита человека (ВИЧ) (обследование в целях установления диагноза и подготовки к лечению)»;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797н «Об утверждении стандарта первичной медико-санитарной помощи взрослым при болезни, вызванной вирусом иммунодефицита человека (ВИЧ) (предпочтительная антиретровирусная терапия первого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798н «Об утверждении стандарта первичной медико-санитарной помощи взрослым при болезни, вызванной вирусом иммунодефицита человека (ВИЧ) (альтернативная антиретровирусная терапия первого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799н «Об утверждении стандарта первичной медико-санитарной помощи взрослым при болезни, вызванной вирусом иммунодефицита человека (ВИЧ) (особые случаи антиретровирусной терапии первого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800н «Об утверждении стандарта первичной медико-санитарной помощи взрослым при болезни, вызванной вирусом иммунодефицита человека (ВИЧ) (предпочтительная антиретровирусная терапия второго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801н «Об утверждении стандарта первичной медико-санитарной помощи взрослым при болезни, вызванной вирусом иммунодефицита человека (ВИЧ) (альтернативная антиретровирусная терапия второго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58C6">
        <w:rPr>
          <w:rFonts w:ascii="Times New Roman" w:hAnsi="Times New Roman" w:cs="Times New Roman"/>
          <w:sz w:val="28"/>
          <w:szCs w:val="28"/>
        </w:rPr>
        <w:t>802н «Об утверждении стандарта первичной медико-санитарной помощи взрослым при болезни, вызванной вирусом иммунодефицита человека (ВИЧ) (антиретровирусная терапия третьего ряда)».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В целях систематизации требований к комплектации укладок, направленных на экстренную профилактику инфекций с гемоконтактным механизмом передачи, Минздравом России издан приказ от 9 января 2018 г. </w:t>
      </w:r>
      <w:r>
        <w:rPr>
          <w:rFonts w:ascii="Times New Roman" w:hAnsi="Times New Roman" w:cs="Times New Roman"/>
          <w:sz w:val="28"/>
          <w:szCs w:val="28"/>
        </w:rPr>
        <w:t>№ </w:t>
      </w:r>
      <w:r w:rsidRPr="005E58C6">
        <w:rPr>
          <w:rFonts w:ascii="Times New Roman" w:hAnsi="Times New Roman" w:cs="Times New Roman"/>
          <w:sz w:val="28"/>
          <w:szCs w:val="28"/>
        </w:rPr>
        <w:t>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Стандарты оснащения структурных подразделений медицинских организаций (в которых имеется вероятность возникновения медицинской аварии и/или загрязнения кожных покровов, слизистых оболочек и раневых поверхностей биологическим материалом, инфицированным или потенциально инфицированным парентеральными вирусными инфекциями),  в порядках оказания медицинской помощи по профилю «хирургия (трансплантация органов и (или) тканей человека)», «нефрология», при психических расстройствах и расстройствах поведения, а также Положение об организации оказания первичной медико-санитарной помощи взрослому населению, дополнены требованиями по наличию укладки.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учетом региональных особенностей и анализа реализации планов в 85 субъектах Российской Федерации реализованы планы первоочередных мероприятий по противодействию распространению ВИЧ-инфекции в субъектах Российской Федерации на 2016‒2017 годы разработаны, утверждены и реализуются планы мероприятий на 2018‒2019 годы. Выполнение региональных планов отслеживается и корректируется посредством федеральной системы мониторинга.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целях обеспечения эффективной диагностики и мониторинга лечения ВИЧ-инфекции из федерального бюджета бюджетам 85 субъектов Российской Федерации предоставлены субсидии, в том числе на профилактику ВИЧ-инфекции и гепатитов B и C, в том числе с привлечением к реализации указанных мероприятий социально ориентированных некоммерческих организаций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294 177,9 тыс. рублей, и  на финансовое обеспечение закупок диагностических средств для выявления и мониторинга лечения лиц, инфицированных вирусом иммунодефицита человека, в сочетании с вирусами гепатитов B и (или) C,</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1 403 823,9 тыс.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предотвращения распространения ВИЧ-инфекции среди </w:t>
      </w:r>
      <w:r w:rsidRPr="005E58C6">
        <w:rPr>
          <w:rFonts w:ascii="Times New Roman" w:hAnsi="Times New Roman" w:cs="Times New Roman"/>
          <w:sz w:val="28"/>
          <w:szCs w:val="28"/>
        </w:rPr>
        <w:lastRenderedPageBreak/>
        <w:t xml:space="preserve">ключевых групп населения подготовлены методические рекомендации «Разработка типовой межведомственной программы по вопросам профилактики ВИЧ-инфекции в ключевых группах населения», которые содержат рекомендации по организации профилактических мероприятий как на популяционном уровне, так и в ключевых группах населения, призваны помочь медицинским специалистам в разработке межведомственных программ на территориях субъектов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совершенствования оказания паллиативной медицинской помощи взрослому и детскому населению, в том числе при заболевании, вызванном вирусом иммунодефицита человека, изданы приказы Минздрава России от 7 мая 2018 г. </w:t>
      </w:r>
      <w:r>
        <w:rPr>
          <w:rFonts w:ascii="Times New Roman" w:hAnsi="Times New Roman" w:cs="Times New Roman"/>
          <w:sz w:val="28"/>
          <w:szCs w:val="28"/>
        </w:rPr>
        <w:t>№ </w:t>
      </w:r>
      <w:r w:rsidRPr="005E58C6">
        <w:rPr>
          <w:rFonts w:ascii="Times New Roman" w:hAnsi="Times New Roman" w:cs="Times New Roman"/>
          <w:sz w:val="28"/>
          <w:szCs w:val="28"/>
        </w:rPr>
        <w:t xml:space="preserve">210н «О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 апреля 2015 г. </w:t>
      </w:r>
      <w:r>
        <w:rPr>
          <w:rFonts w:ascii="Times New Roman" w:hAnsi="Times New Roman" w:cs="Times New Roman"/>
          <w:sz w:val="28"/>
          <w:szCs w:val="28"/>
        </w:rPr>
        <w:t>№ </w:t>
      </w:r>
      <w:r w:rsidRPr="005E58C6">
        <w:rPr>
          <w:rFonts w:ascii="Times New Roman" w:hAnsi="Times New Roman" w:cs="Times New Roman"/>
          <w:sz w:val="28"/>
          <w:szCs w:val="28"/>
        </w:rPr>
        <w:t xml:space="preserve">187н» и от 28 июня 2018 г. </w:t>
      </w:r>
      <w:r>
        <w:rPr>
          <w:rFonts w:ascii="Times New Roman" w:hAnsi="Times New Roman" w:cs="Times New Roman"/>
          <w:sz w:val="28"/>
          <w:szCs w:val="28"/>
        </w:rPr>
        <w:t>№ </w:t>
      </w:r>
      <w:r w:rsidRPr="005E58C6">
        <w:rPr>
          <w:rFonts w:ascii="Times New Roman" w:hAnsi="Times New Roman" w:cs="Times New Roman"/>
          <w:sz w:val="28"/>
          <w:szCs w:val="28"/>
        </w:rPr>
        <w:t xml:space="preserve">401н «О внесении изменений в Порядок оказания паллиативной медицинской помощи детям, утвержденный приказом Министерства здравоохранения Российской Федерации от 14 апреля 2015 г. </w:t>
      </w:r>
      <w:r>
        <w:rPr>
          <w:rFonts w:ascii="Times New Roman" w:hAnsi="Times New Roman" w:cs="Times New Roman"/>
          <w:sz w:val="28"/>
          <w:szCs w:val="28"/>
        </w:rPr>
        <w:t>№ </w:t>
      </w:r>
      <w:r w:rsidRPr="005E58C6">
        <w:rPr>
          <w:rFonts w:ascii="Times New Roman" w:hAnsi="Times New Roman" w:cs="Times New Roman"/>
          <w:sz w:val="28"/>
          <w:szCs w:val="28"/>
        </w:rPr>
        <w:t>193н».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Перечень групп пациентов, которым оказывается паллиативная медицинская помощь, дополнен группой пациентов с социально значимыми инфекционными заболеваниями в терминальной стадии развития, нуждающихся в симптоматическом лечении и в обеспечении ухода при оказании медицинской помощи. Уточнены стандарты оснащения выездной патронажной службы паллиативной медицинской помощи, отделения паллиативной медицинской помощи, хосписа, в том числе детского. Порядок оказания паллиативной медицинской помощи детям дополнен возможностью применения телемедицинских технологий путем организации и проведения консультаций и (или) участия в консилиуме врачей. </w:t>
      </w:r>
    </w:p>
    <w:p w:rsidR="005E58C6" w:rsidRPr="005E58C6" w:rsidRDefault="005E58C6" w:rsidP="00E572D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организации оказания медицинской помощи, включая обеспечение лекарственными препаратами для медицинского применения</w:t>
      </w:r>
      <w:r w:rsidR="00E572D4">
        <w:rPr>
          <w:rFonts w:ascii="Times New Roman" w:hAnsi="Times New Roman" w:cs="Times New Roman"/>
          <w:sz w:val="28"/>
          <w:szCs w:val="28"/>
        </w:rPr>
        <w:t xml:space="preserve">, </w:t>
      </w:r>
      <w:r w:rsidR="00E572D4">
        <w:rPr>
          <w:rFonts w:ascii="Times New Roman" w:hAnsi="Times New Roman" w:cs="Times New Roman"/>
          <w:sz w:val="28"/>
          <w:szCs w:val="28"/>
        </w:rPr>
        <w:br/>
      </w:r>
      <w:r w:rsidRPr="005E58C6">
        <w:rPr>
          <w:rFonts w:ascii="Times New Roman" w:hAnsi="Times New Roman" w:cs="Times New Roman"/>
          <w:sz w:val="28"/>
          <w:szCs w:val="28"/>
        </w:rPr>
        <w:t xml:space="preserve">в соответствии со статьей 43 Федерального закона от 21 ноября 2011 г.                       </w:t>
      </w:r>
      <w:r>
        <w:rPr>
          <w:rFonts w:ascii="Times New Roman" w:hAnsi="Times New Roman" w:cs="Times New Roman"/>
          <w:sz w:val="28"/>
          <w:szCs w:val="28"/>
        </w:rPr>
        <w:t>№ </w:t>
      </w:r>
      <w:r w:rsidRPr="005E58C6">
        <w:rPr>
          <w:rFonts w:ascii="Times New Roman" w:hAnsi="Times New Roman" w:cs="Times New Roman"/>
          <w:sz w:val="28"/>
          <w:szCs w:val="28"/>
        </w:rPr>
        <w:t>323-ФЗ «Об основах охраны здоровья граждан в Российской Федерации» Минздравом России осуществляется ведение Федерального регистра лиц, инфицированных вирусом иммунодефицита человека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ФРВИЧ).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Органы государственной власти субъектов Российской Федерации осуществляют ведение региональных сегментов ФРВИЧ и своевременное </w:t>
      </w:r>
      <w:r w:rsidRPr="005E58C6">
        <w:rPr>
          <w:rFonts w:ascii="Times New Roman" w:hAnsi="Times New Roman" w:cs="Times New Roman"/>
          <w:sz w:val="28"/>
          <w:szCs w:val="28"/>
        </w:rPr>
        <w:lastRenderedPageBreak/>
        <w:t>представление сведений, содержащихся в них, в Минздрав России. ФМБА России и ФСИН России осуществляют ведение ведомственных сегментов ФРВИЧ.</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Предоставление сведений в ФРВИЧ осуществляется через защищенную сеть передачи данных всеми медицинскими организациями субъектов Российской Федерации, учреждениями ФСИН России и ФМБА России, оказывающими медицинскую помощь лицам с ВИЧ-инфекцией.  На федеральном уровне регистр деперсонифицирован.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проведено 2 вебинара и 2 семинара «Школа ведения ФРВИЧ» для медицинских работников медицинских организаций, оказывающих помощь лицам, инфицированным ВИЧ. Всего прошли обучение более 300 пользователей ФРВИЧ.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ФРВИЧ обеспечивается сбор, обработка, хранение данных о лице, инфицированном вирусом иммунодефицита человека, что позволяет оценивать организацию диспансерного наблюдения больного, обеспечивать преемственность в лечении, формировать аналитические и отчетные формы, а также производить расчет потребности в антиретровирусных лекарственных препаратах.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Сведения о персонифицированной потребности в лекарственных препаратах из ФРВИЧ использовались: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ходе защиты заявок органов исполнительной власти субъектов Российской Федерации в сфере охраны здоровья на поставку антиретровирусных лекарственных препаратов, применяемых при лечении ВИЧ-инфекции, на 2019 год;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 разработке проектов стандартов медицинской помощи взрослым при заболевании, вызываемом ВИЧ.</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координации мероприятий по противодействию распространению ВИЧ-инфекции в регионах в 2018 году представителями Минздрава России в период с 4 апреля по 3 октября 2018 года проведены выездные совещания с заместителями руководителей органов исполнительной власти субъектов Российской Федерации в сфере охраны здоровья и главными врачами Центров по профилактике и борьбе со СПИДом в 8 федеральных округах Российской Федерации по вопросам реализации в регионах Государственной стратегии противодействия распространению  ВИЧ-инфекции на период до 2020 года и дальнейшую </w:t>
      </w:r>
      <w:r w:rsidRPr="005E58C6">
        <w:rPr>
          <w:rFonts w:ascii="Times New Roman" w:hAnsi="Times New Roman" w:cs="Times New Roman"/>
          <w:sz w:val="28"/>
          <w:szCs w:val="28"/>
        </w:rPr>
        <w:lastRenderedPageBreak/>
        <w:t>перспективу.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с учетом современных клинических рекомендаций и на основе данных ФРВИЧ утверждены 7 стандартов оказания медицинской помощи взрослым пациентам  с ВИЧ-инфекцией для каждого этапа лечения.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Реализация федеральных и региональных мероприятий по повышению информированности населения по вопросам ВИЧ-инфекции повысила уровень знаний населения о ВИЧ-инфекции с 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 до 87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 во всех субъектах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 сравнению с 2017 г. охват населения обследованием на ВИЧ-инфекцию увеличился на 12,1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38 млн человек, что составило 25,8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населения страны и превысило установленные Государственной Стратегией значения соответствующего целевого показателя (22</w:t>
      </w:r>
      <w:r w:rsidR="00000709">
        <w:rPr>
          <w:rFonts w:ascii="Times New Roman" w:hAnsi="Times New Roman" w:cs="Times New Roman"/>
          <w:sz w:val="28"/>
          <w:szCs w:val="28"/>
        </w:rPr>
        <w:t> %</w:t>
      </w:r>
      <w:r w:rsidRPr="005E58C6">
        <w:rPr>
          <w:rFonts w:ascii="Times New Roman" w:hAnsi="Times New Roman" w:cs="Times New Roman"/>
          <w:sz w:val="28"/>
          <w:szCs w:val="28"/>
        </w:rPr>
        <w:t>). Также  повысилась выявляемость ВИЧ-инфекции на ранних стадиях. Так, по предварительным данным, 71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новых случаев ВИЧ-инфекции у взрослого населения и 83</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у детей выявляются на ранних стадиях.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фоне расширения охвата населения обследованием на ВИЧ-инфекцию и его оптимизации наблюдается стабилизация заболеваемости ВИЧ-инфекцией, число пациентов с впервые в жизни установленным диагнозом ВИЧ-инфекции в 2018 году сохранилось на уровне 2017 года и составило 86 тыс.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Принятые меры в части лекарственного обеспечения больных ВИЧ-инфекцией обеспечили снижение средней стоимости лечения одного пациента более чем в 2 раза. Полученная экономия бюджетных средств позволила увеличить охват лечением больных ВИЧ-инфекцией, состоящих под диспансерным наблюдением. По данным федерального регистра, на 1 января 2019 г. охват антиретровирусной терапией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АРВТ) ВИЧ-инфицированных составил 60,0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общего числа состоящих под диспансерным наблюдением (прирост числа пациентов, получающих АРВТ, составил более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Отмечается значительное снижение показателя вертикальной передачи ВИЧ от матери к ребенку, который за последние 12 лет сократился в 7 раз, и достиг в 2018 году исторического минимума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по предварительным данным 1,5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При этом количество родов за указанный период увеличилось </w:t>
      </w:r>
      <w:r w:rsidRPr="005E58C6">
        <w:rPr>
          <w:rFonts w:ascii="Times New Roman" w:hAnsi="Times New Roman" w:cs="Times New Roman"/>
          <w:sz w:val="28"/>
          <w:szCs w:val="28"/>
        </w:rPr>
        <w:lastRenderedPageBreak/>
        <w:t>практически в 2 раза (в 2018 году от ВИЧ-инфицированных матерей родилось 14 754 ребенка).</w:t>
      </w:r>
    </w:p>
    <w:p w:rsidR="005E58C6" w:rsidRPr="00F4492C" w:rsidRDefault="005E58C6" w:rsidP="005E58C6">
      <w:pPr>
        <w:widowControl w:val="0"/>
        <w:spacing w:after="0" w:line="312" w:lineRule="auto"/>
        <w:ind w:firstLine="709"/>
        <w:jc w:val="both"/>
        <w:rPr>
          <w:rFonts w:ascii="Times New Roman" w:hAnsi="Times New Roman" w:cs="Times New Roman"/>
          <w:b/>
          <w:i/>
          <w:sz w:val="28"/>
          <w:szCs w:val="28"/>
        </w:rPr>
      </w:pPr>
      <w:r w:rsidRPr="00F4492C">
        <w:rPr>
          <w:rFonts w:ascii="Times New Roman" w:hAnsi="Times New Roman" w:cs="Times New Roman"/>
          <w:b/>
          <w:i/>
          <w:sz w:val="28"/>
          <w:szCs w:val="28"/>
        </w:rPr>
        <w:t>Реализация мероприятий, направленных на активное раннее выявление больных туберкулезом и обеспечение для них полноценного курса лечения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итогам 2018 года 20 регионов Российской Федерации имеют показатель заболеваемости туберкулезом ниже среднеевропейского показателя (30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а 21 регион Российской Федерации имеет показатель смертности от туберкулеза ниже среднеевропейского показателя (2,6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Снижение показателя смертности от туберкулеза происходит на фоне повышения охвата населения профилактическими медицинскими осмотрами в целях выявления туберкулеза. В 2018 году 107 млн человек прошли профилактические медицинские осмотры в целях выявления туберкулеза (72,7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населения страны).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во всех субъектах Российской Федерации были утверждены планы по снижению смертности населения от туберкулеза, включающие скрининговые обследования населения из групп риска, а также мероприятия по улучшению диагностики туберкулеза и повышению приверженности пациентов к длительной контролируемой химиотерапии.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реализации мероприятий, направленных на совершенствование системы оказания медицинской помощи больным туберкулезом, Минздравом России в 2018 году в соответствии приложением </w:t>
      </w:r>
      <w:r>
        <w:rPr>
          <w:rFonts w:ascii="Times New Roman" w:hAnsi="Times New Roman" w:cs="Times New Roman"/>
          <w:sz w:val="28"/>
          <w:szCs w:val="28"/>
        </w:rPr>
        <w:t>№ </w:t>
      </w:r>
      <w:r w:rsidRPr="005E58C6">
        <w:rPr>
          <w:rFonts w:ascii="Times New Roman" w:hAnsi="Times New Roman" w:cs="Times New Roman"/>
          <w:sz w:val="28"/>
          <w:szCs w:val="28"/>
        </w:rPr>
        <w:t xml:space="preserve">3 к Правилам предоставления и распределения субсидий из федерального бюджета бюджетам субъектов Российской Федерации и г. Байконура на реализацию отдельных мероприятий государственной программы Российской Федерации «Развитие здравоохранения» бюджетам 85 субъектов Российской Федерации предоставлены субсидии, в том числе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приказом Минздрава России от 23 июля 2018 г. </w:t>
      </w:r>
      <w:r>
        <w:rPr>
          <w:rFonts w:ascii="Times New Roman" w:hAnsi="Times New Roman" w:cs="Times New Roman"/>
          <w:sz w:val="28"/>
          <w:szCs w:val="28"/>
        </w:rPr>
        <w:t>№ </w:t>
      </w:r>
      <w:r w:rsidRPr="005E58C6">
        <w:rPr>
          <w:rFonts w:ascii="Times New Roman" w:hAnsi="Times New Roman" w:cs="Times New Roman"/>
          <w:sz w:val="28"/>
          <w:szCs w:val="28"/>
        </w:rPr>
        <w:t xml:space="preserve">463н, а также медицинских изделий в соответствии со стандартом оснащения, предусмотренным порядком оказания медицинской помощи больным туберкулезом на общую сумму 860 </w:t>
      </w:r>
      <w:r w:rsidRPr="005E58C6">
        <w:rPr>
          <w:rFonts w:ascii="Times New Roman" w:hAnsi="Times New Roman" w:cs="Times New Roman"/>
          <w:sz w:val="28"/>
          <w:szCs w:val="28"/>
        </w:rPr>
        <w:lastRenderedPageBreak/>
        <w:t xml:space="preserve">020,5 тыс. рублей.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Оснащение лабораторий медицинских организаций фтизиатрического профиля современным диагностическим оборудованием и обеспечение диагностическими средствами позволило внедрить новейшие технологии ускоренного выявления лекарственной устойчивости возбудителя.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оперативным данным мониторинга Минздрава России, охват тестированием лекарственной чувствительности микобактерии туберкулеза у больных с впервые выявленным туберкулезом (бактериовыделителей) в 2018 году составил 97,1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определения категорий граждан, подлежащих диспансерному наблюдению в связи с туберкулезом, а также обязанностей указанных граждан, Федеральным законом от 3 августа 2018 г. </w:t>
      </w:r>
      <w:r>
        <w:rPr>
          <w:rFonts w:ascii="Times New Roman" w:hAnsi="Times New Roman" w:cs="Times New Roman"/>
          <w:sz w:val="28"/>
          <w:szCs w:val="28"/>
        </w:rPr>
        <w:t>№ </w:t>
      </w:r>
      <w:r w:rsidRPr="005E58C6">
        <w:rPr>
          <w:rFonts w:ascii="Times New Roman" w:hAnsi="Times New Roman" w:cs="Times New Roman"/>
          <w:sz w:val="28"/>
          <w:szCs w:val="28"/>
        </w:rPr>
        <w:t xml:space="preserve">314-ФЗ «О внесении изменений в Федеральный закон «О предупреждении распространения туберкулеза в Российской Федерации» было внесено изменение, согласно которому диспансерное наблюдение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проводится в порядке, установленном уполномоченным Правительством Российской Федерации федеральным органом исполнительной власти. </w:t>
      </w:r>
      <w:r w:rsidR="00E572D4">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Российским обществом фтизиатров разработаны и утверждены клинические рекомендации «Туберкулез органов дыхания» (МКБ 10: А15/А16).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Внедрение системных подходов к лечению больных туберкулезом на основе разработанных профессиональным сообществом клинических рекомендаций по диагностике и лечению туберкулеза на фоне внедрения мер, повышающих приверженность больных туберкулезом к лечению, позволили повысить эффективность лечения больных туберкулезом.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предварительным данным, в 2018 году эффективность лечения впервые выявленных больных чувствительным туберкулезом из когорты больных, зарегистрированных на лечение в 2016 году, составила 71,2</w:t>
      </w:r>
      <w:r w:rsidR="00000709">
        <w:rPr>
          <w:rFonts w:ascii="Times New Roman" w:hAnsi="Times New Roman" w:cs="Times New Roman"/>
          <w:sz w:val="28"/>
          <w:szCs w:val="28"/>
        </w:rPr>
        <w:t> %</w:t>
      </w:r>
      <w:r w:rsidRPr="005E58C6">
        <w:rPr>
          <w:rFonts w:ascii="Times New Roman" w:hAnsi="Times New Roman" w:cs="Times New Roman"/>
          <w:sz w:val="28"/>
          <w:szCs w:val="28"/>
        </w:rPr>
        <w:t>, а больных множественной лекарственной устойчивостью возбудителя туберкулеза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54,5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организации оказания медицинской помощи, включая обеспечение лекарственными препаратами для медицинского применения, в соответствии со статьей 43 Федерального закона от 21 ноября 2011 г.            </w:t>
      </w:r>
      <w:r>
        <w:rPr>
          <w:rFonts w:ascii="Times New Roman" w:hAnsi="Times New Roman" w:cs="Times New Roman"/>
          <w:sz w:val="28"/>
          <w:szCs w:val="28"/>
        </w:rPr>
        <w:lastRenderedPageBreak/>
        <w:t>№ </w:t>
      </w:r>
      <w:r w:rsidRPr="005E58C6">
        <w:rPr>
          <w:rFonts w:ascii="Times New Roman" w:hAnsi="Times New Roman" w:cs="Times New Roman"/>
          <w:sz w:val="28"/>
          <w:szCs w:val="28"/>
        </w:rPr>
        <w:t>323-ФЗ «Об основах охраны здоровья граждан в Российской Федерации» Минздравом России осуществляется ведение Федерального регистра лиц, больных туберкулезом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ФРБТ).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Органы государственной власти субъектов Российской Федерации осуществляют ведение региональных сегментов ФРБТ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 ФМБА России и ФСИН России осуществляют ведение ведомственных сегментов ФРБТ.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Предоставление сведений в ФРБТ осуществляется через защищенную сеть передачи данных всеми медицинскими организациями субъектов Российской Федерации, учреждениями ФСИН России и ФМБА России, оказывающими медицинскую помощь лицам, больных туберкулезом.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федеральном уровне регистр деперсонифицирован.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проведено 3 вебинара и 3 семинара «Школа ведения ФРБТ» для медицинских работников противотуберкулезных медицинских организаций. Всего прошли обучение более 400 пользователей ФРБТ.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ФРБТ обеспечивается сбор, обработка, хранение данных о лице, больном туберкулезом, что позволяет оценивать организацию диспансерного наблюдения больного, обеспечивать преемственность в лечении, формировать аналитические и отчетные формы, а также производить расчет потребности в антибактериальных и противотуберкулезных лекарственных препаратах. </w:t>
      </w:r>
    </w:p>
    <w:p w:rsidR="005E58C6" w:rsidRPr="00EF5A93" w:rsidRDefault="005E58C6" w:rsidP="005E58C6">
      <w:pPr>
        <w:widowControl w:val="0"/>
        <w:spacing w:after="0" w:line="312" w:lineRule="auto"/>
        <w:ind w:firstLine="709"/>
        <w:jc w:val="both"/>
        <w:rPr>
          <w:rFonts w:ascii="Times New Roman" w:hAnsi="Times New Roman" w:cs="Times New Roman"/>
          <w:b/>
          <w:i/>
          <w:sz w:val="28"/>
          <w:szCs w:val="28"/>
        </w:rPr>
      </w:pPr>
      <w:r w:rsidRPr="00EF5A93">
        <w:rPr>
          <w:rFonts w:ascii="Times New Roman" w:hAnsi="Times New Roman" w:cs="Times New Roman"/>
          <w:b/>
          <w:i/>
          <w:sz w:val="28"/>
          <w:szCs w:val="28"/>
        </w:rPr>
        <w:t>Совершенствование наркологической службы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 в составе государственной наркологической службы функционировали 86 наркологических диспансеров и 8 наркологических больниц; в 1</w:t>
      </w:r>
      <w:r w:rsidR="00EF5A93">
        <w:rPr>
          <w:rFonts w:ascii="Times New Roman" w:hAnsi="Times New Roman" w:cs="Times New Roman"/>
          <w:sz w:val="28"/>
          <w:szCs w:val="28"/>
        </w:rPr>
        <w:t> </w:t>
      </w:r>
      <w:r w:rsidRPr="005E58C6">
        <w:rPr>
          <w:rFonts w:ascii="Times New Roman" w:hAnsi="Times New Roman" w:cs="Times New Roman"/>
          <w:sz w:val="28"/>
          <w:szCs w:val="28"/>
        </w:rPr>
        <w:t>853 многопрофильных медицинских организациях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65 наркологических отделений и 2</w:t>
      </w:r>
      <w:r w:rsidR="00EF5A93">
        <w:rPr>
          <w:rFonts w:ascii="Times New Roman" w:hAnsi="Times New Roman" w:cs="Times New Roman"/>
          <w:sz w:val="28"/>
          <w:szCs w:val="28"/>
        </w:rPr>
        <w:t> </w:t>
      </w:r>
      <w:r w:rsidRPr="005E58C6">
        <w:rPr>
          <w:rFonts w:ascii="Times New Roman" w:hAnsi="Times New Roman" w:cs="Times New Roman"/>
          <w:sz w:val="28"/>
          <w:szCs w:val="28"/>
        </w:rPr>
        <w:t>076 наркологических кабинетов для взрослых, в 172 многопрофильных медицинских  организациях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 подростковых наркологических отделения и 217 подростковых наркологических кабинетов. В составе наркологической службы осуществляют деятельность 5</w:t>
      </w:r>
      <w:r w:rsidR="00EF5A93">
        <w:rPr>
          <w:rFonts w:ascii="Times New Roman" w:hAnsi="Times New Roman" w:cs="Times New Roman"/>
          <w:sz w:val="28"/>
          <w:szCs w:val="28"/>
        </w:rPr>
        <w:t> </w:t>
      </w:r>
      <w:r w:rsidRPr="005E58C6">
        <w:rPr>
          <w:rFonts w:ascii="Times New Roman" w:hAnsi="Times New Roman" w:cs="Times New Roman"/>
          <w:sz w:val="28"/>
          <w:szCs w:val="28"/>
        </w:rPr>
        <w:t xml:space="preserve">105 врачей-психиатров-наркологов. Количество наркологических коек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20</w:t>
      </w:r>
      <w:r w:rsidR="00EF5A93">
        <w:rPr>
          <w:rFonts w:ascii="Times New Roman" w:hAnsi="Times New Roman" w:cs="Times New Roman"/>
          <w:sz w:val="28"/>
          <w:szCs w:val="28"/>
        </w:rPr>
        <w:t> </w:t>
      </w:r>
      <w:r w:rsidRPr="005E58C6">
        <w:rPr>
          <w:rFonts w:ascii="Times New Roman" w:hAnsi="Times New Roman" w:cs="Times New Roman"/>
          <w:sz w:val="28"/>
          <w:szCs w:val="28"/>
        </w:rPr>
        <w:t xml:space="preserve">166.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Для проведения медицинской реабилитации в стационарных условиях в составе государственной наркологической службы  функционируют 3 166 </w:t>
      </w:r>
      <w:r w:rsidRPr="005E58C6">
        <w:rPr>
          <w:rFonts w:ascii="Times New Roman" w:hAnsi="Times New Roman" w:cs="Times New Roman"/>
          <w:sz w:val="28"/>
          <w:szCs w:val="28"/>
        </w:rPr>
        <w:lastRenderedPageBreak/>
        <w:t>коек в 125 реабилитационных отделениях и 11 реабилитационных центрах. Потребность в реабилитационных наркологических койках в Российской Федерации полностью удовлетворена.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составе наркологической службы осуществляют деятельность 2 научно-практических центра: 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 и государственное бюджетное учреждение здравоохранения Республики Крым «Крымский научно-практический центр наркологии».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по согласованию с Главным управлением по контролю за оборотом наркотиков МВД России руководителям органов исполнительной власти субъектов Российской Федерации в сфере охраны здоровья направлен обновленный Регламент взаимодействия медицинских организаций, оказывающих медицинскую помощь по профилю «психиатрия-наркология», с организациями,  работающими  в  сфере  комплексной реабилитации  и  ресоциализации  лиц,  осуществляющих незаконное потребление наркотических средств или  психотропных веществ.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дальнейшего совершенствования работы наркологической службы развивается система профилактики наркологических заболеваний, раннего выявления пациентов с этими заболеваниями или риском их развития, санитарно-гигиенического просвещения населения,  повышения мотивационного уровня к ведению здорового образа жизни, коррекционной работы в  отношении пациентов, с  ранними  формами наркологических  расстройств,  совершенствования мер  правового характера,  побуждающих  лиц  с  наркологическими  расстройствами, совершивших правонарушения и преступления, к лечению и реабилитации.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Реализация мероприятий по профилактике наркологических расстройств осуществляется специалистами наркологических больниц, диспансеров, участковых кабинетов врача-психиатра-нарколога и кабинетов профилактики наркологических расстройств во взаимодействии со специалистами центров здоровья, отделений и кабинетов медицинской профилактики, а также специалистами других медицинских направлений.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Мероприятия по медицинской профилактике употребления  психоактивных веществ осуществляются в рамках диспансерного </w:t>
      </w:r>
      <w:r w:rsidRPr="005E58C6">
        <w:rPr>
          <w:rFonts w:ascii="Times New Roman" w:hAnsi="Times New Roman" w:cs="Times New Roman"/>
          <w:sz w:val="28"/>
          <w:szCs w:val="28"/>
        </w:rPr>
        <w:lastRenderedPageBreak/>
        <w:t xml:space="preserve">наблюдения, которое организуют участковые врачи-психиатры-наркологи. Подтверждение наличия ремиссии в ходе  диспансерного  наблюдения  проводится  на  основании  результатов осмотра врачом-психиатром-наркологом, психодиагностического обследования,  лабораторных  и  инструментальных исследований, включающих  определение  наличия  психоактивных  веществ  в  организме пациента. При наличии медицинских показаний проводятся консультации врача-психотерапевта, медицинского   психолога, назначается поддерживающее, противорецидивное или иное лечение,  осуществляется психокоррекционная работа.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решения  актуальных  вопросов медицинского обеспечения безопасности дорожного движения и  профилактики социально значимых заболеваний, развития межведомственного информационного взаимодействия Минздравом России совместно с МВД России реализуются мероприятия, направленные на совершенствование допуска к управлению транспортными средствами лиц,  привлеченных  к  административной или уголовной  ответственности в  связи  с  употреблением  ими  вызывающих алкогольное опьянение веществ, наркотических средств, психотропных и иных психоактивных веществ, а также в связи с противоправными деяниями в сфере оборота наркотических средств и психотропных веществ.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исполнения Указа  Президента  Российской Федерации  от                 7 мая 2018 г. </w:t>
      </w:r>
      <w:r>
        <w:rPr>
          <w:rFonts w:ascii="Times New Roman" w:hAnsi="Times New Roman" w:cs="Times New Roman"/>
          <w:sz w:val="28"/>
          <w:szCs w:val="28"/>
        </w:rPr>
        <w:t>№ </w:t>
      </w:r>
      <w:r w:rsidRPr="005E58C6">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  федеральным государственным бюджетным учреждением «Национальный медицинский исследовательский центр психиатрии и наркологии имени В.П. Сербского» Минздрава России  и  федеральным государственным бюджетным учреждением «Национальный медицинский исследовательский центр психиатрии и неврологии имени В.М. Бехтерева» Минздрава России  с                     2018  года осуществляется  организационно-методическое  и  научно-практическое руководство субъектов Российской Федерации в сфере организации оказания медицинской помощи по профилю «психиатрия-наркология».</w:t>
      </w:r>
    </w:p>
    <w:p w:rsidR="005E58C6" w:rsidRPr="00EF5A93" w:rsidRDefault="005E58C6" w:rsidP="005E58C6">
      <w:pPr>
        <w:widowControl w:val="0"/>
        <w:spacing w:after="0" w:line="312" w:lineRule="auto"/>
        <w:ind w:firstLine="709"/>
        <w:jc w:val="both"/>
        <w:rPr>
          <w:rFonts w:ascii="Times New Roman" w:hAnsi="Times New Roman" w:cs="Times New Roman"/>
          <w:b/>
          <w:i/>
          <w:sz w:val="28"/>
          <w:szCs w:val="28"/>
        </w:rPr>
      </w:pPr>
      <w:r w:rsidRPr="00EF5A93">
        <w:rPr>
          <w:rFonts w:ascii="Times New Roman" w:hAnsi="Times New Roman" w:cs="Times New Roman"/>
          <w:b/>
          <w:i/>
          <w:sz w:val="28"/>
          <w:szCs w:val="28"/>
        </w:rPr>
        <w:t>Организация деятельности службы крови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течение 2018 года служба крови сохраняла тенденции устойчивого развития, в том числе за счет успешно реализованной в период 2008-2014 гг. масштабной программы по развитию службы крови в рамках национального </w:t>
      </w:r>
      <w:r w:rsidRPr="005E58C6">
        <w:rPr>
          <w:rFonts w:ascii="Times New Roman" w:hAnsi="Times New Roman" w:cs="Times New Roman"/>
          <w:sz w:val="28"/>
          <w:szCs w:val="28"/>
        </w:rPr>
        <w:lastRenderedPageBreak/>
        <w:t>проекта «Здоровье».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результатам мониторинга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«Развитие здравоохранения» основное мероприятие «Развитие службы крови», включая контрольные точки, выполнено в срок и в полном объеме.</w:t>
      </w:r>
    </w:p>
    <w:p w:rsidR="005E58C6" w:rsidRPr="00EF5A93" w:rsidRDefault="005E58C6" w:rsidP="005E58C6">
      <w:pPr>
        <w:widowControl w:val="0"/>
        <w:spacing w:after="0" w:line="312" w:lineRule="auto"/>
        <w:ind w:firstLine="709"/>
        <w:jc w:val="both"/>
        <w:rPr>
          <w:rFonts w:ascii="Times New Roman" w:hAnsi="Times New Roman" w:cs="Times New Roman"/>
          <w:i/>
          <w:sz w:val="28"/>
          <w:szCs w:val="28"/>
        </w:rPr>
      </w:pPr>
      <w:r w:rsidRPr="00EF5A93">
        <w:rPr>
          <w:rFonts w:ascii="Times New Roman" w:hAnsi="Times New Roman" w:cs="Times New Roman"/>
          <w:i/>
          <w:sz w:val="28"/>
          <w:szCs w:val="28"/>
        </w:rPr>
        <w:t>Автоматизация службы крови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обеспечения контроля в сфере обращения донорской крови и ее компонентов в 2018 году развитие </w:t>
      </w:r>
      <w:r w:rsidR="000A216A">
        <w:rPr>
          <w:rFonts w:ascii="Times New Roman" w:hAnsi="Times New Roman" w:cs="Times New Roman"/>
          <w:sz w:val="28"/>
          <w:szCs w:val="28"/>
        </w:rPr>
        <w:t>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е</w:t>
      </w:r>
      <w:r w:rsidRPr="005E58C6">
        <w:rPr>
          <w:rFonts w:ascii="Times New Roman" w:hAnsi="Times New Roman" w:cs="Times New Roman"/>
          <w:sz w:val="28"/>
          <w:szCs w:val="28"/>
        </w:rPr>
        <w:t>диной информационной базы донорства</w:t>
      </w:r>
      <w:r w:rsidR="000A216A">
        <w:rPr>
          <w:rFonts w:ascii="Times New Roman" w:hAnsi="Times New Roman" w:cs="Times New Roman"/>
          <w:sz w:val="28"/>
          <w:szCs w:val="28"/>
        </w:rPr>
        <w:t>)</w:t>
      </w:r>
      <w:r w:rsidRPr="005E58C6">
        <w:rPr>
          <w:rFonts w:ascii="Times New Roman" w:hAnsi="Times New Roman" w:cs="Times New Roman"/>
          <w:sz w:val="28"/>
          <w:szCs w:val="28"/>
        </w:rPr>
        <w:t xml:space="preserve">, </w:t>
      </w:r>
      <w:r w:rsidR="000A216A">
        <w:rPr>
          <w:rFonts w:ascii="Times New Roman" w:hAnsi="Times New Roman" w:cs="Times New Roman"/>
          <w:sz w:val="28"/>
          <w:szCs w:val="28"/>
        </w:rPr>
        <w:t xml:space="preserve"> </w:t>
      </w:r>
      <w:r w:rsidRPr="005E58C6">
        <w:rPr>
          <w:rFonts w:ascii="Times New Roman" w:hAnsi="Times New Roman" w:cs="Times New Roman"/>
          <w:sz w:val="28"/>
          <w:szCs w:val="28"/>
        </w:rPr>
        <w:t xml:space="preserve"> </w:t>
      </w:r>
      <w:r w:rsidR="000A216A">
        <w:rPr>
          <w:rFonts w:ascii="Times New Roman" w:hAnsi="Times New Roman" w:cs="Times New Roman"/>
          <w:sz w:val="28"/>
          <w:szCs w:val="28"/>
        </w:rPr>
        <w:t xml:space="preserve">было </w:t>
      </w:r>
      <w:r w:rsidRPr="005E58C6">
        <w:rPr>
          <w:rFonts w:ascii="Times New Roman" w:hAnsi="Times New Roman" w:cs="Times New Roman"/>
          <w:sz w:val="28"/>
          <w:szCs w:val="28"/>
        </w:rPr>
        <w:t>направлено обеспечение современного уровня автоматизации, стандартизации и унификации технологических процессов и установление исключительных стандартов трансфузионной безопасности.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состоянию на 31 декабря 2018 года, 269 учреждений служ</w:t>
      </w:r>
      <w:r w:rsidR="000A216A">
        <w:rPr>
          <w:rFonts w:ascii="Times New Roman" w:hAnsi="Times New Roman" w:cs="Times New Roman"/>
          <w:sz w:val="28"/>
          <w:szCs w:val="28"/>
        </w:rPr>
        <w:t>бы крови осуществляют работу в е</w:t>
      </w:r>
      <w:r w:rsidRPr="005E58C6">
        <w:rPr>
          <w:rFonts w:ascii="Times New Roman" w:hAnsi="Times New Roman" w:cs="Times New Roman"/>
          <w:sz w:val="28"/>
          <w:szCs w:val="28"/>
        </w:rPr>
        <w:t xml:space="preserve">диной </w:t>
      </w:r>
      <w:r w:rsidR="000A216A">
        <w:rPr>
          <w:rFonts w:ascii="Times New Roman" w:hAnsi="Times New Roman" w:cs="Times New Roman"/>
          <w:sz w:val="28"/>
          <w:szCs w:val="28"/>
        </w:rPr>
        <w:t xml:space="preserve">информационной </w:t>
      </w:r>
      <w:r w:rsidRPr="005E58C6">
        <w:rPr>
          <w:rFonts w:ascii="Times New Roman" w:hAnsi="Times New Roman" w:cs="Times New Roman"/>
          <w:sz w:val="28"/>
          <w:szCs w:val="28"/>
        </w:rPr>
        <w:t>базе донорства, а более 500 специализированных медицинских учреждений передают данные о противопоказаниях к донорству.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Проводятся мероприятия по: </w:t>
      </w:r>
    </w:p>
    <w:p w:rsidR="005E58C6" w:rsidRPr="005E58C6" w:rsidRDefault="000A216A"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техническому сопровождению е</w:t>
      </w:r>
      <w:r w:rsidR="005E58C6" w:rsidRPr="005E58C6">
        <w:rPr>
          <w:rFonts w:ascii="Times New Roman" w:hAnsi="Times New Roman" w:cs="Times New Roman"/>
          <w:sz w:val="28"/>
          <w:szCs w:val="28"/>
        </w:rPr>
        <w:t>диной информационной базы донорства и ее региональных сегментов с технической защитой конфиденциальной информации в части персональных данных доноров крови и ее компонентов;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w:t>
      </w:r>
      <w:r w:rsidR="000A216A">
        <w:rPr>
          <w:rFonts w:ascii="Times New Roman" w:hAnsi="Times New Roman" w:cs="Times New Roman"/>
          <w:sz w:val="28"/>
          <w:szCs w:val="28"/>
        </w:rPr>
        <w:t>нтегрированию и взаимодействию е</w:t>
      </w:r>
      <w:r w:rsidRPr="005E58C6">
        <w:rPr>
          <w:rFonts w:ascii="Times New Roman" w:hAnsi="Times New Roman" w:cs="Times New Roman"/>
          <w:sz w:val="28"/>
          <w:szCs w:val="28"/>
        </w:rPr>
        <w:t>диной и</w:t>
      </w:r>
      <w:r w:rsidR="000A216A">
        <w:rPr>
          <w:rFonts w:ascii="Times New Roman" w:hAnsi="Times New Roman" w:cs="Times New Roman"/>
          <w:sz w:val="28"/>
          <w:szCs w:val="28"/>
        </w:rPr>
        <w:t>нформационной базы донорства с е</w:t>
      </w:r>
      <w:r w:rsidRPr="005E58C6">
        <w:rPr>
          <w:rFonts w:ascii="Times New Roman" w:hAnsi="Times New Roman" w:cs="Times New Roman"/>
          <w:sz w:val="28"/>
          <w:szCs w:val="28"/>
        </w:rPr>
        <w:t>диной государственной информационной системой в сфере здравоохранения, Единой государственной информационной сис</w:t>
      </w:r>
      <w:r w:rsidR="000A216A">
        <w:rPr>
          <w:rFonts w:ascii="Times New Roman" w:hAnsi="Times New Roman" w:cs="Times New Roman"/>
          <w:sz w:val="28"/>
          <w:szCs w:val="28"/>
        </w:rPr>
        <w:t>темой социального обеспечения, г</w:t>
      </w:r>
      <w:r w:rsidRPr="005E58C6">
        <w:rPr>
          <w:rFonts w:ascii="Times New Roman" w:hAnsi="Times New Roman" w:cs="Times New Roman"/>
          <w:sz w:val="28"/>
          <w:szCs w:val="28"/>
        </w:rPr>
        <w:t>осударственной системой обнаружения, предупреждения и ликвидации последствий компьютерных атак;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обеспечению безопасности объектов критической информационной структуры.</w:t>
      </w:r>
    </w:p>
    <w:p w:rsidR="005E58C6" w:rsidRPr="000E4B58" w:rsidRDefault="005E58C6" w:rsidP="005E58C6">
      <w:pPr>
        <w:widowControl w:val="0"/>
        <w:spacing w:after="0" w:line="312" w:lineRule="auto"/>
        <w:ind w:firstLine="709"/>
        <w:jc w:val="both"/>
        <w:rPr>
          <w:rFonts w:ascii="Times New Roman" w:hAnsi="Times New Roman" w:cs="Times New Roman"/>
          <w:i/>
          <w:sz w:val="28"/>
          <w:szCs w:val="28"/>
        </w:rPr>
      </w:pPr>
      <w:r w:rsidRPr="000E4B58">
        <w:rPr>
          <w:rFonts w:ascii="Times New Roman" w:hAnsi="Times New Roman" w:cs="Times New Roman"/>
          <w:i/>
          <w:sz w:val="28"/>
          <w:szCs w:val="28"/>
        </w:rPr>
        <w:t>Реализация мероприятий по пропаганде и привлечению безвозмездных доноров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Консолидированная коммуникационная кампания, включающая в себя ряд федеральных и региональных мероприятий, уникальную инфраструктуру </w:t>
      </w:r>
      <w:r w:rsidRPr="005E58C6">
        <w:rPr>
          <w:rFonts w:ascii="Times New Roman" w:hAnsi="Times New Roman" w:cs="Times New Roman"/>
          <w:sz w:val="28"/>
          <w:szCs w:val="28"/>
        </w:rPr>
        <w:lastRenderedPageBreak/>
        <w:t>службы крови, состоящую из единого информационного ресурса www.yadonor.ru и круглосуточной единой федеральной телефонной справочной службы по номеру 8 800 333 3330, во многом способствовала формированию определенных традиций в учреждениях службы крови, а также вызвала широкий общественный резонанс</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помогла вовлечь в донорское движение людей, которые никогда ранее не представляли себя в качестве донора.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Основным направлением работы службы крови является сохранение тенденций устойчивого развития отрасли, а также поддержание регулярного донорства крови и ее компонентов для обеспечения медицинских организаций необходимым объемом наиболее безопасных и эффективных компонентов и препаратов крови отечественного производства.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ФМБА России выступило соорганизатором IX Всероссийского конкурса социальной рекламы «Новый взгляд» по специальной теме «Ответственный донор», реализуемого при поддержке Межрегионального общественного фонда «Мир молодежи».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7 декабря 2018 г. в г. Сочи состоялся XI Всероссийский Форум Службы крови. В рамках его проведения прошла церемония награждения победителей конкурса профессионального мастерства среди региональных станций переливания крови.</w:t>
      </w:r>
    </w:p>
    <w:p w:rsidR="005E58C6" w:rsidRPr="000E4B58" w:rsidRDefault="005E58C6" w:rsidP="005E58C6">
      <w:pPr>
        <w:widowControl w:val="0"/>
        <w:spacing w:after="0" w:line="312" w:lineRule="auto"/>
        <w:ind w:firstLine="709"/>
        <w:jc w:val="both"/>
        <w:rPr>
          <w:rFonts w:ascii="Times New Roman" w:hAnsi="Times New Roman" w:cs="Times New Roman"/>
          <w:i/>
          <w:sz w:val="28"/>
          <w:szCs w:val="28"/>
        </w:rPr>
      </w:pPr>
      <w:r w:rsidRPr="000E4B58">
        <w:rPr>
          <w:rFonts w:ascii="Times New Roman" w:hAnsi="Times New Roman" w:cs="Times New Roman"/>
          <w:i/>
          <w:sz w:val="28"/>
          <w:szCs w:val="28"/>
        </w:rPr>
        <w:t>Реализация полномочий по предоставлению субвенций на осуществление ежегодной денежной выплаты лицам, награжденным нагрудным знаком «Почетный донор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 2014 года ФМБА России осуществляет полномочия по предоставлению субвенций из федерального бюджета бюджетам субъектов Российской Федерации на осуществление ежегодной денежной выплаты лицам, награжденным нагрудным знаком «Почетный донор России» в соответствии с постановлением Правительства Российской Федерации от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9 марта 2013 г. </w:t>
      </w:r>
      <w:r>
        <w:rPr>
          <w:rFonts w:ascii="Times New Roman" w:hAnsi="Times New Roman" w:cs="Times New Roman"/>
          <w:sz w:val="28"/>
          <w:szCs w:val="28"/>
        </w:rPr>
        <w:t>№ </w:t>
      </w:r>
      <w:r w:rsidRPr="005E58C6">
        <w:rPr>
          <w:rFonts w:ascii="Times New Roman" w:hAnsi="Times New Roman" w:cs="Times New Roman"/>
          <w:sz w:val="28"/>
          <w:szCs w:val="28"/>
        </w:rPr>
        <w:t>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осуществление ежегодной денежной выплаты в размере 13 562 руб.    в субъекты Российской  Федерации в 2018 году перечислено 8 235 729,5 тыс. </w:t>
      </w:r>
      <w:r w:rsidRPr="005E58C6">
        <w:rPr>
          <w:rFonts w:ascii="Times New Roman" w:hAnsi="Times New Roman" w:cs="Times New Roman"/>
          <w:sz w:val="28"/>
          <w:szCs w:val="28"/>
        </w:rPr>
        <w:lastRenderedPageBreak/>
        <w:t>рублей на запланированную численность 589 938 человек.</w:t>
      </w:r>
    </w:p>
    <w:p w:rsidR="005E58C6" w:rsidRPr="000E4B58" w:rsidRDefault="005E58C6" w:rsidP="005E58C6">
      <w:pPr>
        <w:widowControl w:val="0"/>
        <w:spacing w:after="0" w:line="312" w:lineRule="auto"/>
        <w:ind w:firstLine="709"/>
        <w:jc w:val="both"/>
        <w:rPr>
          <w:rFonts w:ascii="Times New Roman" w:hAnsi="Times New Roman" w:cs="Times New Roman"/>
          <w:i/>
          <w:sz w:val="28"/>
          <w:szCs w:val="28"/>
        </w:rPr>
      </w:pPr>
      <w:r w:rsidRPr="000E4B58">
        <w:rPr>
          <w:rFonts w:ascii="Times New Roman" w:hAnsi="Times New Roman" w:cs="Times New Roman"/>
          <w:i/>
          <w:sz w:val="28"/>
          <w:szCs w:val="28"/>
        </w:rPr>
        <w:t xml:space="preserve">Исполнение государственного задания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2018 года ФМБА России проводит масштабную работу по безвозмездному обеспечению организаций, подведомственных федеральным органам исполнительной власти, компонентами донорской крови для клинического использования.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основании полученных данных от органов исполнительной власти о потребности подведомственных учреждений в компонентах крови был сформирован и утвержден  план безвозмездного обеспечения компонентами крови, в котором потребность 193 федеральных учреждений учтена в полном объеме.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рамках установленного госуд</w:t>
      </w:r>
      <w:r w:rsidR="000A216A">
        <w:rPr>
          <w:rFonts w:ascii="Times New Roman" w:hAnsi="Times New Roman" w:cs="Times New Roman"/>
          <w:sz w:val="28"/>
          <w:szCs w:val="28"/>
        </w:rPr>
        <w:t>арственного задания работы по з</w:t>
      </w:r>
      <w:r w:rsidRPr="005E58C6">
        <w:rPr>
          <w:rFonts w:ascii="Times New Roman" w:hAnsi="Times New Roman" w:cs="Times New Roman"/>
          <w:sz w:val="28"/>
          <w:szCs w:val="28"/>
        </w:rPr>
        <w:t>аготовке, хранению, транспортировке и обеспечению безопасности донорской крови и ее компонентов</w:t>
      </w:r>
      <w:r w:rsidR="000A216A">
        <w:rPr>
          <w:rFonts w:ascii="Times New Roman" w:hAnsi="Times New Roman" w:cs="Times New Roman"/>
          <w:sz w:val="28"/>
          <w:szCs w:val="28"/>
        </w:rPr>
        <w:t xml:space="preserve"> </w:t>
      </w:r>
      <w:r w:rsidRPr="005E58C6">
        <w:rPr>
          <w:rFonts w:ascii="Times New Roman" w:hAnsi="Times New Roman" w:cs="Times New Roman"/>
          <w:sz w:val="28"/>
          <w:szCs w:val="28"/>
        </w:rPr>
        <w:t>выполнены 5 федеральными  государственными бюджетными учреждениями ФМБА России и                              19 отделениями переливания крови</w:t>
      </w:r>
      <w:r w:rsidR="000A216A">
        <w:rPr>
          <w:rFonts w:ascii="Times New Roman" w:hAnsi="Times New Roman" w:cs="Times New Roman"/>
          <w:sz w:val="28"/>
          <w:szCs w:val="28"/>
        </w:rPr>
        <w:t>.</w:t>
      </w:r>
      <w:r w:rsidRPr="005E58C6">
        <w:rPr>
          <w:rFonts w:ascii="Times New Roman" w:hAnsi="Times New Roman" w:cs="Times New Roman"/>
          <w:sz w:val="28"/>
          <w:szCs w:val="28"/>
        </w:rPr>
        <w:t xml:space="preserve"> </w:t>
      </w:r>
      <w:r w:rsidR="000A216A">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учреждения службы крови, подведомственные ФМБА России, компонентами донорской крови безвозмездно обеспечили                              69 федеральных учреждений различной ведомственной подчиненности.</w:t>
      </w:r>
    </w:p>
    <w:p w:rsidR="005E58C6" w:rsidRPr="005E58C6" w:rsidRDefault="005E58C6" w:rsidP="000A216A">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Объем заготовленной цельной донорской крови составил более                          186 тыс. литров, что на 19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уровня 2017 года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выполнение планового значения).</w:t>
      </w:r>
    </w:p>
    <w:p w:rsidR="005E58C6" w:rsidRPr="000E4B58" w:rsidRDefault="005E58C6" w:rsidP="005E58C6">
      <w:pPr>
        <w:widowControl w:val="0"/>
        <w:spacing w:after="0" w:line="312" w:lineRule="auto"/>
        <w:ind w:firstLine="709"/>
        <w:jc w:val="both"/>
        <w:rPr>
          <w:rFonts w:ascii="Times New Roman" w:hAnsi="Times New Roman" w:cs="Times New Roman"/>
          <w:b/>
          <w:i/>
          <w:sz w:val="28"/>
          <w:szCs w:val="28"/>
        </w:rPr>
      </w:pPr>
      <w:r w:rsidRPr="000E4B58">
        <w:rPr>
          <w:rFonts w:ascii="Times New Roman" w:hAnsi="Times New Roman" w:cs="Times New Roman"/>
          <w:b/>
          <w:i/>
          <w:sz w:val="28"/>
          <w:szCs w:val="28"/>
        </w:rPr>
        <w:t xml:space="preserve">Оказание высокотехнологичной медицинской помощи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плановый объем высокотехнологичной медицинской помощи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ВМП) составил 1 087 тыс. пациентов, фактически пролечено 1 131 тыс. пациентов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1 047 тыс. пациентов). Доля пациентов, проживающих в сельской местности, от общего числа пациентов, которым оказана ВМП, составила 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или 305 тыс. человек.</w:t>
      </w:r>
    </w:p>
    <w:p w:rsidR="005E58C6" w:rsidRPr="009C5CF7" w:rsidRDefault="009C5CF7" w:rsidP="009C5CF7">
      <w:pPr>
        <w:widowControl w:val="0"/>
        <w:spacing w:after="0" w:line="312" w:lineRule="auto"/>
        <w:ind w:firstLine="709"/>
        <w:jc w:val="both"/>
        <w:rPr>
          <w:rFonts w:ascii="Times New Roman" w:hAnsi="Times New Roman"/>
          <w:sz w:val="28"/>
          <w:szCs w:val="28"/>
        </w:rPr>
      </w:pPr>
      <w:r w:rsidRPr="009C5CF7">
        <w:rPr>
          <w:rFonts w:ascii="Times New Roman" w:hAnsi="Times New Roman"/>
          <w:sz w:val="28"/>
          <w:szCs w:val="28"/>
        </w:rPr>
        <w:t>В 2018 году по сравнению с 2017 годом на 8,0 % увеличилось количество медицинских организаций, оказывающих ВМП в рамках базовой программы обязательного медицинского страхования, и составило 1 085 медицинские организации. ВМП, не включенная в базовую программу обязательного медицинского страхования, оказывалась  в 137 федеральных государственных учреждениях и 441 медицинской организации 75 субъектов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В 2018 году в целях поэтапного расширения перечня видов и повышения доступности ВМП, оказываемой в рамках базовой  программы обязательного медицинского </w:t>
      </w:r>
      <w:r w:rsidRPr="009C5CF7">
        <w:rPr>
          <w:rFonts w:ascii="Times New Roman" w:hAnsi="Times New Roman" w:cs="Times New Roman"/>
          <w:sz w:val="28"/>
          <w:szCs w:val="28"/>
        </w:rPr>
        <w:t>страхования,</w:t>
      </w:r>
      <w:r w:rsidR="009C5CF7" w:rsidRPr="009C5CF7">
        <w:rPr>
          <w:rFonts w:ascii="Times New Roman" w:hAnsi="Times New Roman"/>
          <w:sz w:val="28"/>
          <w:szCs w:val="28"/>
        </w:rPr>
        <w:t xml:space="preserve"> в вышеназванный перечень включены</w:t>
      </w:r>
      <w:r w:rsidRPr="009C5CF7">
        <w:rPr>
          <w:rFonts w:ascii="Times New Roman" w:hAnsi="Times New Roman" w:cs="Times New Roman"/>
          <w:sz w:val="28"/>
          <w:szCs w:val="28"/>
        </w:rPr>
        <w:t xml:space="preserve"> </w:t>
      </w:r>
      <w:r w:rsidR="009C5CF7" w:rsidRPr="009C5CF7">
        <w:rPr>
          <w:rFonts w:ascii="Times New Roman" w:hAnsi="Times New Roman" w:cs="Times New Roman"/>
          <w:sz w:val="28"/>
          <w:szCs w:val="28"/>
        </w:rPr>
        <w:t xml:space="preserve"> </w:t>
      </w:r>
      <w:r w:rsidRPr="009C5CF7">
        <w:rPr>
          <w:rFonts w:ascii="Times New Roman" w:hAnsi="Times New Roman" w:cs="Times New Roman"/>
          <w:sz w:val="28"/>
          <w:szCs w:val="28"/>
        </w:rPr>
        <w:t>дополнительно 6 методов ВМП по п</w:t>
      </w:r>
      <w:r w:rsidRPr="005E58C6">
        <w:rPr>
          <w:rFonts w:ascii="Times New Roman" w:hAnsi="Times New Roman" w:cs="Times New Roman"/>
          <w:sz w:val="28"/>
          <w:szCs w:val="28"/>
        </w:rPr>
        <w:t xml:space="preserve">рофилям «Комбустиология», «Нейрохирургия», «Сердечно-сосудистая хирургия» и «Травматология и ортопедия». </w:t>
      </w:r>
    </w:p>
    <w:p w:rsidR="005E58C6" w:rsidRPr="000C62C8" w:rsidRDefault="005E58C6" w:rsidP="005E58C6">
      <w:pPr>
        <w:widowControl w:val="0"/>
        <w:spacing w:after="0" w:line="312" w:lineRule="auto"/>
        <w:ind w:firstLine="709"/>
        <w:jc w:val="both"/>
        <w:rPr>
          <w:rFonts w:ascii="Times New Roman" w:hAnsi="Times New Roman" w:cs="Times New Roman"/>
          <w:i/>
          <w:sz w:val="28"/>
          <w:szCs w:val="28"/>
        </w:rPr>
      </w:pPr>
      <w:r w:rsidRPr="000C62C8">
        <w:rPr>
          <w:rFonts w:ascii="Times New Roman" w:hAnsi="Times New Roman" w:cs="Times New Roman"/>
          <w:i/>
          <w:sz w:val="28"/>
          <w:szCs w:val="28"/>
        </w:rPr>
        <w:t xml:space="preserve"> Обеспечение высокотехнологичной медицинской помощи, включенной в базовую программу обязательного медицинского страхования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Высокотехнологичная медицинская помощь в рамках базовой программы ОМС в 2018 году оказывалась 1 085 медицинскими организациями,    в том числе: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150 федеральными государственными учреждениями;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813 медицинскими организациями, подведомственными органам государственной власти субъектов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122 медицинскими организациями негосударственной формы собственности.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Наибольшие объемы ВМП выполнены в г. Москве (98</w:t>
      </w:r>
      <w:r w:rsidR="007423A6">
        <w:rPr>
          <w:rFonts w:ascii="Times New Roman" w:hAnsi="Times New Roman" w:cs="Times New Roman"/>
          <w:sz w:val="28"/>
          <w:szCs w:val="28"/>
        </w:rPr>
        <w:t> </w:t>
      </w:r>
      <w:r w:rsidRPr="005E58C6">
        <w:rPr>
          <w:rFonts w:ascii="Times New Roman" w:hAnsi="Times New Roman" w:cs="Times New Roman"/>
          <w:sz w:val="28"/>
          <w:szCs w:val="28"/>
        </w:rPr>
        <w:t>168 госпитализа</w:t>
      </w:r>
      <w:r w:rsidR="007423A6">
        <w:rPr>
          <w:rFonts w:ascii="Times New Roman" w:hAnsi="Times New Roman" w:cs="Times New Roman"/>
          <w:sz w:val="28"/>
          <w:szCs w:val="28"/>
        </w:rPr>
        <w:t>ций), в г. Санкт-Петербурге (53 </w:t>
      </w:r>
      <w:r w:rsidRPr="005E58C6">
        <w:rPr>
          <w:rFonts w:ascii="Times New Roman" w:hAnsi="Times New Roman" w:cs="Times New Roman"/>
          <w:sz w:val="28"/>
          <w:szCs w:val="28"/>
        </w:rPr>
        <w:t>709 госпитализаций), Московской области (31</w:t>
      </w:r>
      <w:r w:rsidR="007423A6">
        <w:rPr>
          <w:rFonts w:ascii="Times New Roman" w:hAnsi="Times New Roman" w:cs="Times New Roman"/>
          <w:sz w:val="28"/>
          <w:szCs w:val="28"/>
        </w:rPr>
        <w:t> </w:t>
      </w:r>
      <w:r w:rsidRPr="005E58C6">
        <w:rPr>
          <w:rFonts w:ascii="Times New Roman" w:hAnsi="Times New Roman" w:cs="Times New Roman"/>
          <w:sz w:val="28"/>
          <w:szCs w:val="28"/>
        </w:rPr>
        <w:t>264 госпитализации), Краснодарском крае (19</w:t>
      </w:r>
      <w:r w:rsidR="007423A6">
        <w:rPr>
          <w:rFonts w:ascii="Times New Roman" w:hAnsi="Times New Roman" w:cs="Times New Roman"/>
          <w:sz w:val="28"/>
          <w:szCs w:val="28"/>
        </w:rPr>
        <w:t> </w:t>
      </w:r>
      <w:r w:rsidRPr="005E58C6">
        <w:rPr>
          <w:rFonts w:ascii="Times New Roman" w:hAnsi="Times New Roman" w:cs="Times New Roman"/>
          <w:sz w:val="28"/>
          <w:szCs w:val="28"/>
        </w:rPr>
        <w:t>538 госпитализаций), а также в Республике Башкортостан (17</w:t>
      </w:r>
      <w:r w:rsidR="007423A6">
        <w:rPr>
          <w:rFonts w:ascii="Times New Roman" w:hAnsi="Times New Roman" w:cs="Times New Roman"/>
          <w:sz w:val="28"/>
          <w:szCs w:val="28"/>
        </w:rPr>
        <w:t> </w:t>
      </w:r>
      <w:r w:rsidRPr="005E58C6">
        <w:rPr>
          <w:rFonts w:ascii="Times New Roman" w:hAnsi="Times New Roman" w:cs="Times New Roman"/>
          <w:sz w:val="28"/>
          <w:szCs w:val="28"/>
        </w:rPr>
        <w:t xml:space="preserve">791 госпитализация).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ВМП оказывалась </w:t>
      </w:r>
      <w:r w:rsidR="009D3014" w:rsidRPr="009D3014">
        <w:rPr>
          <w:rFonts w:ascii="Times New Roman" w:hAnsi="Times New Roman" w:cs="Times New Roman"/>
          <w:sz w:val="28"/>
          <w:szCs w:val="28"/>
        </w:rPr>
        <w:t xml:space="preserve">в </w:t>
      </w:r>
      <w:r w:rsidR="009D3014" w:rsidRPr="009D3014">
        <w:rPr>
          <w:rFonts w:ascii="Times New Roman CYR" w:hAnsi="Times New Roman CYR"/>
          <w:sz w:val="28"/>
          <w:szCs w:val="28"/>
        </w:rPr>
        <w:t>медицинских  организациях</w:t>
      </w:r>
      <w:r w:rsidR="009D3014" w:rsidRPr="009D3014">
        <w:rPr>
          <w:rFonts w:ascii="Times New Roman" w:hAnsi="Times New Roman" w:cs="Times New Roman"/>
          <w:sz w:val="28"/>
          <w:szCs w:val="28"/>
        </w:rPr>
        <w:t xml:space="preserve"> 83 субъектов</w:t>
      </w:r>
      <w:r w:rsidRPr="009D3014">
        <w:rPr>
          <w:rFonts w:ascii="Times New Roman" w:hAnsi="Times New Roman" w:cs="Times New Roman"/>
          <w:sz w:val="28"/>
          <w:szCs w:val="28"/>
        </w:rPr>
        <w:t xml:space="preserve"> Российской Федерации. Оказание ВМП не осуществля</w:t>
      </w:r>
      <w:r w:rsidR="009D3014" w:rsidRPr="009D3014">
        <w:rPr>
          <w:rFonts w:ascii="Times New Roman" w:hAnsi="Times New Roman" w:cs="Times New Roman"/>
          <w:sz w:val="28"/>
          <w:szCs w:val="28"/>
        </w:rPr>
        <w:t>лось в</w:t>
      </w:r>
      <w:r w:rsidRPr="009D3014">
        <w:rPr>
          <w:rFonts w:ascii="Times New Roman" w:hAnsi="Times New Roman" w:cs="Times New Roman"/>
          <w:sz w:val="28"/>
          <w:szCs w:val="28"/>
        </w:rPr>
        <w:t xml:space="preserve"> </w:t>
      </w:r>
      <w:r w:rsidR="009D3014" w:rsidRPr="009D3014">
        <w:rPr>
          <w:rFonts w:ascii="Times New Roman CYR" w:hAnsi="Times New Roman CYR"/>
          <w:sz w:val="28"/>
          <w:szCs w:val="28"/>
        </w:rPr>
        <w:t xml:space="preserve">медицинских  организациях, </w:t>
      </w:r>
      <w:r w:rsidR="009D3014">
        <w:rPr>
          <w:rFonts w:ascii="Times New Roman CYR" w:hAnsi="Times New Roman CYR"/>
          <w:sz w:val="28"/>
          <w:szCs w:val="28"/>
        </w:rPr>
        <w:t xml:space="preserve"> </w:t>
      </w:r>
      <w:r w:rsidR="009D3014" w:rsidRPr="009D3014">
        <w:rPr>
          <w:rFonts w:ascii="Times New Roman CYR" w:hAnsi="Times New Roman CYR"/>
          <w:sz w:val="28"/>
          <w:szCs w:val="28"/>
        </w:rPr>
        <w:t>расположенных в</w:t>
      </w:r>
      <w:r w:rsidR="009D3014" w:rsidRPr="009D3014">
        <w:rPr>
          <w:rFonts w:ascii="Times New Roman" w:hAnsi="Times New Roman" w:cs="Times New Roman"/>
          <w:sz w:val="28"/>
          <w:szCs w:val="28"/>
        </w:rPr>
        <w:t xml:space="preserve"> </w:t>
      </w:r>
      <w:r w:rsidRPr="009D3014">
        <w:rPr>
          <w:rFonts w:ascii="Times New Roman" w:hAnsi="Times New Roman" w:cs="Times New Roman"/>
          <w:sz w:val="28"/>
          <w:szCs w:val="28"/>
        </w:rPr>
        <w:t>Ненецком</w:t>
      </w:r>
      <w:r w:rsidRPr="005E58C6">
        <w:rPr>
          <w:rFonts w:ascii="Times New Roman" w:hAnsi="Times New Roman" w:cs="Times New Roman"/>
          <w:sz w:val="28"/>
          <w:szCs w:val="28"/>
        </w:rPr>
        <w:t xml:space="preserve"> и Чукотском автономных округах, а также в г. Байконур. Оказание ВМП лицам, застрахованным в указанных субъектах Российской Федерации, осуществлялось в других регионах и оплачивалось в рамках межтерриториальных взаиморасчетов.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Застрахованным лицам в Еврейской автономной области проведено 285 госпитализаций, в Ненецком автономном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164 госпитализации, Чукотском автономном о</w:t>
      </w:r>
      <w:r w:rsidR="009D3014">
        <w:rPr>
          <w:rFonts w:ascii="Times New Roman" w:hAnsi="Times New Roman" w:cs="Times New Roman"/>
          <w:sz w:val="28"/>
          <w:szCs w:val="28"/>
        </w:rPr>
        <w:t>круге  - 86 госпитализаций</w:t>
      </w:r>
      <w:r w:rsidRPr="005E58C6">
        <w:rPr>
          <w:rFonts w:ascii="Times New Roman" w:hAnsi="Times New Roman" w:cs="Times New Roman"/>
          <w:sz w:val="28"/>
          <w:szCs w:val="28"/>
        </w:rPr>
        <w:t>, в г. Байконуре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90 госпитализаций.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структуре выполненных объемов ВМП наибольшее количество госпитализаций оказано по профилям медицинской помощи: сердечно-сосудистая хирургия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общего количества госпитализаций; травматология и ортопедия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17,8</w:t>
      </w:r>
      <w:r w:rsidR="00000709">
        <w:rPr>
          <w:rFonts w:ascii="Times New Roman" w:hAnsi="Times New Roman" w:cs="Times New Roman"/>
          <w:sz w:val="28"/>
          <w:szCs w:val="28"/>
        </w:rPr>
        <w:t> %</w:t>
      </w:r>
      <w:r w:rsidRPr="005E58C6">
        <w:rPr>
          <w:rFonts w:ascii="Times New Roman" w:hAnsi="Times New Roman" w:cs="Times New Roman"/>
          <w:sz w:val="28"/>
          <w:szCs w:val="28"/>
        </w:rPr>
        <w:t>; онкология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офтальмология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w:t>
      </w:r>
      <w:r w:rsidRPr="005E58C6">
        <w:rPr>
          <w:rFonts w:ascii="Times New Roman" w:hAnsi="Times New Roman" w:cs="Times New Roman"/>
          <w:sz w:val="28"/>
          <w:szCs w:val="28"/>
        </w:rPr>
        <w:lastRenderedPageBreak/>
        <w:t>10,0</w:t>
      </w:r>
      <w:r w:rsidR="00000709">
        <w:rPr>
          <w:rFonts w:ascii="Times New Roman" w:hAnsi="Times New Roman" w:cs="Times New Roman"/>
          <w:sz w:val="28"/>
          <w:szCs w:val="28"/>
        </w:rPr>
        <w:t> %</w:t>
      </w:r>
      <w:r w:rsidRPr="005E58C6">
        <w:rPr>
          <w:rFonts w:ascii="Times New Roman" w:hAnsi="Times New Roman" w:cs="Times New Roman"/>
          <w:sz w:val="28"/>
          <w:szCs w:val="28"/>
        </w:rPr>
        <w:t>; нейрохирургия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Средняя длительность одной госпитализации при оказании ВМП в 2018 году составила 10,5 дней (на 4,6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ниже аналогичного показателя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11,0 дней).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Финансовое обеспечение ВМП в рамках базовой программы обязательного медицинского страхования составило 95 314 887,5 тыс. рублей или 106,9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утвержденной стоимости, что на 22,2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в сравнении с 2017 годом (78 025 549.7 тыс. руб.).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Значительный размер финансового обеспечения (более 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общего объема использованных средств ОМС) направлен на оплату ВМП по профилям: сердечно-сосудистая хирургия - 39,8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общего объема использованных средств ОМС); травматология и ортопедия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16,7</w:t>
      </w:r>
      <w:r w:rsidR="00000709">
        <w:rPr>
          <w:rFonts w:ascii="Times New Roman" w:hAnsi="Times New Roman" w:cs="Times New Roman"/>
          <w:sz w:val="28"/>
          <w:szCs w:val="28"/>
        </w:rPr>
        <w:t> %</w:t>
      </w:r>
      <w:r w:rsidRPr="005E58C6">
        <w:rPr>
          <w:rFonts w:ascii="Times New Roman" w:hAnsi="Times New Roman" w:cs="Times New Roman"/>
          <w:sz w:val="28"/>
          <w:szCs w:val="28"/>
        </w:rPr>
        <w:t>; онкология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10,7</w:t>
      </w:r>
      <w:r w:rsidR="00000709">
        <w:rPr>
          <w:rFonts w:ascii="Times New Roman" w:hAnsi="Times New Roman" w:cs="Times New Roman"/>
          <w:sz w:val="28"/>
          <w:szCs w:val="28"/>
        </w:rPr>
        <w:t> %</w:t>
      </w:r>
      <w:r w:rsidRPr="005E58C6">
        <w:rPr>
          <w:rFonts w:ascii="Times New Roman" w:hAnsi="Times New Roman" w:cs="Times New Roman"/>
          <w:sz w:val="28"/>
          <w:szCs w:val="28"/>
        </w:rPr>
        <w:t>; нейрохирургия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Средняя стоимость одной госпитализации при оказании ВМП в целом по Российской Федерации в 2018 году составила 155,4 тыс. рублей, что на 7,8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в сравнении с 2017 годом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144,2 тыс. рублей). </w:t>
      </w:r>
    </w:p>
    <w:p w:rsidR="005E58C6" w:rsidRPr="007423A6" w:rsidRDefault="005E58C6" w:rsidP="005E58C6">
      <w:pPr>
        <w:widowControl w:val="0"/>
        <w:spacing w:after="0" w:line="312" w:lineRule="auto"/>
        <w:ind w:firstLine="709"/>
        <w:jc w:val="both"/>
        <w:rPr>
          <w:rFonts w:ascii="Times New Roman" w:hAnsi="Times New Roman" w:cs="Times New Roman"/>
          <w:i/>
          <w:sz w:val="28"/>
          <w:szCs w:val="28"/>
        </w:rPr>
      </w:pPr>
      <w:r w:rsidRPr="005E58C6">
        <w:rPr>
          <w:rFonts w:ascii="Times New Roman" w:hAnsi="Times New Roman" w:cs="Times New Roman"/>
          <w:sz w:val="28"/>
          <w:szCs w:val="28"/>
        </w:rPr>
        <w:t xml:space="preserve">  </w:t>
      </w:r>
      <w:r w:rsidRPr="007423A6">
        <w:rPr>
          <w:rFonts w:ascii="Times New Roman" w:hAnsi="Times New Roman" w:cs="Times New Roman"/>
          <w:i/>
          <w:sz w:val="28"/>
          <w:szCs w:val="28"/>
        </w:rPr>
        <w:t>Обеспечение высокотехнологичной медицинской помощи, не включенной в базовую программу обязательного медицинского страхования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на оказание ВМП, не включенной в базовую программу ОМС, из бюджета Федерального фонда обязательного медицинского страхования направлено 100 757 228,0 тыс. рублей, в том числе: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94</w:t>
      </w:r>
      <w:r w:rsidR="007423A6">
        <w:rPr>
          <w:rFonts w:ascii="Times New Roman" w:hAnsi="Times New Roman" w:cs="Times New Roman"/>
          <w:sz w:val="28"/>
          <w:szCs w:val="28"/>
        </w:rPr>
        <w:t> </w:t>
      </w:r>
      <w:r w:rsidRPr="005E58C6">
        <w:rPr>
          <w:rFonts w:ascii="Times New Roman" w:hAnsi="Times New Roman" w:cs="Times New Roman"/>
          <w:sz w:val="28"/>
          <w:szCs w:val="28"/>
        </w:rPr>
        <w:t>517</w:t>
      </w:r>
      <w:r w:rsidR="007423A6">
        <w:rPr>
          <w:rFonts w:ascii="Times New Roman" w:hAnsi="Times New Roman" w:cs="Times New Roman"/>
          <w:sz w:val="28"/>
          <w:szCs w:val="28"/>
        </w:rPr>
        <w:t> </w:t>
      </w:r>
      <w:r w:rsidRPr="005E58C6">
        <w:rPr>
          <w:rFonts w:ascii="Times New Roman" w:hAnsi="Times New Roman" w:cs="Times New Roman"/>
          <w:sz w:val="28"/>
          <w:szCs w:val="28"/>
        </w:rPr>
        <w:t>228,0 тыс. рублей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субсидии ФГУ на финансовое обеспечение выполнения ими государственного задания на оказание ВМП, не включенной в базовую программу обязательного медицинского страхования, гражданам Российской Федерации; </w:t>
      </w:r>
    </w:p>
    <w:p w:rsidR="005E58C6" w:rsidRPr="005E58C6" w:rsidRDefault="007423A6"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5E58C6" w:rsidRPr="005E58C6">
        <w:rPr>
          <w:rFonts w:ascii="Times New Roman" w:hAnsi="Times New Roman" w:cs="Times New Roman"/>
          <w:sz w:val="28"/>
          <w:szCs w:val="28"/>
        </w:rPr>
        <w:t>240</w:t>
      </w:r>
      <w:r>
        <w:rPr>
          <w:rFonts w:ascii="Times New Roman" w:hAnsi="Times New Roman" w:cs="Times New Roman"/>
          <w:sz w:val="28"/>
          <w:szCs w:val="28"/>
        </w:rPr>
        <w:t> </w:t>
      </w:r>
      <w:r w:rsidR="005E58C6" w:rsidRPr="005E58C6">
        <w:rPr>
          <w:rFonts w:ascii="Times New Roman" w:hAnsi="Times New Roman" w:cs="Times New Roman"/>
          <w:sz w:val="28"/>
          <w:szCs w:val="28"/>
        </w:rPr>
        <w:t>000,0 тыс. рублей</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 xml:space="preserve">дотация федеральному бюджету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ВМП, не включенной в базовую программу ОМС, гражданам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оказание ВМП, не включенной в базовую программу ОМС, осуществлялось в 13</w:t>
      </w:r>
      <w:r w:rsidR="009D3014">
        <w:rPr>
          <w:rFonts w:ascii="Times New Roman" w:hAnsi="Times New Roman" w:cs="Times New Roman"/>
          <w:sz w:val="28"/>
          <w:szCs w:val="28"/>
        </w:rPr>
        <w:t>7</w:t>
      </w:r>
      <w:r w:rsidRPr="005E58C6">
        <w:rPr>
          <w:rFonts w:ascii="Times New Roman" w:hAnsi="Times New Roman" w:cs="Times New Roman"/>
          <w:sz w:val="28"/>
          <w:szCs w:val="28"/>
        </w:rPr>
        <w:t xml:space="preserve"> ФГУ,  441 медицинской организации 75 субъектов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структуре выполненных объемов ВМП, не включенной в базовую </w:t>
      </w:r>
      <w:r w:rsidRPr="005E58C6">
        <w:rPr>
          <w:rFonts w:ascii="Times New Roman" w:hAnsi="Times New Roman" w:cs="Times New Roman"/>
          <w:sz w:val="28"/>
          <w:szCs w:val="28"/>
        </w:rPr>
        <w:lastRenderedPageBreak/>
        <w:t>программу обязательного медицинского страхования, по профилям оказания медицинской помощи наибольшие объемы занимают сердечно-сосудистая хирургия (27,3</w:t>
      </w:r>
      <w:r w:rsidR="00000709">
        <w:rPr>
          <w:rFonts w:ascii="Times New Roman" w:hAnsi="Times New Roman" w:cs="Times New Roman"/>
          <w:sz w:val="28"/>
          <w:szCs w:val="28"/>
        </w:rPr>
        <w:t> %</w:t>
      </w:r>
      <w:r w:rsidRPr="005E58C6">
        <w:rPr>
          <w:rFonts w:ascii="Times New Roman" w:hAnsi="Times New Roman" w:cs="Times New Roman"/>
          <w:sz w:val="28"/>
          <w:szCs w:val="28"/>
        </w:rPr>
        <w:t>), травматология и ортопедия (20,0</w:t>
      </w:r>
      <w:r w:rsidR="00000709">
        <w:rPr>
          <w:rFonts w:ascii="Times New Roman" w:hAnsi="Times New Roman" w:cs="Times New Roman"/>
          <w:sz w:val="28"/>
          <w:szCs w:val="28"/>
        </w:rPr>
        <w:t> %</w:t>
      </w:r>
      <w:r w:rsidRPr="005E58C6">
        <w:rPr>
          <w:rFonts w:ascii="Times New Roman" w:hAnsi="Times New Roman" w:cs="Times New Roman"/>
          <w:sz w:val="28"/>
          <w:szCs w:val="28"/>
        </w:rPr>
        <w:t>), онкология (19</w:t>
      </w:r>
      <w:r w:rsidR="00000709">
        <w:rPr>
          <w:rFonts w:ascii="Times New Roman" w:hAnsi="Times New Roman" w:cs="Times New Roman"/>
          <w:sz w:val="28"/>
          <w:szCs w:val="28"/>
        </w:rPr>
        <w:t> %</w:t>
      </w:r>
      <w:r w:rsidRPr="005E58C6">
        <w:rPr>
          <w:rFonts w:ascii="Times New Roman" w:hAnsi="Times New Roman" w:cs="Times New Roman"/>
          <w:sz w:val="28"/>
          <w:szCs w:val="28"/>
        </w:rPr>
        <w:t>) и нейрохирургия (8,6</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ВМП, не включенная в базовую программу ОМС, оказана 517,4   тыс. пациентам, в том числе: в федеральных  медицинских организациях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332,8 тыс. пациентам; в медицинских организациях, подведомственных органам государственной власти субъектов Российской Федерации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184,6   тыс. пациентам. </w:t>
      </w:r>
    </w:p>
    <w:p w:rsidR="009D3014" w:rsidRPr="00E93F97" w:rsidRDefault="009D3014" w:rsidP="009D3014">
      <w:pPr>
        <w:spacing w:after="0"/>
        <w:ind w:firstLine="851"/>
        <w:jc w:val="both"/>
        <w:rPr>
          <w:rFonts w:ascii="Times New Roman CYR" w:hAnsi="Times New Roman CYR"/>
          <w:i/>
          <w:sz w:val="28"/>
          <w:szCs w:val="28"/>
        </w:rPr>
      </w:pPr>
      <w:r w:rsidRPr="009D3014">
        <w:rPr>
          <w:rFonts w:ascii="Times New Roman CYR" w:hAnsi="Times New Roman CYR"/>
          <w:i/>
          <w:sz w:val="28"/>
          <w:szCs w:val="28"/>
        </w:rPr>
        <w:t>Направление граждан Российской Федерации на лечение за пределы Российской Федерации</w:t>
      </w:r>
      <w:r>
        <w:rPr>
          <w:rFonts w:ascii="Times New Roman CYR" w:hAnsi="Times New Roman CYR"/>
          <w:i/>
          <w:sz w:val="28"/>
          <w:szCs w:val="28"/>
        </w:rPr>
        <w:t xml:space="preserve"> за счет средств федерального бюджета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Федеральным законом от 21 ноября 2011 г. </w:t>
      </w:r>
      <w:r>
        <w:rPr>
          <w:rFonts w:ascii="Times New Roman" w:hAnsi="Times New Roman" w:cs="Times New Roman"/>
          <w:sz w:val="28"/>
          <w:szCs w:val="28"/>
        </w:rPr>
        <w:t>№ </w:t>
      </w:r>
      <w:r w:rsidRPr="005E58C6">
        <w:rPr>
          <w:rFonts w:ascii="Times New Roman" w:hAnsi="Times New Roman" w:cs="Times New Roman"/>
          <w:sz w:val="28"/>
          <w:szCs w:val="28"/>
        </w:rPr>
        <w:t>323-ФЗ «Об основах охраны здоровья граждан в Российской Федерации» за счет средств федерального бюджета в 2018 году на лечение за пределы территории Российской Федерации были направлены 10 человек, из них  7 детей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 человек, из них 5 детей).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0A216A" w:rsidRDefault="000A216A" w:rsidP="005E58C6">
      <w:pPr>
        <w:widowControl w:val="0"/>
        <w:spacing w:after="0" w:line="312" w:lineRule="auto"/>
        <w:ind w:firstLine="709"/>
        <w:jc w:val="both"/>
        <w:rPr>
          <w:rFonts w:ascii="Times New Roman" w:hAnsi="Times New Roman" w:cs="Times New Roman"/>
          <w:sz w:val="28"/>
          <w:szCs w:val="28"/>
        </w:rPr>
      </w:pPr>
    </w:p>
    <w:p w:rsidR="000A216A" w:rsidRDefault="000A216A" w:rsidP="005E58C6">
      <w:pPr>
        <w:widowControl w:val="0"/>
        <w:spacing w:after="0" w:line="312" w:lineRule="auto"/>
        <w:ind w:firstLine="709"/>
        <w:jc w:val="both"/>
        <w:rPr>
          <w:rFonts w:ascii="Times New Roman" w:hAnsi="Times New Roman" w:cs="Times New Roman"/>
          <w:sz w:val="28"/>
          <w:szCs w:val="28"/>
        </w:rPr>
      </w:pPr>
    </w:p>
    <w:p w:rsidR="000A216A" w:rsidRDefault="000A216A" w:rsidP="005E58C6">
      <w:pPr>
        <w:widowControl w:val="0"/>
        <w:spacing w:after="0" w:line="312" w:lineRule="auto"/>
        <w:ind w:firstLine="709"/>
        <w:jc w:val="both"/>
        <w:rPr>
          <w:rFonts w:ascii="Times New Roman" w:hAnsi="Times New Roman" w:cs="Times New Roman"/>
          <w:sz w:val="28"/>
          <w:szCs w:val="28"/>
        </w:rPr>
      </w:pPr>
    </w:p>
    <w:p w:rsidR="000A216A" w:rsidRDefault="000A216A" w:rsidP="005E58C6">
      <w:pPr>
        <w:widowControl w:val="0"/>
        <w:spacing w:after="0" w:line="312" w:lineRule="auto"/>
        <w:ind w:firstLine="709"/>
        <w:jc w:val="both"/>
        <w:rPr>
          <w:rFonts w:ascii="Times New Roman" w:hAnsi="Times New Roman" w:cs="Times New Roman"/>
          <w:sz w:val="28"/>
          <w:szCs w:val="28"/>
        </w:rPr>
      </w:pPr>
    </w:p>
    <w:p w:rsidR="000A216A" w:rsidRDefault="000A216A" w:rsidP="005E58C6">
      <w:pPr>
        <w:widowControl w:val="0"/>
        <w:spacing w:after="0" w:line="312" w:lineRule="auto"/>
        <w:ind w:firstLine="709"/>
        <w:jc w:val="both"/>
        <w:rPr>
          <w:rFonts w:ascii="Times New Roman" w:hAnsi="Times New Roman" w:cs="Times New Roman"/>
          <w:sz w:val="28"/>
          <w:szCs w:val="28"/>
        </w:rPr>
      </w:pPr>
    </w:p>
    <w:p w:rsidR="000A216A" w:rsidRDefault="000A216A" w:rsidP="005E58C6">
      <w:pPr>
        <w:widowControl w:val="0"/>
        <w:spacing w:after="0" w:line="312" w:lineRule="auto"/>
        <w:ind w:firstLine="709"/>
        <w:jc w:val="both"/>
        <w:rPr>
          <w:rFonts w:ascii="Times New Roman" w:hAnsi="Times New Roman" w:cs="Times New Roman"/>
          <w:sz w:val="28"/>
          <w:szCs w:val="28"/>
        </w:rPr>
      </w:pPr>
    </w:p>
    <w:p w:rsidR="00F376F5" w:rsidRDefault="00F376F5"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9D3014">
      <w:pPr>
        <w:widowControl w:val="0"/>
        <w:spacing w:after="0" w:line="312" w:lineRule="auto"/>
        <w:jc w:val="both"/>
        <w:rPr>
          <w:rFonts w:ascii="Times New Roman" w:hAnsi="Times New Roman" w:cs="Times New Roman"/>
          <w:sz w:val="28"/>
          <w:szCs w:val="28"/>
        </w:rPr>
      </w:pPr>
    </w:p>
    <w:p w:rsidR="005E58C6" w:rsidRPr="00F376F5" w:rsidRDefault="005E58C6" w:rsidP="005E58C6">
      <w:pPr>
        <w:widowControl w:val="0"/>
        <w:spacing w:after="0" w:line="312" w:lineRule="auto"/>
        <w:ind w:firstLine="709"/>
        <w:jc w:val="both"/>
        <w:rPr>
          <w:rFonts w:ascii="Times New Roman" w:hAnsi="Times New Roman" w:cs="Times New Roman"/>
          <w:b/>
          <w:sz w:val="28"/>
          <w:szCs w:val="28"/>
        </w:rPr>
      </w:pPr>
      <w:r w:rsidRPr="00F376F5">
        <w:rPr>
          <w:rFonts w:ascii="Times New Roman" w:hAnsi="Times New Roman" w:cs="Times New Roman"/>
          <w:b/>
          <w:sz w:val="28"/>
          <w:szCs w:val="28"/>
        </w:rPr>
        <w:lastRenderedPageBreak/>
        <w:t>подраздел 6.3 Скорая, в том числе скорая специализированная, медицинская помощь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в  Российской  Федерации функционировали 2 276 станций (отделений) скорой медицинской помощи, работали 14 398   врачей, 91 621   медицинский работник  со средним медицинским образованием, 2 194    младшего медицинского персонала и 58 141 -  прочего персонала.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Работу станций (отделений) скорой медицинской помощи Российской  Федерации обеспечивали  19 947 автомобилей скорой медицинской помощи, из них 35,6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имели срок эксплуатации до 3 лет, 17,4</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от 3 до 5 лет, 47</w:t>
      </w:r>
      <w:r w:rsidR="00000709">
        <w:rPr>
          <w:rFonts w:ascii="Times New Roman" w:hAnsi="Times New Roman" w:cs="Times New Roman"/>
          <w:sz w:val="28"/>
          <w:szCs w:val="28"/>
        </w:rPr>
        <w:t>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более 5 лет.</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выполнено 43,98 млн выездов бригад скорой медицинской помощи. Медицинская помощь при выездах была оказана 44,18 млн пациентов.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Минздравом России совместно с Минпромторгом России в 2018 году в субъектах Российской Федерации обновлен парк санитарного автотранспорта с высокой степенью износа.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счет средств федерального бюджета закуплено и поставлено в субъекты Российской Федерации 1780 автомобилей скорой медицинской помощи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АСМП) класса В на общую сумму 5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Всего в период с 2016 по 2018 годы за счет средств федерального бюджета для нужд медицинских организаций, подведомственных органам государственной власти субъектов Российской Федерации в сфере охраны здоровья, поставлено 5 360 АСМП класса В и 113 реанимобилей на шасси российской производства. За счет обновления удалось снизить долю автомобилей класса В с высокой степенью износа (со сроком эксплуатации свыше 5 лет) с 43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году до 32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Распределения автомобилей между субъектами Российской Федерации утверждены распоряжениями Правительства Российской Федерации от 5 сентября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1856-р и от 27 октября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2318-р.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выездов бригад скорой медицинской помощи со временем доезда до пациента менее 20 минут составила в 2018 г. - 89,4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 - 88,8</w:t>
      </w:r>
      <w:r w:rsidR="00000709">
        <w:rPr>
          <w:rFonts w:ascii="Times New Roman" w:hAnsi="Times New Roman" w:cs="Times New Roman"/>
          <w:sz w:val="28"/>
          <w:szCs w:val="28"/>
        </w:rPr>
        <w:t> %</w:t>
      </w:r>
      <w:r w:rsidRPr="005E58C6">
        <w:rPr>
          <w:rFonts w:ascii="Times New Roman" w:hAnsi="Times New Roman" w:cs="Times New Roman"/>
          <w:sz w:val="28"/>
          <w:szCs w:val="28"/>
        </w:rPr>
        <w:t>), до места дорожно-транспортного происшествия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95,1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94,6</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итогам года дополнительно выполнено 6 706 вылетов, на 10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чем в 2017 году, что позволило эвакуировать  9 235 пациентов, в том числе 1 837 детей, из них 724 ребенка в возрасте до 1 года.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Министерство здравоохранения Российской Федерации совместно с ФМБА России осуществляло медицинское обеспечение  чемпионата мира по футболу FIFA 2018 года, который прошел в 11 городах Российской Федерации в период с 14 июня по 15 июля 2018 года.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подготовки к чемпионату мира обновлена инфраструктура здравоохранения: осуществлен текущий и капитальный ремонт                                       11 медицинских организаций в 11 городах-организаторах, приобретено 466 автомобилей скорой медицинской помощи, из них: 329 класса «В» и 137 класса «С», закуплены медицинские изделия и лекарственные препараты.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Для медицинского обеспечения мероприятий чемпионата (в городах-организаторах и на базах команд) были  задействованы 170 медицинских пунктов, 147 медицинских организаций, из которых 14 медицинских организаций уполномочены FIFA, 280 мобильных бригад и 314 бригад скорой медицинской помощи, 6500 человек медицинского персонала.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соблюдения временных нормативов FIFA по доставке пострадавших до медицинских организации во время проведения мероприятий чемпионата были выделены 13 вертолетов  и 2 скоростных катера (в г. Санкт- Петербурге и г. Казань), оснащенных медицинскими модулями.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За весь период проведения чемпионата мира по футболу FIFA                       2018 года в мероприятиях приняли участие около 11 млн человек. За медицинской помощью обратилось 15 041 человек, из них 1 359 детей. Медицинская помощь оказана на месте 13 931 обратившемуся, эвакуированы в стационар 1 157 человек, из них госпитализировано 277 человек, в том числе 4 спортсмена, 102 представителя иностранных государств.  </w:t>
      </w:r>
    </w:p>
    <w:p w:rsidR="005E58C6" w:rsidRPr="00D66230" w:rsidRDefault="005E58C6" w:rsidP="005E58C6">
      <w:pPr>
        <w:widowControl w:val="0"/>
        <w:spacing w:after="0" w:line="312" w:lineRule="auto"/>
        <w:ind w:firstLine="709"/>
        <w:jc w:val="both"/>
        <w:rPr>
          <w:rFonts w:ascii="Times New Roman" w:hAnsi="Times New Roman" w:cs="Times New Roman"/>
          <w:b/>
          <w:i/>
          <w:sz w:val="28"/>
          <w:szCs w:val="28"/>
        </w:rPr>
      </w:pPr>
      <w:r w:rsidRPr="00D66230">
        <w:rPr>
          <w:rFonts w:ascii="Times New Roman" w:hAnsi="Times New Roman" w:cs="Times New Roman"/>
          <w:b/>
          <w:i/>
          <w:sz w:val="28"/>
          <w:szCs w:val="28"/>
        </w:rPr>
        <w:t>Деятельность Всероссийской службы медицины катастроф</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составе Всероссийской службы медицины катастроф Минздрава России осуществляли деятельность более 29 тыс. мобильных медицинских формирований, в том числе: 2,5 тыс. штатных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в составе территориальных центров медицины катастроф, около 16 тыс. выездных бригад скорой медицинской помощи, из них более 2 тыс. в составе территориальных центров медицины катастроф.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специалисты службы медицины катастроф субъектов Российской Федерации участвовали в ликвидации медико-санитарных последствий более 2,5 тыс. чрезвычайных ситуаций, в которых пострадало </w:t>
      </w:r>
      <w:r w:rsidRPr="005E58C6">
        <w:rPr>
          <w:rFonts w:ascii="Times New Roman" w:hAnsi="Times New Roman" w:cs="Times New Roman"/>
          <w:sz w:val="28"/>
          <w:szCs w:val="28"/>
        </w:rPr>
        <w:lastRenderedPageBreak/>
        <w:t>около 15 тыс. человек. Медицинская помощь оказана 10 357 пострадавшим.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 России участвовал в организации ликвидации медико-санитарных последствий чрезвычайных ситуаций в гг. Кемерово, Керчь, Магнитогорск. Для оказания медицинской помощи были задействованы силы и средства Всероссийской службы медицины катастроф, медицинских организаций федерального и регионального подчинения, специальные воздушные суда МЧС России и ФМБА России для санитарно-авиационной эвакуации пациентов.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 ликвидации указанных чрезвычайных ситуаций был обеспечен мониторинг состояния больных, поступивших в стационары, организованы экстренные телемедицинские консультации под руководством главных внештатных специалистов Минздрава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Самые тяжёлые пострадавшие были эвакуированы воздушными судами МЧС России и ФМБА России в ведущие медицинские организации г. Москвы.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 ликвидации чрезвычайных ситуаций всем пострадавшим и их родственникам оказывалась психолого-психиатрическая помощь под руководством главного внештатного специалиста психиатра Минздрава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повышения уровня профессиональной подготовки  специалистов службы медицины катастроф и совершенствования взаимодействия с территориальными органами управления МЧС России, медицинскими службами Минобороны России, Росгвардии, территориальными центрами медицины катастроф проведено свыше 7,5 тыс. мероприятий оперативной подготовки, в том числе более 2,5 тыс. тактико-специальных учений и тренировок, более 1,7 тыс. командно-штабных учений, около 3,5 тыс. штабных тренировок.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ликвидации медико-санитарных последствий чрезвычайных ситуаций специалисты Всероссийской службы медицины катастроф осуществляли санитарно-авиационные эвакуации пациентов, в том числе пострадавших от чрезвычайных ситуаций, с применением специальных воздушных судов МЧС России по Российской Федерации и из-за рубежа. За 2018 год эвакуировано 230 пациентов, из них 154 ребенка, в том числе по Российской Федерации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181 пациент, из-за рубежа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49 пациентов.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7D641C" w:rsidRDefault="005E58C6" w:rsidP="005E58C6">
      <w:pPr>
        <w:widowControl w:val="0"/>
        <w:spacing w:after="0" w:line="312" w:lineRule="auto"/>
        <w:ind w:firstLine="709"/>
        <w:jc w:val="both"/>
        <w:rPr>
          <w:rFonts w:ascii="Times New Roman" w:hAnsi="Times New Roman" w:cs="Times New Roman"/>
          <w:b/>
          <w:sz w:val="28"/>
          <w:szCs w:val="28"/>
        </w:rPr>
      </w:pPr>
      <w:r w:rsidRPr="007D641C">
        <w:rPr>
          <w:rFonts w:ascii="Times New Roman" w:hAnsi="Times New Roman" w:cs="Times New Roman"/>
          <w:b/>
          <w:sz w:val="28"/>
          <w:szCs w:val="28"/>
        </w:rPr>
        <w:lastRenderedPageBreak/>
        <w:t>подраздел 6.4 Паллиативная медицинская помощь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Минздравом России изданы приказы от 7 мая 2018 г. </w:t>
      </w:r>
      <w:r>
        <w:rPr>
          <w:rFonts w:ascii="Times New Roman" w:hAnsi="Times New Roman" w:cs="Times New Roman"/>
          <w:sz w:val="28"/>
          <w:szCs w:val="28"/>
        </w:rPr>
        <w:t>№ </w:t>
      </w:r>
      <w:r w:rsidRPr="005E58C6">
        <w:rPr>
          <w:rFonts w:ascii="Times New Roman" w:hAnsi="Times New Roman" w:cs="Times New Roman"/>
          <w:sz w:val="28"/>
          <w:szCs w:val="28"/>
        </w:rPr>
        <w:t xml:space="preserve">210н                                «О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 апреля 2015 г. </w:t>
      </w:r>
      <w:r>
        <w:rPr>
          <w:rFonts w:ascii="Times New Roman" w:hAnsi="Times New Roman" w:cs="Times New Roman"/>
          <w:sz w:val="28"/>
          <w:szCs w:val="28"/>
        </w:rPr>
        <w:t>№ </w:t>
      </w:r>
      <w:r w:rsidRPr="005E58C6">
        <w:rPr>
          <w:rFonts w:ascii="Times New Roman" w:hAnsi="Times New Roman" w:cs="Times New Roman"/>
          <w:sz w:val="28"/>
          <w:szCs w:val="28"/>
        </w:rPr>
        <w:t xml:space="preserve">187н»  и от                     28 июня 2018 г. </w:t>
      </w:r>
      <w:r>
        <w:rPr>
          <w:rFonts w:ascii="Times New Roman" w:hAnsi="Times New Roman" w:cs="Times New Roman"/>
          <w:sz w:val="28"/>
          <w:szCs w:val="28"/>
        </w:rPr>
        <w:t>№ </w:t>
      </w:r>
      <w:r w:rsidRPr="005E58C6">
        <w:rPr>
          <w:rFonts w:ascii="Times New Roman" w:hAnsi="Times New Roman" w:cs="Times New Roman"/>
          <w:sz w:val="28"/>
          <w:szCs w:val="28"/>
        </w:rPr>
        <w:t xml:space="preserve">401н «О внесении изменений в Порядок оказания паллиативной медицинской помощи детям, утвержденный приказом Министерства здравоохранения Российской Федерации от 14 апреля 2015 г. </w:t>
      </w:r>
      <w:r>
        <w:rPr>
          <w:rFonts w:ascii="Times New Roman" w:hAnsi="Times New Roman" w:cs="Times New Roman"/>
          <w:sz w:val="28"/>
          <w:szCs w:val="28"/>
        </w:rPr>
        <w:t>№ </w:t>
      </w:r>
      <w:r w:rsidRPr="005E58C6">
        <w:rPr>
          <w:rFonts w:ascii="Times New Roman" w:hAnsi="Times New Roman" w:cs="Times New Roman"/>
          <w:sz w:val="28"/>
          <w:szCs w:val="28"/>
        </w:rPr>
        <w:t>193н».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соответствующие порядки оказания паллиативной медицинской помощи внесены следующие изменения: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расширен перечень медицинского оборудования для оснащения подразделений медицинской организации, оказывающих паллиативную медицинскую помощь, в том числе выездной патронажной службы паллиативной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штат выездной патронажной бригады, отделения паллиативной медицинской помощи и хосписа включен врач анестезиолог-реаниматолог;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функционал подразделений расширен полномочиями и обязательствами по взаимодействию с организациями социального обслуживания, социально ориентированными некоммерческими организациями, благотворительными, добровольческими (волонтерскими) и религиозными организациями;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предусмотрено применение телемедицинских технологий для консультирования пациентов, которым оказывается паллиативная медицинская помощь.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разработаны </w:t>
      </w:r>
      <w:r w:rsidR="000A216A">
        <w:rPr>
          <w:rFonts w:ascii="Times New Roman" w:hAnsi="Times New Roman" w:cs="Times New Roman"/>
          <w:sz w:val="28"/>
          <w:szCs w:val="28"/>
        </w:rPr>
        <w:t xml:space="preserve">клинические </w:t>
      </w:r>
      <w:r w:rsidRPr="005E58C6">
        <w:rPr>
          <w:rFonts w:ascii="Times New Roman" w:hAnsi="Times New Roman" w:cs="Times New Roman"/>
          <w:sz w:val="28"/>
          <w:szCs w:val="28"/>
        </w:rPr>
        <w:t>рекомендации: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«Хронический болевой синдром у взрослых пациентов, нуждающихся в паллиативной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«Болевой синдром у детей, нуждающихся в паллиативной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«Нутритивная поддержка и регидратационная терапия у взрослых пациентов, нуждающихся в паллиативной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повышения профессионального уровня в 2018 году разработаны и утверждены два профессиональных стандарта: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приказом Минтруда России от 22 июня 2018 г. </w:t>
      </w:r>
      <w:r>
        <w:rPr>
          <w:rFonts w:ascii="Times New Roman" w:hAnsi="Times New Roman" w:cs="Times New Roman"/>
          <w:sz w:val="28"/>
          <w:szCs w:val="28"/>
        </w:rPr>
        <w:t>№ </w:t>
      </w:r>
      <w:r w:rsidRPr="005E58C6">
        <w:rPr>
          <w:rFonts w:ascii="Times New Roman" w:hAnsi="Times New Roman" w:cs="Times New Roman"/>
          <w:sz w:val="28"/>
          <w:szCs w:val="28"/>
        </w:rPr>
        <w:t xml:space="preserve">409н утвержден </w:t>
      </w:r>
      <w:r w:rsidRPr="005E58C6">
        <w:rPr>
          <w:rFonts w:ascii="Times New Roman" w:hAnsi="Times New Roman" w:cs="Times New Roman"/>
          <w:sz w:val="28"/>
          <w:szCs w:val="28"/>
        </w:rPr>
        <w:lastRenderedPageBreak/>
        <w:t>профессиональный стандарт «Врач по паллиативной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приказом Минтруда России от 30 июля 2018 г. </w:t>
      </w:r>
      <w:r>
        <w:rPr>
          <w:rFonts w:ascii="Times New Roman" w:hAnsi="Times New Roman" w:cs="Times New Roman"/>
          <w:sz w:val="28"/>
          <w:szCs w:val="28"/>
        </w:rPr>
        <w:t>№ </w:t>
      </w:r>
      <w:r w:rsidRPr="005E58C6">
        <w:rPr>
          <w:rFonts w:ascii="Times New Roman" w:hAnsi="Times New Roman" w:cs="Times New Roman"/>
          <w:sz w:val="28"/>
          <w:szCs w:val="28"/>
        </w:rPr>
        <w:t xml:space="preserve">507н утвержден профессиональный стандарт «Сиделка (помощник по уходу)».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 сравнению с 2017 годом количество врачей по паллиативной медицинской помощи увеличилось на 30,1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составило 592 врача, из них: 186 человек (31,4</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медицинских организациях, оказывающих медицинскую помощь в амбулаторных условиях; 404 человека (68,2</w:t>
      </w:r>
      <w:r w:rsidR="00000709">
        <w:rPr>
          <w:rFonts w:ascii="Times New Roman" w:hAnsi="Times New Roman" w:cs="Times New Roman"/>
          <w:sz w:val="28"/>
          <w:szCs w:val="28"/>
        </w:rPr>
        <w:t> %</w:t>
      </w:r>
      <w:r w:rsidRPr="005E58C6">
        <w:rPr>
          <w:rFonts w:ascii="Times New Roman" w:hAnsi="Times New Roman" w:cs="Times New Roman"/>
          <w:sz w:val="28"/>
          <w:szCs w:val="28"/>
        </w:rPr>
        <w:t>)</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медицинских организациях, оказывающих медицинскую помощь в стационарных условиях. Показатель обеспеченности врачами по паллиативной медицинской помощи на 10 тыс. населения в 2018 году составил 0,04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0,03).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Для осуществления подготовки специалистов, обладающих профессиональными компетенциями и готовых к профессиональной деятельности в специализированной области оказания обезболивающей терапии, внедрения эффективных методов применения наркотических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и психотропных лекарственных препаратов разработана рабочая программа учебного модуля «Болевые синдромы и их терапия», которая включена в примерные дополнительные профессиональные программы профессиональной переподготовки врачей по 12 специальностям и примерную дополнительную профессиональную программу повышения квалификации врачей со сроком освоения 72 академических часа по теме «Паллиативная помощь». </w:t>
      </w:r>
    </w:p>
    <w:p w:rsidR="005E58C6" w:rsidRPr="005E58C6" w:rsidRDefault="005E58C6" w:rsidP="007D641C">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дополнительно были разработаны и размещены на портале медицинского образования интерактивные образовательные модули «Хронический болевой синдром у взрослых пациентов, нуждающихся в паллиативной медицинской помощи: термины и определения, диагностика (по утвержденным клиническим рекомендациям)», и «Хронический болевой синдром у взрослых пациентов, нуждающихся в паллиативной медицинской помощи: лечение и реабилитация (по утвержденным клиническим рекомендациям)». Обучение прошли более 105 тысяч специалистов.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отработки модели непрерывного медицинского образования в 2018 году проводились образовательные медицинские форумы, семинары, конференции по вопросам паллиативной медицинской помощи для медицинских работников различных федеральных округов, в рамках которых прошли обучение более  6 тыс.  врачей и специалистов со средним </w:t>
      </w:r>
      <w:r w:rsidRPr="005E58C6">
        <w:rPr>
          <w:rFonts w:ascii="Times New Roman" w:hAnsi="Times New Roman" w:cs="Times New Roman"/>
          <w:sz w:val="28"/>
          <w:szCs w:val="28"/>
        </w:rPr>
        <w:lastRenderedPageBreak/>
        <w:t>медицинским образованием.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по сравнению с 2017 годом количество паллиативных коек увеличилось на 6,4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составило 11 840 коек, в том числе 718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для детей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11 132 койки, в том числе 656</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для детей).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Показатель обеспеченности койками паллиативной медицинской помощи в 2018 г. в субъектах Российской Федерации составил:  для взрослого населения 0,95 на 10 тыс. населения, для детского населения 0,24 (в 2017 году: для взрослого 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0,89, для детского 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0,22).</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организована работа 897 кабинетов для взрослого населения, отделений паллиативной медицинской помощи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520 (из них детских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77); хосписов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74 (из них детских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 отделений сестринского ухода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640; домов сестринского ухода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 выездных патронажных служб</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382 (из них детских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118).</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разработана ведомственная целевая программа «Развитие системы паллиативной медицинской помощи», направленная на реализацию прав граждан на оказание паллиативной медицинской помощи, включая обезболивание.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Совместная работа Минздрава России, Минпромторга России и производителей лекарственных средств направлена на расширение номенклатуры  наркотических и психотропных лекарственных препаратов</w:t>
      </w:r>
      <w:r w:rsidR="008D5151">
        <w:rPr>
          <w:rFonts w:ascii="Times New Roman" w:hAnsi="Times New Roman" w:cs="Times New Roman"/>
          <w:sz w:val="28"/>
          <w:szCs w:val="28"/>
        </w:rPr>
        <w:t>,</w:t>
      </w:r>
      <w:r w:rsidRPr="005E58C6">
        <w:rPr>
          <w:rFonts w:ascii="Times New Roman" w:hAnsi="Times New Roman" w:cs="Times New Roman"/>
          <w:sz w:val="28"/>
          <w:szCs w:val="28"/>
        </w:rPr>
        <w:t xml:space="preserve"> </w:t>
      </w:r>
      <w:r w:rsidR="008D5151">
        <w:rPr>
          <w:rFonts w:ascii="Times New Roman" w:hAnsi="Times New Roman" w:cs="Times New Roman"/>
          <w:sz w:val="28"/>
          <w:szCs w:val="28"/>
        </w:rPr>
        <w:t xml:space="preserve"> </w:t>
      </w:r>
      <w:r w:rsidRPr="005E58C6">
        <w:rPr>
          <w:rFonts w:ascii="Times New Roman" w:hAnsi="Times New Roman" w:cs="Times New Roman"/>
          <w:sz w:val="28"/>
          <w:szCs w:val="28"/>
        </w:rPr>
        <w:t xml:space="preserve"> организацию собственного производства ряда опиодных анальгетиков, в том числе неинвазивных лекарственных форм, организацию промышленного выпуска отечественных фармацевтических субстанций обезболивающих препаратов, а также производство новых готовых лекарственных средств, организацию изготовления лекарственных препаратов в производственных отделах аптечных организаций.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Проведен анализ практики субъектов Российской Федерации по обучению пациентов, их родственников, законных представителей</w:t>
      </w:r>
      <w:r w:rsidR="008D5151">
        <w:rPr>
          <w:rFonts w:ascii="Times New Roman" w:hAnsi="Times New Roman" w:cs="Times New Roman"/>
          <w:sz w:val="28"/>
          <w:szCs w:val="28"/>
        </w:rPr>
        <w:t xml:space="preserve"> </w:t>
      </w:r>
      <w:r w:rsidRPr="005E58C6">
        <w:rPr>
          <w:rFonts w:ascii="Times New Roman" w:hAnsi="Times New Roman" w:cs="Times New Roman"/>
          <w:sz w:val="28"/>
          <w:szCs w:val="28"/>
        </w:rPr>
        <w:t>особенностям получения, применения, контроля эффективности обезболивающих средств, правилам использования препаратов, оценки интенсивности боли.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Для пациентов и их родственников при кабинетах паллиативной медицинской помощи в 2018 году создано 1 099 школ в 79 субъектах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Принимаемые комплексные меры позволили повысить уровень </w:t>
      </w:r>
      <w:r w:rsidRPr="005E58C6">
        <w:rPr>
          <w:rFonts w:ascii="Times New Roman" w:hAnsi="Times New Roman" w:cs="Times New Roman"/>
          <w:sz w:val="28"/>
          <w:szCs w:val="28"/>
        </w:rPr>
        <w:lastRenderedPageBreak/>
        <w:t>обеспечения адекватным обезболиванием пациентов:</w:t>
      </w:r>
    </w:p>
    <w:p w:rsidR="005E58C6" w:rsidRPr="005E58C6" w:rsidRDefault="005E58C6" w:rsidP="007D641C">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объем заявленн</w:t>
      </w:r>
      <w:r w:rsidR="008D5151">
        <w:rPr>
          <w:rFonts w:ascii="Times New Roman" w:hAnsi="Times New Roman" w:cs="Times New Roman"/>
          <w:sz w:val="28"/>
          <w:szCs w:val="28"/>
        </w:rPr>
        <w:t>ой потребности</w:t>
      </w:r>
      <w:r w:rsidRPr="005E58C6">
        <w:rPr>
          <w:rFonts w:ascii="Times New Roman" w:hAnsi="Times New Roman" w:cs="Times New Roman"/>
          <w:sz w:val="28"/>
          <w:szCs w:val="28"/>
        </w:rPr>
        <w:t xml:space="preserve"> субъектов Российской Федерации в неинвазивных наркотических анальгетиках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ННА) в 2018 году по сравнению с 2014 годом увеличился в 4 раза (c 141 600 упаковок до 635 869 упаковок соответственно);</w:t>
      </w:r>
    </w:p>
    <w:p w:rsidR="005E58C6" w:rsidRPr="005E58C6" w:rsidRDefault="005E58C6" w:rsidP="007D641C">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фактическая выборка ННА в 2018 году увеличилась в 9 раз по сравнению с 2014 годом (с 57 500 упаковок до 519 663 упаковок соответственно);</w:t>
      </w:r>
    </w:p>
    <w:p w:rsidR="005E58C6" w:rsidRPr="005E58C6" w:rsidRDefault="005E58C6" w:rsidP="007D641C">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расчетный уровень обезболивания в 2018 году по сравнению с 2014 годом увеличился в 7 раз (с 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70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соответственно).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Паллиативная медицинская помощь детям ока</w:t>
      </w:r>
      <w:r w:rsidR="008D5151">
        <w:rPr>
          <w:rFonts w:ascii="Times New Roman" w:hAnsi="Times New Roman" w:cs="Times New Roman"/>
          <w:sz w:val="28"/>
          <w:szCs w:val="28"/>
        </w:rPr>
        <w:t>зывается в хосписах, отделениях</w:t>
      </w:r>
      <w:r w:rsidRPr="005E58C6">
        <w:rPr>
          <w:rFonts w:ascii="Times New Roman" w:hAnsi="Times New Roman" w:cs="Times New Roman"/>
          <w:sz w:val="28"/>
          <w:szCs w:val="28"/>
        </w:rPr>
        <w:t xml:space="preserve"> паллиативной медицинской помощи многопрофильных и специализированных больниц и на дому, в том числе широко используется выездная форма оказания паллиативной медицинской помощи детям.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совместно с благотворительным фондом спасения тяжелобольных детей «Линия жизни» продолжалась работа по «пилотному проекту» «ИВЛ в домашних условиях», который направлен на оказание помощи на дому тяжелобольным детям, в том числе по обеспечению их необходимыми изделиями, а также медицинским оборудованием.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Для участия в проекте определены</w:t>
      </w:r>
      <w:r w:rsidR="008D5151">
        <w:rPr>
          <w:rFonts w:ascii="Times New Roman" w:hAnsi="Times New Roman" w:cs="Times New Roman"/>
          <w:sz w:val="28"/>
          <w:szCs w:val="28"/>
        </w:rPr>
        <w:t xml:space="preserve"> </w:t>
      </w:r>
      <w:r w:rsidRPr="005E58C6">
        <w:rPr>
          <w:rFonts w:ascii="Times New Roman" w:hAnsi="Times New Roman" w:cs="Times New Roman"/>
          <w:sz w:val="28"/>
          <w:szCs w:val="28"/>
        </w:rPr>
        <w:t xml:space="preserve"> соответствующие разработанным Минздравом России критериям</w:t>
      </w:r>
      <w:r w:rsidR="008D5151">
        <w:rPr>
          <w:rFonts w:ascii="Times New Roman" w:hAnsi="Times New Roman" w:cs="Times New Roman"/>
          <w:sz w:val="28"/>
          <w:szCs w:val="28"/>
        </w:rPr>
        <w:t xml:space="preserve"> </w:t>
      </w:r>
      <w:r w:rsidRPr="005E58C6">
        <w:rPr>
          <w:rFonts w:ascii="Times New Roman" w:hAnsi="Times New Roman" w:cs="Times New Roman"/>
          <w:sz w:val="28"/>
          <w:szCs w:val="28"/>
        </w:rPr>
        <w:t>субъекты Российской Федерации: республики Башкортостан, Бурятия, Чувашия, Коми, Татарстан, Свердловская, Новосибирская, Астраханская, Челябинская, Томская, Ивановская и Курская области, Красноярский и Алтайский края, Ханты-Мансийский автономный округ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Югра.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Обеспечены аппаратами ИВЛ и получают респираторную поддержку на дому 37 детей, планируется в ближайшее время перевод еще 52 детей на ИВЛ на дому. Приобретено 57 аппаратов ИВЛ, включая 7 резервных аппаратов, и расходные материалы к ним.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Распоряжением Правительства Российской Федерации </w:t>
      </w:r>
      <w:r>
        <w:rPr>
          <w:rFonts w:ascii="Times New Roman" w:hAnsi="Times New Roman" w:cs="Times New Roman"/>
          <w:sz w:val="28"/>
          <w:szCs w:val="28"/>
        </w:rPr>
        <w:t>№ </w:t>
      </w:r>
      <w:r w:rsidRPr="005E58C6">
        <w:rPr>
          <w:rFonts w:ascii="Times New Roman" w:hAnsi="Times New Roman" w:cs="Times New Roman"/>
          <w:sz w:val="28"/>
          <w:szCs w:val="28"/>
        </w:rPr>
        <w:t xml:space="preserve">427-пр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выделены бюджетные ассигнования в размере 4,35 млрд руб.</w:t>
      </w:r>
    </w:p>
    <w:p w:rsidR="005E58C6" w:rsidRPr="005E58C6" w:rsidRDefault="005E58C6" w:rsidP="003A3EA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Постановлением Прав</w:t>
      </w:r>
      <w:r w:rsidR="008D5151">
        <w:rPr>
          <w:rFonts w:ascii="Times New Roman" w:hAnsi="Times New Roman" w:cs="Times New Roman"/>
          <w:sz w:val="28"/>
          <w:szCs w:val="28"/>
        </w:rPr>
        <w:t xml:space="preserve">ительства Российской Федерации  </w:t>
      </w:r>
      <w:r w:rsidRPr="005E58C6">
        <w:rPr>
          <w:rFonts w:ascii="Times New Roman" w:hAnsi="Times New Roman" w:cs="Times New Roman"/>
          <w:sz w:val="28"/>
          <w:szCs w:val="28"/>
        </w:rPr>
        <w:t xml:space="preserve">от 1 марта 2018 г. </w:t>
      </w:r>
      <w:r>
        <w:rPr>
          <w:rFonts w:ascii="Times New Roman" w:hAnsi="Times New Roman" w:cs="Times New Roman"/>
          <w:sz w:val="28"/>
          <w:szCs w:val="28"/>
        </w:rPr>
        <w:t>№ </w:t>
      </w:r>
      <w:r w:rsidR="008D5151">
        <w:rPr>
          <w:rFonts w:ascii="Times New Roman" w:hAnsi="Times New Roman" w:cs="Times New Roman"/>
          <w:sz w:val="28"/>
          <w:szCs w:val="28"/>
        </w:rPr>
        <w:t>207</w:t>
      </w:r>
      <w:r w:rsidRPr="005E58C6">
        <w:rPr>
          <w:rFonts w:ascii="Times New Roman" w:hAnsi="Times New Roman" w:cs="Times New Roman"/>
          <w:sz w:val="28"/>
          <w:szCs w:val="28"/>
        </w:rPr>
        <w:t xml:space="preserve"> </w:t>
      </w:r>
      <w:r w:rsidR="008D5151">
        <w:rPr>
          <w:rFonts w:ascii="Times New Roman" w:hAnsi="Times New Roman" w:cs="Times New Roman"/>
          <w:sz w:val="28"/>
          <w:szCs w:val="28"/>
        </w:rPr>
        <w:t xml:space="preserve"> предусмотрено предоставление</w:t>
      </w:r>
      <w:r w:rsidRPr="005E58C6">
        <w:rPr>
          <w:rFonts w:ascii="Times New Roman" w:hAnsi="Times New Roman" w:cs="Times New Roman"/>
          <w:sz w:val="28"/>
          <w:szCs w:val="28"/>
        </w:rPr>
        <w:t xml:space="preserve"> ины</w:t>
      </w:r>
      <w:r w:rsidR="008D5151">
        <w:rPr>
          <w:rFonts w:ascii="Times New Roman" w:hAnsi="Times New Roman" w:cs="Times New Roman"/>
          <w:sz w:val="28"/>
          <w:szCs w:val="28"/>
        </w:rPr>
        <w:t>х</w:t>
      </w:r>
      <w:r w:rsidRPr="005E58C6">
        <w:rPr>
          <w:rFonts w:ascii="Times New Roman" w:hAnsi="Times New Roman" w:cs="Times New Roman"/>
          <w:sz w:val="28"/>
          <w:szCs w:val="28"/>
        </w:rPr>
        <w:t xml:space="preserve"> межбюджетны</w:t>
      </w:r>
      <w:r w:rsidR="008D5151">
        <w:rPr>
          <w:rFonts w:ascii="Times New Roman" w:hAnsi="Times New Roman" w:cs="Times New Roman"/>
          <w:sz w:val="28"/>
          <w:szCs w:val="28"/>
        </w:rPr>
        <w:t xml:space="preserve">х </w:t>
      </w:r>
      <w:r w:rsidR="008D5151">
        <w:rPr>
          <w:rFonts w:ascii="Times New Roman" w:hAnsi="Times New Roman" w:cs="Times New Roman"/>
          <w:sz w:val="28"/>
          <w:szCs w:val="28"/>
        </w:rPr>
        <w:lastRenderedPageBreak/>
        <w:t>трансфертов</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обеспечение необходимыми лекарственными препаратами, включая обезболивающие, организацию мониторинга оказания паллиативной медицинской помощи взрослому населению и детям;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обеспечения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p w:rsidR="005E58C6" w:rsidRPr="005E58C6" w:rsidRDefault="005E58C6" w:rsidP="003A3EA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Трансферты были доведены 84 субъектам Российской Федерации (за исключением г. Москвы).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Кассовое исполнение трансфертов</w:t>
      </w:r>
      <w:r w:rsidR="008D5151">
        <w:rPr>
          <w:rFonts w:ascii="Times New Roman" w:hAnsi="Times New Roman" w:cs="Times New Roman"/>
          <w:sz w:val="28"/>
          <w:szCs w:val="28"/>
        </w:rPr>
        <w:t xml:space="preserve"> </w:t>
      </w:r>
      <w:r w:rsidRPr="005E58C6">
        <w:rPr>
          <w:rFonts w:ascii="Times New Roman" w:hAnsi="Times New Roman" w:cs="Times New Roman"/>
          <w:sz w:val="28"/>
          <w:szCs w:val="28"/>
        </w:rPr>
        <w:t>по состоянию на 31 декабря 2018 года</w:t>
      </w:r>
      <w:r w:rsidR="008D5151">
        <w:rPr>
          <w:rFonts w:ascii="Times New Roman" w:hAnsi="Times New Roman" w:cs="Times New Roman"/>
          <w:sz w:val="28"/>
          <w:szCs w:val="28"/>
        </w:rPr>
        <w:t xml:space="preserve"> </w:t>
      </w:r>
      <w:r w:rsidRPr="005E58C6">
        <w:rPr>
          <w:rFonts w:ascii="Times New Roman" w:hAnsi="Times New Roman" w:cs="Times New Roman"/>
          <w:sz w:val="28"/>
          <w:szCs w:val="28"/>
        </w:rPr>
        <w:t>составило 94,3</w:t>
      </w:r>
      <w:r w:rsidR="00000709">
        <w:rPr>
          <w:rFonts w:ascii="Times New Roman" w:hAnsi="Times New Roman" w:cs="Times New Roman"/>
          <w:sz w:val="28"/>
          <w:szCs w:val="28"/>
        </w:rPr>
        <w:t> %</w:t>
      </w:r>
      <w:r w:rsidRPr="005E58C6">
        <w:rPr>
          <w:rFonts w:ascii="Times New Roman" w:hAnsi="Times New Roman" w:cs="Times New Roman"/>
          <w:sz w:val="28"/>
          <w:szCs w:val="28"/>
        </w:rPr>
        <w:t>. Доля принятых обязательств (заключенных контрактов) составляет 97,6</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8D5151" w:rsidRDefault="008D5151" w:rsidP="005E58C6">
      <w:pPr>
        <w:widowControl w:val="0"/>
        <w:spacing w:after="0" w:line="312" w:lineRule="auto"/>
        <w:ind w:firstLine="709"/>
        <w:jc w:val="both"/>
        <w:rPr>
          <w:rFonts w:ascii="Times New Roman" w:hAnsi="Times New Roman" w:cs="Times New Roman"/>
          <w:sz w:val="28"/>
          <w:szCs w:val="28"/>
        </w:rPr>
      </w:pPr>
    </w:p>
    <w:p w:rsidR="008D5151" w:rsidRDefault="008D5151"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Pr="005E58C6" w:rsidRDefault="003A3EA4" w:rsidP="005E58C6">
      <w:pPr>
        <w:widowControl w:val="0"/>
        <w:spacing w:after="0" w:line="312" w:lineRule="auto"/>
        <w:ind w:firstLine="709"/>
        <w:jc w:val="both"/>
        <w:rPr>
          <w:rFonts w:ascii="Times New Roman" w:hAnsi="Times New Roman" w:cs="Times New Roman"/>
          <w:sz w:val="28"/>
          <w:szCs w:val="28"/>
        </w:rPr>
      </w:pPr>
    </w:p>
    <w:p w:rsidR="005E58C6" w:rsidRPr="003A3EA4" w:rsidRDefault="005E58C6" w:rsidP="005E58C6">
      <w:pPr>
        <w:widowControl w:val="0"/>
        <w:spacing w:after="0" w:line="312" w:lineRule="auto"/>
        <w:ind w:firstLine="709"/>
        <w:jc w:val="both"/>
        <w:rPr>
          <w:rFonts w:ascii="Times New Roman" w:hAnsi="Times New Roman" w:cs="Times New Roman"/>
          <w:b/>
          <w:sz w:val="28"/>
          <w:szCs w:val="28"/>
        </w:rPr>
      </w:pPr>
      <w:r w:rsidRPr="003A3EA4">
        <w:rPr>
          <w:rFonts w:ascii="Times New Roman" w:hAnsi="Times New Roman" w:cs="Times New Roman"/>
          <w:b/>
          <w:sz w:val="28"/>
          <w:szCs w:val="28"/>
        </w:rPr>
        <w:lastRenderedPageBreak/>
        <w:t>подраздел 6.5 Медицинская реабилитация и санаторно-курортное лечение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Распоряжением Правительства Российской Федерации от 26 ноября 2018 г. </w:t>
      </w:r>
      <w:r>
        <w:rPr>
          <w:rFonts w:ascii="Times New Roman" w:hAnsi="Times New Roman" w:cs="Times New Roman"/>
          <w:sz w:val="28"/>
          <w:szCs w:val="28"/>
        </w:rPr>
        <w:t>№ </w:t>
      </w:r>
      <w:r w:rsidR="008D5151">
        <w:rPr>
          <w:rFonts w:ascii="Times New Roman" w:hAnsi="Times New Roman" w:cs="Times New Roman"/>
          <w:sz w:val="28"/>
          <w:szCs w:val="28"/>
        </w:rPr>
        <w:t>2581-р утверждена Г</w:t>
      </w:r>
      <w:r w:rsidRPr="005E58C6">
        <w:rPr>
          <w:rFonts w:ascii="Times New Roman" w:hAnsi="Times New Roman" w:cs="Times New Roman"/>
          <w:sz w:val="28"/>
          <w:szCs w:val="28"/>
        </w:rPr>
        <w:t xml:space="preserve">осударственная стратегия развития санаторно-курортного комплекса Российской Федерации, которая определяет цель, задачи и основные направления государственной политики Российской Федерации по сохранению и укреплению здоровья населения Российской Федерации в сфере курортного дела, в том числе по развитию инфраструктуры лечебно-оздоровительных местностей и курортов.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Приказом Минздрава России от 7 июня 2018 г. </w:t>
      </w:r>
      <w:r>
        <w:rPr>
          <w:rFonts w:ascii="Times New Roman" w:hAnsi="Times New Roman" w:cs="Times New Roman"/>
          <w:sz w:val="28"/>
          <w:szCs w:val="28"/>
        </w:rPr>
        <w:t>№ </w:t>
      </w:r>
      <w:r w:rsidRPr="005E58C6">
        <w:rPr>
          <w:rFonts w:ascii="Times New Roman" w:hAnsi="Times New Roman" w:cs="Times New Roman"/>
          <w:sz w:val="28"/>
          <w:szCs w:val="28"/>
        </w:rPr>
        <w:t xml:space="preserve">321н утверждены перечни медицинских показаний и противопоказаний для санаторно-курортного лечения.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Перечень медицинских показаний для санаторно-курортного лечен</w:t>
      </w:r>
      <w:r w:rsidR="008D5151">
        <w:rPr>
          <w:rFonts w:ascii="Times New Roman" w:hAnsi="Times New Roman" w:cs="Times New Roman"/>
          <w:sz w:val="28"/>
          <w:szCs w:val="28"/>
        </w:rPr>
        <w:t>ия взрослого населения дополнен заболеваниями, связанными</w:t>
      </w:r>
      <w:r w:rsidRPr="005E58C6">
        <w:rPr>
          <w:rFonts w:ascii="Times New Roman" w:hAnsi="Times New Roman" w:cs="Times New Roman"/>
          <w:sz w:val="28"/>
          <w:szCs w:val="28"/>
        </w:rPr>
        <w:t xml:space="preserve"> с туберкулезом, психическими расстройствами и расстройствами поведения, болезнями нервной системы, болезнями глаза и его придаточного аппарата, болезнями системы кровообращения, болезнями костно-мышечной системы и соединительной ткани, болезнями эндокринной системы, расстройствами питания и нарушениями обмена веществ.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Некоторые разделы медицинских показаний для санаторно-курортного лечения взрослого населения дополнены перечнями профессиональных заболеваний, связанных с болезнями органов дыхания, последствиями травм, отравлений и некоторых других последствий воздействия внешних причин. Новый раздел «XV. Медицинские показания для санаторно-курортного лечения взрослого населения с факторами, влияющими на состояние здоровья и обращения в учреждения здравоохранения (XXI класс по МКБ-10)» включает профессиональные заболевания, при этом исключены положения о необходимости самостоятельного передвижения пациентов и самообслуживания.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Государственный реестр курортного фонда Российской Федерации в 2018 году внесена информация о 1 674 организациях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1 604). Из них: федеральных организаций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281, организаций субъектов Российской Федерации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407, муниципальных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53, частной и иной формы собственности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933.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Кроме того, внесена информация о 276 курортах (в 2017</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218), из них: </w:t>
      </w:r>
      <w:r w:rsidRPr="005E58C6">
        <w:rPr>
          <w:rFonts w:ascii="Times New Roman" w:hAnsi="Times New Roman" w:cs="Times New Roman"/>
          <w:sz w:val="28"/>
          <w:szCs w:val="28"/>
        </w:rPr>
        <w:lastRenderedPageBreak/>
        <w:t>96</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федеральные, 58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региональные, 28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муниципальные, 94</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неуточненные. Месторождений минеральной воды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325 (в 2017</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260). Месторождений лечебной грязи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128 (в 2017</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113).</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Всего в Российской Федерации в 2018 году получили санаторно-курортное лечение 2 188 206 человек, что на 12,3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чем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1 947 811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Профессиональным сообществом под руководством профильной комиссии Минздрава России по медицинской реабилитации в 2018 году подготовлены учебные программы по новым специальностям медицинской реабилитации на основании утвержденного приказом Минтруда России от 3 сентября 2018 г. </w:t>
      </w:r>
      <w:r>
        <w:rPr>
          <w:rFonts w:ascii="Times New Roman" w:hAnsi="Times New Roman" w:cs="Times New Roman"/>
          <w:sz w:val="28"/>
          <w:szCs w:val="28"/>
        </w:rPr>
        <w:t>№ </w:t>
      </w:r>
      <w:r w:rsidRPr="005E58C6">
        <w:rPr>
          <w:rFonts w:ascii="Times New Roman" w:hAnsi="Times New Roman" w:cs="Times New Roman"/>
          <w:sz w:val="28"/>
          <w:szCs w:val="28"/>
        </w:rPr>
        <w:t>572н профессионального стандарта «Специалист по медицинской реабилитации» и разработанных профессиональных стандартов специалистов с высшим немедицинским образованием.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2018 год прошли профессиональное усовершенствование                        7860 специалистов мультидисциплинарных бригад по разным направлениям медицинской реабилитации, в том числе 2 463 врача, 3 460 медицинских сестер, 1 260 специалистов по лечебной физкультуре, 323 логопеда,                          354 психолога.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Объем медицинской помощи по медицинской реабилитации за счет средств обязательного медицинского страхования увеличился на 2,7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6 126 478 койко-дней в 2017 году до 6 290 854</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2018 году), объем финансового обеспечения увеличился на 14,7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Медицинская реабилитация детей в стационарных условиях и (или) в условиях дневного стационара осуществляется в 17 медицинских организациях федерального подчинения.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высокотехнологичная медицинская помощь пациентам с нейросенсорной тугоухостью IV степени и глухотой методом кохлеарной имплантации оказана 1 030 детям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989 детям).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Слухоречевая реабилитация детей после кохлеарной имплантации осуществлялась как на базе профильных федеральных медицинских организаций, так и на базе профильных государственных медицинских организаций субъектов Российской Федерации за счет средств обязательного медицинского страхования.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3A3EA4" w:rsidRDefault="005E58C6" w:rsidP="005E58C6">
      <w:pPr>
        <w:widowControl w:val="0"/>
        <w:spacing w:after="0" w:line="312" w:lineRule="auto"/>
        <w:ind w:firstLine="709"/>
        <w:jc w:val="both"/>
        <w:rPr>
          <w:rFonts w:ascii="Times New Roman" w:hAnsi="Times New Roman" w:cs="Times New Roman"/>
          <w:b/>
          <w:sz w:val="28"/>
          <w:szCs w:val="28"/>
        </w:rPr>
      </w:pPr>
      <w:r w:rsidRPr="003A3EA4">
        <w:rPr>
          <w:rFonts w:ascii="Times New Roman" w:hAnsi="Times New Roman" w:cs="Times New Roman"/>
          <w:b/>
          <w:sz w:val="28"/>
          <w:szCs w:val="28"/>
        </w:rPr>
        <w:lastRenderedPageBreak/>
        <w:t>подраздел 6.6 Инновационные методы диагностики, профилактики и лечения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Государственн</w:t>
      </w:r>
      <w:r w:rsidR="008D5151">
        <w:rPr>
          <w:rFonts w:ascii="Times New Roman" w:hAnsi="Times New Roman" w:cs="Times New Roman"/>
          <w:sz w:val="28"/>
          <w:szCs w:val="28"/>
        </w:rPr>
        <w:t>ое</w:t>
      </w:r>
      <w:r w:rsidRPr="005E58C6">
        <w:rPr>
          <w:rFonts w:ascii="Times New Roman" w:hAnsi="Times New Roman" w:cs="Times New Roman"/>
          <w:sz w:val="28"/>
          <w:szCs w:val="28"/>
        </w:rPr>
        <w:t xml:space="preserve"> задани</w:t>
      </w:r>
      <w:r w:rsidR="008D5151">
        <w:rPr>
          <w:rFonts w:ascii="Times New Roman" w:hAnsi="Times New Roman" w:cs="Times New Roman"/>
          <w:sz w:val="28"/>
          <w:szCs w:val="28"/>
        </w:rPr>
        <w:t>е</w:t>
      </w:r>
      <w:r w:rsidRPr="005E58C6">
        <w:rPr>
          <w:rFonts w:ascii="Times New Roman" w:hAnsi="Times New Roman" w:cs="Times New Roman"/>
          <w:sz w:val="28"/>
          <w:szCs w:val="28"/>
        </w:rPr>
        <w:t xml:space="preserve"> на проведение научных исследований и </w:t>
      </w:r>
      <w:r w:rsidR="008D5151">
        <w:rPr>
          <w:rFonts w:ascii="Times New Roman" w:hAnsi="Times New Roman" w:cs="Times New Roman"/>
          <w:sz w:val="28"/>
          <w:szCs w:val="28"/>
        </w:rPr>
        <w:t>разработок в 2018 году выполняло</w:t>
      </w:r>
      <w:r w:rsidRPr="005E58C6">
        <w:rPr>
          <w:rFonts w:ascii="Times New Roman" w:hAnsi="Times New Roman" w:cs="Times New Roman"/>
          <w:sz w:val="28"/>
          <w:szCs w:val="28"/>
        </w:rPr>
        <w:t>сь в 87 федеральных государственных учреждениях, подведомственных Минздраву России (46 учреждений науки и 41 образовательное учреждение высшего образования).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соответствии с государственным заданием выполнено 1 102 научных проекта: 226</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фундаментальные исследования, 851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прикладные исследования, 25</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экспериментальные  разработки.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результатам выполнения государственных заданий отмечена положительная динамика достижения запланированных индикативных показателей: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научных сотрудников, оцененных по качеству публикаций, имеющих индекс Хирша более 10, увеличилось в 2018 году по сравнению с 2017 годом  на 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 1469 до 1615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статей, опубликованных в рейтинговых журналах (с импакт-фактором не ниже 0,3) в 2018 году составило 4852 статьи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5 490 статей), при этом суммарный импакт-фактор увеличился, и составил 7 153 ед., в сравнении с 6 505 ед. в 2017 году, что свидетельствует о растущей востребованности результатов выполняемых исследований в научном медицинском сообществе;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исследователей в возрасте до 39 лет в общем числе научных сотрудников, работающих в системе Минздрава России, составила 37,0</w:t>
      </w:r>
      <w:r w:rsidR="00000709">
        <w:rPr>
          <w:rFonts w:ascii="Times New Roman" w:hAnsi="Times New Roman" w:cs="Times New Roman"/>
          <w:sz w:val="28"/>
          <w:szCs w:val="28"/>
        </w:rPr>
        <w:t> %</w:t>
      </w:r>
      <w:r w:rsidRPr="005E58C6">
        <w:rPr>
          <w:rFonts w:ascii="Times New Roman" w:hAnsi="Times New Roman" w:cs="Times New Roman"/>
          <w:sz w:val="28"/>
          <w:szCs w:val="28"/>
        </w:rPr>
        <w:t>, что превышает плановое значение показателя (34,3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реализации Стратегии развития медицинской науки в Российской Федерации на период до 2025 года, утвержденной распоряжением Правительства Российской Федерации от 28 декабря 2012 г. </w:t>
      </w:r>
      <w:r>
        <w:rPr>
          <w:rFonts w:ascii="Times New Roman" w:hAnsi="Times New Roman" w:cs="Times New Roman"/>
          <w:sz w:val="28"/>
          <w:szCs w:val="28"/>
        </w:rPr>
        <w:t>№ </w:t>
      </w:r>
      <w:r w:rsidRPr="005E58C6">
        <w:rPr>
          <w:rFonts w:ascii="Times New Roman" w:hAnsi="Times New Roman" w:cs="Times New Roman"/>
          <w:sz w:val="28"/>
          <w:szCs w:val="28"/>
        </w:rPr>
        <w:t xml:space="preserve">2580-р, Минздравом России осуществляется деятельность по внедрению механизма направленного инновационного развития медицины, успешно апробированного при создании вакцины от лихорадки Эбола в 2015 году. Механизм направленного инновационного развития медицины основан на концентрации ресурсов вокруг наиболее перспективных направлений, и при эффективном административно-организационном сопровождении позволяет в короткие сроки вывести оказание медицинской помощи на качественно новый уровень. В 2018 году с использованием механизма направленного </w:t>
      </w:r>
      <w:r w:rsidRPr="005E58C6">
        <w:rPr>
          <w:rFonts w:ascii="Times New Roman" w:hAnsi="Times New Roman" w:cs="Times New Roman"/>
          <w:sz w:val="28"/>
          <w:szCs w:val="28"/>
        </w:rPr>
        <w:lastRenderedPageBreak/>
        <w:t>инновационного развития начата реализация 25 проектов.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реализации Комплексной программы развития биотехнологий в Российской Федерации на период до 2020 года в 2018 году завершена работа по созданию нормативной правовой базы в сфере обращения биомедицинских </w:t>
      </w:r>
      <w:r w:rsidR="008D5151">
        <w:rPr>
          <w:rFonts w:ascii="Times New Roman" w:hAnsi="Times New Roman" w:cs="Times New Roman"/>
          <w:sz w:val="28"/>
          <w:szCs w:val="28"/>
        </w:rPr>
        <w:t>клеточных продуктов, созданы</w:t>
      </w:r>
      <w:r w:rsidRPr="005E58C6">
        <w:rPr>
          <w:rFonts w:ascii="Times New Roman" w:hAnsi="Times New Roman" w:cs="Times New Roman"/>
          <w:sz w:val="28"/>
          <w:szCs w:val="28"/>
        </w:rPr>
        <w:t xml:space="preserve"> правовые условия для проведения лицензирования деятельности по производству биомедицинских клеточных продуктов (Федеральный закон от 23 июня 2016 г. </w:t>
      </w:r>
      <w:r>
        <w:rPr>
          <w:rFonts w:ascii="Times New Roman" w:hAnsi="Times New Roman" w:cs="Times New Roman"/>
          <w:sz w:val="28"/>
          <w:szCs w:val="28"/>
        </w:rPr>
        <w:t>№ </w:t>
      </w:r>
      <w:r w:rsidRPr="005E58C6">
        <w:rPr>
          <w:rFonts w:ascii="Times New Roman" w:hAnsi="Times New Roman" w:cs="Times New Roman"/>
          <w:sz w:val="28"/>
          <w:szCs w:val="28"/>
        </w:rPr>
        <w:t>180-ФЗ «О биомедицинских клеточных продуктах»).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Правилами аккредитации медицинских организаций на право проведения клинических исследований биомедицинских клеточных продуктов, утвержденными постановлением Правительства Российской Федерации от 25 августа 2017 г. </w:t>
      </w:r>
      <w:r>
        <w:rPr>
          <w:rFonts w:ascii="Times New Roman" w:hAnsi="Times New Roman" w:cs="Times New Roman"/>
          <w:sz w:val="28"/>
          <w:szCs w:val="28"/>
        </w:rPr>
        <w:t>№ </w:t>
      </w:r>
      <w:r w:rsidRPr="005E58C6">
        <w:rPr>
          <w:rFonts w:ascii="Times New Roman" w:hAnsi="Times New Roman" w:cs="Times New Roman"/>
          <w:sz w:val="28"/>
          <w:szCs w:val="28"/>
        </w:rPr>
        <w:t>1015,  в 2018 году были аккредитованы                   8 медицинских организаций.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обеспечения реализации  Национальной технологической инициативы по направлению «Хелснет», утвержденной распоряжением Правительства Российской Федерации от 5 мая 2018 г. </w:t>
      </w:r>
      <w:r>
        <w:rPr>
          <w:rFonts w:ascii="Times New Roman" w:hAnsi="Times New Roman" w:cs="Times New Roman"/>
          <w:sz w:val="28"/>
          <w:szCs w:val="28"/>
        </w:rPr>
        <w:t>№ </w:t>
      </w:r>
      <w:r w:rsidRPr="005E58C6">
        <w:rPr>
          <w:rFonts w:ascii="Times New Roman" w:hAnsi="Times New Roman" w:cs="Times New Roman"/>
          <w:sz w:val="28"/>
          <w:szCs w:val="28"/>
        </w:rPr>
        <w:t xml:space="preserve">870-р, разработан План мероприятий («дорожная карта») по совершенствованию законодательства и устранению административных барьеров.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Целью реализации Плана мероприятий, которая  осуществляется поэтапно с 2018 по 2035 год, является устранение основных ограничений в области нормативного правового регулирования, препятствующих развитию организаций, функционирующих на территории Российской Федерации в рамках рынка «Хелснет», и их выходу на международные рынки.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продолжена реализация научно-исследовательской программы Союзного государства «Разработка новых спинальных систем с использованием технологий прототипирования в хирургическом лечении детей с тяжелыми врожденными деформациями и повреждениями позвоночника (Спинальные системы)»,  направленной на стимулирование импортозамещения и поддержку российских технологических ресурсов в производстве  медицинской продукции.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развития инноваций в сфере охраны здоровья, укрепления кадрового научного потенциала, создания условий для устойчивого спроса на инновационную продукцию и ее внедрения в практическое здравоохранение, развития трансляционной медицины 22 национальных медицинских исследовательских центра осуществляют  организационно-методическое </w:t>
      </w:r>
      <w:r w:rsidRPr="005E58C6">
        <w:rPr>
          <w:rFonts w:ascii="Times New Roman" w:hAnsi="Times New Roman" w:cs="Times New Roman"/>
          <w:sz w:val="28"/>
          <w:szCs w:val="28"/>
        </w:rPr>
        <w:lastRenderedPageBreak/>
        <w:t>руководство профильными медицинскими организациями субъектов Российской Федерации для  обеспечения функционирования  вертикально-интегрированной  системы оказания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национальными медицинскими исследовательскими центрами  в ходе  выездов в медицинские организации субъектов Российской Федерации выявлены недостатки в организации системы оказания медицинской помощи, в том числе  в маршрутизации пациентов, в лекарственном обеспечении, кадровый дисбаланс и недостаток квалифицированных специалистов. По результатам анализа ситуации  для каждого региона  по профильным направлениям совместно со специалистами регионов  выработаны рекомендации  для налаживания четко работающей системы оказания медицинской помощи и контроля качества ее оказания.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то же время в национальных медицинских исследовательских центрах сформированы специальные организационно-методические отделы для выполнения «головных» функций по закрепленным за ними профилям медицинской помощи, обеспечена техническая возможность проведения дистанционных консультаций и консилиумов, выполнено подключение профильных региональных медицинских организаций, определенных для взаимодействия с национальными медицинскими исследовательскими центрами.</w:t>
      </w:r>
    </w:p>
    <w:p w:rsidR="005E58C6" w:rsidRPr="005E58C6" w:rsidRDefault="005E58C6" w:rsidP="003A3EA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Минздравом России совместно с заинтересованными федеральными органами исполнительной власти разработан и утвержден распоряжением Правительства Российской Федерации от 30 марта 2019 г. </w:t>
      </w:r>
      <w:r>
        <w:rPr>
          <w:rFonts w:ascii="Times New Roman" w:hAnsi="Times New Roman" w:cs="Times New Roman"/>
          <w:sz w:val="28"/>
          <w:szCs w:val="28"/>
        </w:rPr>
        <w:t>№ </w:t>
      </w:r>
      <w:r w:rsidRPr="005E58C6">
        <w:rPr>
          <w:rFonts w:ascii="Times New Roman" w:hAnsi="Times New Roman" w:cs="Times New Roman"/>
          <w:sz w:val="28"/>
          <w:szCs w:val="28"/>
        </w:rPr>
        <w:t>604-р план мероприятий на 2019–2024 годы по реализации Стратегии предупреждения распространения антимикробной резистентности в Российской Федерации на период до 2030 года (далее соответственно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План, Стратегия), утвержденной распоряжением Правительства Российской Ф</w:t>
      </w:r>
      <w:r w:rsidR="003A3EA4">
        <w:rPr>
          <w:rFonts w:ascii="Times New Roman" w:hAnsi="Times New Roman" w:cs="Times New Roman"/>
          <w:sz w:val="28"/>
          <w:szCs w:val="28"/>
        </w:rPr>
        <w:t xml:space="preserve">едерации от 25 сентября  2017 г. </w:t>
      </w:r>
      <w:r>
        <w:rPr>
          <w:rFonts w:ascii="Times New Roman" w:hAnsi="Times New Roman" w:cs="Times New Roman"/>
          <w:sz w:val="28"/>
          <w:szCs w:val="28"/>
        </w:rPr>
        <w:t>№ </w:t>
      </w:r>
      <w:r w:rsidRPr="005E58C6">
        <w:rPr>
          <w:rFonts w:ascii="Times New Roman" w:hAnsi="Times New Roman" w:cs="Times New Roman"/>
          <w:sz w:val="28"/>
          <w:szCs w:val="28"/>
        </w:rPr>
        <w:t>2045-р.</w:t>
      </w:r>
    </w:p>
    <w:p w:rsidR="005E58C6" w:rsidRPr="005E58C6" w:rsidRDefault="005E58C6" w:rsidP="003A3EA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План соответствует основным направлениям решения задач Стратегии</w:t>
      </w:r>
      <w:r w:rsidR="003A3EA4">
        <w:rPr>
          <w:rFonts w:ascii="Times New Roman" w:hAnsi="Times New Roman" w:cs="Times New Roman"/>
          <w:sz w:val="28"/>
          <w:szCs w:val="28"/>
        </w:rPr>
        <w:t xml:space="preserve"> </w:t>
      </w:r>
      <w:r w:rsidRPr="005E58C6">
        <w:rPr>
          <w:rFonts w:ascii="Times New Roman" w:hAnsi="Times New Roman" w:cs="Times New Roman"/>
          <w:sz w:val="28"/>
          <w:szCs w:val="28"/>
        </w:rPr>
        <w:t>и предусматривает осуществление в 2019-2024 годах обеспечение нормативно-правового регулирования по вопросам предупреждения и преодоления распространения антимикробной резистентности и практических мероприятий по: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информированию населения по вопросам применения противомикробных препаратов и проблемам антимикробной резистентности;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повышению уровня подготовки специалистов в соответствующих отраслях по вопросам, связанным с антимикробной резистентностью;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совершенствованию мер по предупреждению и ограничению распространения и циркуляции возбудителей с антимикробной резистентностью;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обеспечению системного мониторинга распространения антимикробной резистентности;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изучению механизмов возникновения антимикробной резистентности;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разработке противомикробных препаратов и альтернативных методов, технологий и средств профилактики, диагностики и лечения инфекционных заболеваний;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совершенствованию мер по осуществлению контроля за оборотом противомикробных препаратов;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обеспечению межведомственного взаимодействия и развитию международного сотрудничества в области предупреждения и ограничения распространения антимикробной резистентности.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согласно пункту 4 Перечня документов стратегического планирования в сфере обеспечения национальной безопасности Российской Федерации, подлежащих разработке (корректировке) и утверждению в период 2016-2018 годов, утвержденного Президентом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30 декабря 2015 г. </w:t>
      </w:r>
      <w:r>
        <w:rPr>
          <w:rFonts w:ascii="Times New Roman" w:hAnsi="Times New Roman" w:cs="Times New Roman"/>
          <w:sz w:val="28"/>
          <w:szCs w:val="28"/>
        </w:rPr>
        <w:t>№ </w:t>
      </w:r>
      <w:r w:rsidRPr="005E58C6">
        <w:rPr>
          <w:rFonts w:ascii="Times New Roman" w:hAnsi="Times New Roman" w:cs="Times New Roman"/>
          <w:sz w:val="28"/>
          <w:szCs w:val="28"/>
        </w:rPr>
        <w:t>Пр-2736, Минздравом России разработаны Основы государственной политики в области обеспечения химической и биологической безопасности Российской Федерации на период до 2025 года и дальнейшую перспективу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Основы), утвержденные Указом Президента Российской Федерации от 11 марта 2019 г. </w:t>
      </w:r>
      <w:r>
        <w:rPr>
          <w:rFonts w:ascii="Times New Roman" w:hAnsi="Times New Roman" w:cs="Times New Roman"/>
          <w:sz w:val="28"/>
          <w:szCs w:val="28"/>
        </w:rPr>
        <w:t>№ </w:t>
      </w:r>
      <w:r w:rsidRPr="005E58C6">
        <w:rPr>
          <w:rFonts w:ascii="Times New Roman" w:hAnsi="Times New Roman" w:cs="Times New Roman"/>
          <w:sz w:val="28"/>
          <w:szCs w:val="28"/>
        </w:rPr>
        <w:t>97 «Об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Основы являются документом стратегического планирования в области обеспечения национальной безопасности Российской Федерации, которым определены цель, принципы, приоритетные направления и основные задачи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 Целью государственной политики в области обеспечения химической и биологической безопасности является </w:t>
      </w:r>
      <w:r w:rsidRPr="005E58C6">
        <w:rPr>
          <w:rFonts w:ascii="Times New Roman" w:hAnsi="Times New Roman" w:cs="Times New Roman"/>
          <w:sz w:val="28"/>
          <w:szCs w:val="28"/>
        </w:rPr>
        <w:lastRenderedPageBreak/>
        <w:t>поддержание допустимого уровня риска негативного воздействия опасных химических и биологических факторов на население и окружающую среду. Также Основами определены основные задачи и приоритетные направления государственной политики в области химической и биологической безопасности, в части осуществления мониторинга химических и биологических рисков, совершенствования нормативно-правового регулирования и государственного управления в этой области, ресурсного обеспечения национальной системы химической и биологической безопасности, нейтрализации химических и биологических угроз, предупреждения и минимизации химических и биологических рисков, повышения защищенности населения и окружающей среды от негативного воздействия опасных химических и биологических факторов.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настоящее время Минздравом России совместно с заинтересованными федеральными органами исполнительной власти разрабатывается план мероприятий по реализации Основ.</w:t>
      </w: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Default="003A3EA4" w:rsidP="005E58C6">
      <w:pPr>
        <w:widowControl w:val="0"/>
        <w:spacing w:after="0" w:line="312" w:lineRule="auto"/>
        <w:ind w:firstLine="709"/>
        <w:jc w:val="both"/>
        <w:rPr>
          <w:rFonts w:ascii="Times New Roman" w:hAnsi="Times New Roman" w:cs="Times New Roman"/>
          <w:sz w:val="28"/>
          <w:szCs w:val="28"/>
        </w:rPr>
      </w:pPr>
    </w:p>
    <w:p w:rsidR="003A3EA4" w:rsidRPr="005E58C6" w:rsidRDefault="003A3EA4"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3A3EA4" w:rsidRDefault="005E58C6" w:rsidP="005E58C6">
      <w:pPr>
        <w:widowControl w:val="0"/>
        <w:spacing w:after="0" w:line="312" w:lineRule="auto"/>
        <w:ind w:firstLine="709"/>
        <w:jc w:val="both"/>
        <w:rPr>
          <w:rFonts w:ascii="Times New Roman" w:hAnsi="Times New Roman" w:cs="Times New Roman"/>
          <w:b/>
          <w:sz w:val="28"/>
          <w:szCs w:val="28"/>
        </w:rPr>
      </w:pPr>
      <w:r w:rsidRPr="003A3EA4">
        <w:rPr>
          <w:rFonts w:ascii="Times New Roman" w:hAnsi="Times New Roman" w:cs="Times New Roman"/>
          <w:b/>
          <w:sz w:val="28"/>
          <w:szCs w:val="28"/>
        </w:rPr>
        <w:lastRenderedPageBreak/>
        <w:t>подраздел 6.7  Охрана здоровья матери и ребенка</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Указом Президента Российской Федерации от 7 мая  2012 г. </w:t>
      </w:r>
      <w:r>
        <w:rPr>
          <w:rFonts w:ascii="Times New Roman" w:hAnsi="Times New Roman" w:cs="Times New Roman"/>
          <w:sz w:val="28"/>
          <w:szCs w:val="28"/>
        </w:rPr>
        <w:t>№ </w:t>
      </w:r>
      <w:r w:rsidRPr="005E58C6">
        <w:rPr>
          <w:rFonts w:ascii="Times New Roman" w:hAnsi="Times New Roman" w:cs="Times New Roman"/>
          <w:sz w:val="28"/>
          <w:szCs w:val="28"/>
        </w:rPr>
        <w:t>598 «О совершенствовании государственной политики в сфере здравоохранения»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Указ Президента </w:t>
      </w:r>
      <w:r>
        <w:rPr>
          <w:rFonts w:ascii="Times New Roman" w:hAnsi="Times New Roman" w:cs="Times New Roman"/>
          <w:sz w:val="28"/>
          <w:szCs w:val="28"/>
        </w:rPr>
        <w:t>№ </w:t>
      </w:r>
      <w:r w:rsidRPr="005E58C6">
        <w:rPr>
          <w:rFonts w:ascii="Times New Roman" w:hAnsi="Times New Roman" w:cs="Times New Roman"/>
          <w:sz w:val="28"/>
          <w:szCs w:val="28"/>
        </w:rPr>
        <w:t xml:space="preserve">598) определено к 2018 году снижение младенческой смертности, в первую очередь за счет снижения ее в регионах с высоким уровнем данного показателя, до 7,5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За январь-декабрь 2018 года в Российской Федерации показатель младенческой смертности снизился до 5,1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(на 7,3</w:t>
      </w:r>
      <w:r w:rsidR="00000709">
        <w:rPr>
          <w:rFonts w:ascii="Times New Roman" w:hAnsi="Times New Roman" w:cs="Times New Roman"/>
          <w:sz w:val="28"/>
          <w:szCs w:val="28"/>
        </w:rPr>
        <w:t> %</w:t>
      </w:r>
      <w:r w:rsidRPr="005E58C6">
        <w:rPr>
          <w:rFonts w:ascii="Times New Roman" w:hAnsi="Times New Roman" w:cs="Times New Roman"/>
          <w:sz w:val="28"/>
          <w:szCs w:val="28"/>
        </w:rPr>
        <w:t>) по сравнению с аналогичным периодом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5,5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Отмечается снижение показателя младенческой смертности во всех федеральных округах Российской Федерации.</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Центральном федеральном округе показатель младенческой смертности снизился с 5,1 до 4,7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Северо-Западном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4,6 до 4,2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Южном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5,1 до 4,8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Северо-Кавказском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8,0 до 6,8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Приволжском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5,3 до 4,7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Уральском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5,1 до 4,6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Сибирском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6,3 до 6,1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Дальневосточном федеральном округе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5,8 до 5,4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январе-декабре 2018 г. по сравнению с аналогичным периодом </w:t>
      </w:r>
      <w:r w:rsidR="00976DEF">
        <w:rPr>
          <w:rFonts w:ascii="Times New Roman" w:hAnsi="Times New Roman" w:cs="Times New Roman"/>
          <w:sz w:val="28"/>
          <w:szCs w:val="28"/>
        </w:rPr>
        <w:t>2017 </w:t>
      </w:r>
      <w:r w:rsidRPr="005E58C6">
        <w:rPr>
          <w:rFonts w:ascii="Times New Roman" w:hAnsi="Times New Roman" w:cs="Times New Roman"/>
          <w:sz w:val="28"/>
          <w:szCs w:val="28"/>
        </w:rPr>
        <w:t>г., в Центральном федеральном округе произошло повышение младенческой смертности в 6 из 18 субъектов Российской Федерации (Калужская, Липецкая, Рязанская, Смоленская, Тамбовская и Тверская области).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Северо-Западном федеральном округе из 11 регионов в 2 произошел рост младенческой смертности (Республика Коми и г. Санкт-Петербург).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Южном федеральном округе из 8 регионов в 4 произошло повышение показателя младенческой смертности (Республика Калмыкия, Краснодарский край, Астраханская и Волгоградская области).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Северо-Кавказском федеральном округе в 1 регионе наблюдается рост показателя младенческой смертности (Кабардино-Балкарская Республика).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В Приволжском федеральном округе из 14 регионов в 5 произошел рост младенческой смертности (Республика Марий Эл, Чувашская Республика, Кировская, Нижегородская и Ульяновская области).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Уральском федеральном округе из 6 регионов рост показателя младенческой смертности произошел в 1 регионе (Курганская область).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Сибирском федеральном округе из 12 регионов в 4 отмечено повышение младенческой смертности (Республика Тыва, Алтайский край, Иркутская и Томская области).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Дальневосточном федеральном округе из 9 регионов рост младенческой смертности произошел в 4 субъектах (Республика Саха (Якутия), Забайкальский край, Амурская область и Чукотский автономный округ).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январе - декабре 2018 г. по сравнению с аналогичным периодом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2017 г. в 27 из 85 субъектов Российской Федерации произошел рост младенческой смертности, из них в 13 субъектах Российской Федерации  показатель превысил аналогичный среднероссийский.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Вместе с тем в 54 регионах наблюдается снижение младенческой смертности.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4 субъектах Российской Федерации показатель младенческой смертности не изменился (Воронежская, Московская, Тюменская и Новосибирская области). </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Наиболее низкие показатели младенческой смертности (ниже 5,1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зарегистрированы в 46 субъектах Российской Федерации: Белгородской (4,9), Брянской (4,0), Владимирской (4,9), Воронежской (4,7), Ивановской (3,4), Калужской (4,7), Липецкой (3,5), Московской (4,1), Рязанской (4,8), Тамбовской (3,7), Тверской (4,7), Тульской (4,7), Ярославской (3,2), Архангельской (5,0), Калининградской (4,4), Ленинградской (3,2), Новгородской (4,4), Псковской (3,6), Волгоградской (4,9), Кировской (4,5), Пензенской (4,0), Самарской (4,5), Саратовской (4,7), Свердловской (4,6), Тюменской (4,1), Новосибирской (4,9), Сахалинской (2,8), Магаданской (3,4) областях, Краснодарском (4,9), Пермском (4,1), Приморском (4,9) и Хабаровском (5,0) краях, в республиках Адыгея (3,7), Коми (4,5), Крым (3,7), Северная Осетия-Алания (4,1), Хакасия (4,3), Мордовия (3,3), Татарстан (4,5), Удмуртия (4,4), Чувашия (3,8), Кабардино-Балкария (4,9), в Ханты-Мансийском (2,8) и Ненецком (1,7) </w:t>
      </w:r>
      <w:r w:rsidRPr="005E58C6">
        <w:rPr>
          <w:rFonts w:ascii="Times New Roman" w:hAnsi="Times New Roman" w:cs="Times New Roman"/>
          <w:sz w:val="28"/>
          <w:szCs w:val="28"/>
        </w:rPr>
        <w:lastRenderedPageBreak/>
        <w:t>автономных округах, в городах Санкт-Петербурге (3,8) и Севастополе (2,8).</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Наиболее высокие показатели младенческой смертности (8,0 и выше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в январе-декабре 2018 г. отмечаются в  республиках Дагестан (8,3) и Тыва (9,4), Чукотском автономном округе (11,1), Еврейской автономной области (9,5).</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Основные причины высокой младенческой смертности в этих регионах: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недостаточная эффективность ультразвукового скрининга на врожденные пороки развития в 1-м и 2-м триместрах беременности,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 как следствие,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несвоевременная маршрутизация части беременных женщин с врожденными пороками развития плода в профильные федеральные государственные медицинские учреждения;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недостаточное использование возможностей телемедицинских консультаций;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дефицит кадров, а также недостаточная квалификация врачей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как акушеров-гинекологов, так и неонатологов;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недостаточная работа по предотвращению госпитальной инфекции;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недостаточная работа социальных служб с социально дезадаптированным населением.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Всеми субъектами Российской Федерации разработаны планы по снижению младенческой смертности, которые утверждены главным внештатным специалистом неонатологом Минздрава России. Главные специалисты Минздрава России по неонатологии, педиатрии и акушерству - гинекологии, а также сотрудники профильных федеральных государственных медицинских учреждений регулярно выезжают в регионы, преимущественно с высокой младенческой смертностью; головные учреждения по акушерству-гинекологии и педиатрии в постоянном режиме осуществляют телемедицинские консультации сложных пациентов.  Минздравом России ведется анализ данных мониторинга, куда вносятся все случаи смертности детей, результаты обсуждаются на видеоселекторных совещаниях с органами государственной власти субъектов Российской Федерации в сфере охраны здоровья.</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Ведущей причиной смертности детей первого года жизни являются отдельные состояния, возникающие в перинатальном периоде. Число детей, умерших от состояний, возникающих в перинатальном периоде, за январь-</w:t>
      </w:r>
      <w:r w:rsidRPr="005E58C6">
        <w:rPr>
          <w:rFonts w:ascii="Times New Roman" w:hAnsi="Times New Roman" w:cs="Times New Roman"/>
          <w:sz w:val="28"/>
          <w:szCs w:val="28"/>
        </w:rPr>
        <w:lastRenderedPageBreak/>
        <w:t>декабрь 2018 г. составило 4 013 (январь-декабрь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4 949). На втором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врожденные аномалии (пороки развития), от которых за январь-декабрь 2018 г. умерло 1 748 детей (январь-декабрь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2 021 ребенок). На третьем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прочие болезни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1 276 детей (январь-декабрь 2017 г.</w:t>
      </w:r>
      <w:r w:rsidR="00051685">
        <w:rPr>
          <w:rFonts w:ascii="Times New Roman" w:hAnsi="Times New Roman" w:cs="Times New Roman"/>
          <w:sz w:val="28"/>
          <w:szCs w:val="28"/>
        </w:rPr>
        <w:t xml:space="preserve"> – </w:t>
      </w:r>
      <w:r w:rsidR="00976DEF">
        <w:rPr>
          <w:rFonts w:ascii="Times New Roman" w:hAnsi="Times New Roman" w:cs="Times New Roman"/>
          <w:sz w:val="28"/>
          <w:szCs w:val="28"/>
        </w:rPr>
        <w:t>1 </w:t>
      </w:r>
      <w:r w:rsidRPr="005E58C6">
        <w:rPr>
          <w:rFonts w:ascii="Times New Roman" w:hAnsi="Times New Roman" w:cs="Times New Roman"/>
          <w:sz w:val="28"/>
          <w:szCs w:val="28"/>
        </w:rPr>
        <w:t>374 ребенка). На четвертом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внешние причины смерти. За январь-декабрь 2018 г. от внешних причин  умерло 426 детей (январь-декабрь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450 детей). На пятом месте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болезни органов дыхания. За январь-декабрь 2018 г. от болезней органов дыхания умерло</w:t>
      </w:r>
      <w:r w:rsidR="00976DEF">
        <w:rPr>
          <w:rFonts w:ascii="Times New Roman" w:hAnsi="Times New Roman" w:cs="Times New Roman"/>
          <w:sz w:val="28"/>
          <w:szCs w:val="28"/>
        </w:rPr>
        <w:t xml:space="preserve"> 325 детей (январь-декабрь 2017 </w:t>
      </w:r>
      <w:r w:rsidRPr="005E58C6">
        <w:rPr>
          <w:rFonts w:ascii="Times New Roman" w:hAnsi="Times New Roman" w:cs="Times New Roman"/>
          <w:sz w:val="28"/>
          <w:szCs w:val="28"/>
        </w:rPr>
        <w:t>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383 ребенка).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продолжалась реализация программы «Родовый сертификат». В бюджете Фонда социального страхования Российской Федерации на реализацию указанной </w:t>
      </w:r>
      <w:r w:rsidR="00976DEF">
        <w:rPr>
          <w:rFonts w:ascii="Times New Roman" w:hAnsi="Times New Roman" w:cs="Times New Roman"/>
          <w:sz w:val="28"/>
          <w:szCs w:val="28"/>
        </w:rPr>
        <w:t>программы было предусмотрено 18 </w:t>
      </w:r>
      <w:r w:rsidRPr="005E58C6">
        <w:rPr>
          <w:rFonts w:ascii="Times New Roman" w:hAnsi="Times New Roman" w:cs="Times New Roman"/>
          <w:sz w:val="28"/>
          <w:szCs w:val="28"/>
        </w:rPr>
        <w:t>276,1 млн рублей за счет межбюджетных трансфертов из бюджета Федерального фонда обязательного медицинского страхования.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оказаны</w:t>
      </w:r>
      <w:r w:rsidR="00976DEF">
        <w:rPr>
          <w:rFonts w:ascii="Times New Roman" w:hAnsi="Times New Roman" w:cs="Times New Roman"/>
          <w:sz w:val="28"/>
          <w:szCs w:val="28"/>
        </w:rPr>
        <w:t xml:space="preserve"> услуги в период беременности 1 </w:t>
      </w:r>
      <w:r w:rsidRPr="005E58C6">
        <w:rPr>
          <w:rFonts w:ascii="Times New Roman" w:hAnsi="Times New Roman" w:cs="Times New Roman"/>
          <w:sz w:val="28"/>
          <w:szCs w:val="28"/>
        </w:rPr>
        <w:t>404,4 тыс. женщинам; в период родов и в послеродовой период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w:t>
      </w:r>
      <w:r w:rsidR="00976DEF">
        <w:rPr>
          <w:rFonts w:ascii="Times New Roman" w:hAnsi="Times New Roman" w:cs="Times New Roman"/>
          <w:sz w:val="28"/>
          <w:szCs w:val="28"/>
        </w:rPr>
        <w:t> </w:t>
      </w:r>
      <w:r w:rsidRPr="005E58C6">
        <w:rPr>
          <w:rFonts w:ascii="Times New Roman" w:hAnsi="Times New Roman" w:cs="Times New Roman"/>
          <w:sz w:val="28"/>
          <w:szCs w:val="28"/>
        </w:rPr>
        <w:t>483,7 тыс. женщинам; по профилактическим медицинским осмотрам ребенка в течение первого года жизни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1 911,0 тыс. услуг.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Результатом реализации программы «Родовый сертификат» явилось улучшение качества диспансерного наблюдения беременных женщин, снижение осложнений беременности и родов.</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 продолжены мероприятия в рамках реализации региональных программ модернизации здравоохранения субъектов Российской Федерации в части проектирования, строительства и ввода в эксплуатацию 32 перинатальных центров в 30 субъектах Российской Федерации.</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введены в эксплуатацию и начали прием пациентов</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10 перинатальных центров в 10 субъектах Российской Федерации (республики Бурятия, Карелия, Саха (Якутия), Красноярский край</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 xml:space="preserve">(г. Норильск), Архангельская, Ленинградская, Сахалинская, Смоленская, Тамбовская и Ульяновская области).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Таким образом, по состоянию на 1 января 2019 года, из 32 перинатальных центров оказывали медицинскую помощь 30 перинатальных центров в 28 субъектах Российской Федерации: республики Башкортостан, Бурятия, Дагестан, Ингушетия, Карелия, Саха (Якутия), Татарстан, Хакасия, Кабардино-Балкарская Республика, Алтайский, Красноярский (г. Ачинск, г. </w:t>
      </w:r>
      <w:r w:rsidRPr="005E58C6">
        <w:rPr>
          <w:rFonts w:ascii="Times New Roman" w:hAnsi="Times New Roman" w:cs="Times New Roman"/>
          <w:sz w:val="28"/>
          <w:szCs w:val="28"/>
        </w:rPr>
        <w:lastRenderedPageBreak/>
        <w:t xml:space="preserve">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Самарская, Сахалинская, Смоленская, Тамбовская, Ульяновская и Челябинская области.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вышеуказанных 30 перинатальных центрах, построенных в рамках Программы развития перинатальных центров в Российской Федерации, принято более 107,8 тыс. родов, в том числе 11,0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преждевременных; родилось более 110,5 тыс. детей. Консультативная медицинская помощь оказана более 609,3 тыс. женщин.</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Псковской области 29 декабря 2018 г. получена лицензияна осуществление медицинской деятельности в ГБУЗ Псковской области «Псковский перинатальный центр». Прием пациентов для оказания медицинской помощи в амбулаторных условиях начат 10 января 2019 г., первые роды приняты 28 января 2019 г.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Краснодарском крае получено разрешение на ввод перинатального центра в эксплуатацию (1 этап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ноября 2018 г., 2 этап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 ноября 2018 г.). Лицензия на осуществление медицинской деятельности переоформлена 8 апреля 2019 года. Прием пациентов и оказание медицинской помощи женщинам в период беременности, родов, в послеродовом периоде и новорожденным осуществляется с 22 апреля 2019 года.</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Комплексная пренатальная (дородовая) диагностика нарушений развития ребенка направлена на раннее выявление наследственных</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и врожденных заболеваний (нарушений развития) еще до рождения ребенка. В 2018 году по новому алгоритму пренатальной (дородовой) диагностики обследовано 1 131,4 тыс. беременных женщин, выявлено 19,9 тыс. плодов</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с врожденными пороками развития. Показатель младенческой смертности от врожденных аномалий развития за 12 месяцев 2018 г. снизился по сравнению с аналогичным периодом 2017 г. на 7,7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784811" w:rsidRDefault="005E58C6" w:rsidP="005E58C6">
      <w:pPr>
        <w:widowControl w:val="0"/>
        <w:spacing w:after="0" w:line="312" w:lineRule="auto"/>
        <w:ind w:firstLine="709"/>
        <w:jc w:val="both"/>
        <w:rPr>
          <w:rFonts w:ascii="Times New Roman" w:hAnsi="Times New Roman" w:cs="Times New Roman"/>
          <w:b/>
          <w:i/>
          <w:sz w:val="28"/>
          <w:szCs w:val="28"/>
        </w:rPr>
      </w:pPr>
      <w:r w:rsidRPr="00784811">
        <w:rPr>
          <w:rFonts w:ascii="Times New Roman" w:hAnsi="Times New Roman" w:cs="Times New Roman"/>
          <w:b/>
          <w:i/>
          <w:sz w:val="28"/>
          <w:szCs w:val="28"/>
        </w:rPr>
        <w:t>Обеспечение мероприятий по проведению неонатального скрининга на наследственные и врожденные заболевания и организация аудиологического скрининга детей 1-го года жизни</w:t>
      </w:r>
      <w:r w:rsidR="00976DEF" w:rsidRPr="00784811">
        <w:rPr>
          <w:rFonts w:ascii="Times New Roman" w:hAnsi="Times New Roman" w:cs="Times New Roman"/>
          <w:b/>
          <w:i/>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Российской Федерации обследовано более 1 534 тыс. новорожденных (более 95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числа родившихся, что соответствует требованиям ВОЗ и свидетельствует об эффективности мероприятия) на 5 наследственных и врожденных заболеваний, из них выявлено 1 114 детей        </w:t>
      </w:r>
      <w:r w:rsidRPr="005E58C6">
        <w:rPr>
          <w:rFonts w:ascii="Times New Roman" w:hAnsi="Times New Roman" w:cs="Times New Roman"/>
          <w:sz w:val="28"/>
          <w:szCs w:val="28"/>
        </w:rPr>
        <w:lastRenderedPageBreak/>
        <w:t>с наследственными и врожденными заболеваниями (228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фенилкетонурия, 465</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врожденный гипотиреоз, 196</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адреногенитальный синдром, 67</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галактоземия, 158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муковисцидоз). Все дети взяты под диспансерное наблюдение, получают необходимое лечение.</w:t>
      </w:r>
    </w:p>
    <w:p w:rsidR="005E58C6" w:rsidRPr="00784811" w:rsidRDefault="005E58C6" w:rsidP="005E58C6">
      <w:pPr>
        <w:widowControl w:val="0"/>
        <w:spacing w:after="0" w:line="312" w:lineRule="auto"/>
        <w:ind w:firstLine="709"/>
        <w:jc w:val="both"/>
        <w:rPr>
          <w:rFonts w:ascii="Times New Roman" w:hAnsi="Times New Roman" w:cs="Times New Roman"/>
          <w:b/>
          <w:i/>
          <w:sz w:val="28"/>
          <w:szCs w:val="28"/>
        </w:rPr>
      </w:pPr>
      <w:r w:rsidRPr="00784811">
        <w:rPr>
          <w:rFonts w:ascii="Times New Roman" w:hAnsi="Times New Roman" w:cs="Times New Roman"/>
          <w:b/>
          <w:i/>
          <w:sz w:val="28"/>
          <w:szCs w:val="28"/>
        </w:rPr>
        <w:t>Профилактика абортов. Развитие центров медико-социальной поддержки беременных, оказавшихся в трудной жизненной ситуации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Одним из резервов повышения рождаемости является снижение числа абортов в Российской Федерации. </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общее число абортов снизилось на 9,5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к уровню </w:t>
      </w:r>
      <w:r w:rsidR="00976DEF">
        <w:rPr>
          <w:rFonts w:ascii="Times New Roman" w:hAnsi="Times New Roman" w:cs="Times New Roman"/>
          <w:sz w:val="28"/>
          <w:szCs w:val="28"/>
        </w:rPr>
        <w:t>2017 </w:t>
      </w:r>
      <w:r w:rsidRPr="005E58C6">
        <w:rPr>
          <w:rFonts w:ascii="Times New Roman" w:hAnsi="Times New Roman" w:cs="Times New Roman"/>
          <w:sz w:val="28"/>
          <w:szCs w:val="28"/>
        </w:rPr>
        <w:t>года (с 627, 1 тыс. в 2017 году до 567,2 в 2018 году).</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Важным компонентом комплекса мероприятий, направленных</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на профилактику и снижение числа абортов, является создание центров медико-социальной поддержки беременных женщин, оказавшихся в трудной жизненной ситуации. В Российской Федерации функционирует 385 центров медико-социальной поддержки беременных женщин, оказавшихся в трудной жизненной ситуации.</w:t>
      </w:r>
    </w:p>
    <w:p w:rsidR="005E58C6" w:rsidRPr="00784811" w:rsidRDefault="005E58C6" w:rsidP="005E58C6">
      <w:pPr>
        <w:widowControl w:val="0"/>
        <w:spacing w:after="0" w:line="312" w:lineRule="auto"/>
        <w:ind w:firstLine="709"/>
        <w:jc w:val="both"/>
        <w:rPr>
          <w:rFonts w:ascii="Times New Roman" w:hAnsi="Times New Roman" w:cs="Times New Roman"/>
          <w:b/>
          <w:i/>
          <w:sz w:val="28"/>
          <w:szCs w:val="28"/>
        </w:rPr>
      </w:pPr>
      <w:r w:rsidRPr="00784811">
        <w:rPr>
          <w:rFonts w:ascii="Times New Roman" w:hAnsi="Times New Roman" w:cs="Times New Roman"/>
          <w:b/>
          <w:i/>
          <w:sz w:val="28"/>
          <w:szCs w:val="28"/>
        </w:rPr>
        <w:t>Повышение квалификации врачей акушеров-гинекологов, неонатологов, педиатров. Создание обучающих симуляционных центров</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обучающих симуляционных центрах Российской Федерации</w:t>
      </w:r>
      <w:r w:rsidR="00976DEF">
        <w:rPr>
          <w:rFonts w:ascii="Times New Roman" w:hAnsi="Times New Roman" w:cs="Times New Roman"/>
          <w:sz w:val="28"/>
          <w:szCs w:val="28"/>
        </w:rPr>
        <w:t xml:space="preserve"> </w:t>
      </w:r>
      <w:r w:rsidR="00784811">
        <w:rPr>
          <w:rFonts w:ascii="Times New Roman" w:hAnsi="Times New Roman" w:cs="Times New Roman"/>
          <w:sz w:val="28"/>
          <w:szCs w:val="28"/>
        </w:rPr>
        <w:t>в 2018 </w:t>
      </w:r>
      <w:r w:rsidRPr="005E58C6">
        <w:rPr>
          <w:rFonts w:ascii="Times New Roman" w:hAnsi="Times New Roman" w:cs="Times New Roman"/>
          <w:sz w:val="28"/>
          <w:szCs w:val="28"/>
        </w:rPr>
        <w:t>году прошли повышение квалификации 6,5 тыс. врачей</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акушеров-гинекологов, неонатологов, анестезиологов-реаниматологов.</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Овладение мануальными навыками для своевременного оказания</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в полном объеме необходимой медицинской помощи беременным, роженицам, родильницам и новорожденным детям позволяет значительно улучшить качество оказания медицинской помощи женщинам и детям.</w:t>
      </w:r>
    </w:p>
    <w:p w:rsidR="005E58C6" w:rsidRPr="005E58C6" w:rsidRDefault="005E58C6" w:rsidP="00976DEF">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создано 2 новых обучающих симуляционных центра</w:t>
      </w:r>
      <w:r w:rsidR="00976DEF">
        <w:rPr>
          <w:rFonts w:ascii="Times New Roman" w:hAnsi="Times New Roman" w:cs="Times New Roman"/>
          <w:sz w:val="28"/>
          <w:szCs w:val="28"/>
        </w:rPr>
        <w:t xml:space="preserve"> </w:t>
      </w:r>
      <w:r w:rsidRPr="005E58C6">
        <w:rPr>
          <w:rFonts w:ascii="Times New Roman" w:hAnsi="Times New Roman" w:cs="Times New Roman"/>
          <w:sz w:val="28"/>
          <w:szCs w:val="28"/>
        </w:rPr>
        <w:t>на базе государственных бюджетных образовательных учреждений высшего образования, находящихся в ведении Министерства здравоохранения Российской Федерации: ФГБОУ ВО «Казанский государственный медицинский университет» Минздрава России и ФГБОУ ВО «Кубанский государственный медицинский университет» Минздрава России.</w:t>
      </w:r>
    </w:p>
    <w:p w:rsidR="005E58C6" w:rsidRPr="00784811" w:rsidRDefault="005E58C6" w:rsidP="005E58C6">
      <w:pPr>
        <w:widowControl w:val="0"/>
        <w:spacing w:after="0" w:line="312" w:lineRule="auto"/>
        <w:ind w:firstLine="709"/>
        <w:jc w:val="both"/>
        <w:rPr>
          <w:rFonts w:ascii="Times New Roman" w:hAnsi="Times New Roman" w:cs="Times New Roman"/>
          <w:b/>
          <w:i/>
          <w:sz w:val="28"/>
          <w:szCs w:val="28"/>
        </w:rPr>
      </w:pPr>
      <w:r w:rsidRPr="00784811">
        <w:rPr>
          <w:rFonts w:ascii="Times New Roman" w:hAnsi="Times New Roman" w:cs="Times New Roman"/>
          <w:b/>
          <w:i/>
          <w:sz w:val="28"/>
          <w:szCs w:val="28"/>
        </w:rPr>
        <w:t>Мониторинг диспансеризации детей-сирот и детей, находящихся в трудной жизненной ситуации, пребывающих в стационарных учреждениях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данным мониторинга, осуществляемого Федеральным фондом </w:t>
      </w:r>
      <w:r w:rsidRPr="005E58C6">
        <w:rPr>
          <w:rFonts w:ascii="Times New Roman" w:hAnsi="Times New Roman" w:cs="Times New Roman"/>
          <w:sz w:val="28"/>
          <w:szCs w:val="28"/>
        </w:rPr>
        <w:lastRenderedPageBreak/>
        <w:t>обязательного медицинского страхования, в 2018 году медицинским организациям оплачено 192, 2 тыс. законченных случаев диспансеризации пребывающих в стационарных учреждениях детей-сирот и детей, находящихся в трудной жизненной ситуации (в 2014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252, 7 тыс., в 2015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231, 7 тыс., 2016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211, 8 тыс.,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194, 1 тыс.).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Дети, пребывающие в стационарных учреждениях системы образования, здравоохранения и социальной защиты, распределены по следующим группам здоровья: Ι группа (практически здоровые)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6,3</w:t>
      </w:r>
      <w:r w:rsidR="00000709">
        <w:rPr>
          <w:rFonts w:ascii="Times New Roman" w:hAnsi="Times New Roman" w:cs="Times New Roman"/>
          <w:sz w:val="28"/>
          <w:szCs w:val="28"/>
        </w:rPr>
        <w:t> %</w:t>
      </w:r>
      <w:r w:rsidRPr="005E58C6">
        <w:rPr>
          <w:rFonts w:ascii="Times New Roman" w:hAnsi="Times New Roman" w:cs="Times New Roman"/>
          <w:sz w:val="28"/>
          <w:szCs w:val="28"/>
        </w:rPr>
        <w:t>); ΙΙ группа (имеющие функциональные нарушения)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34,4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33,3</w:t>
      </w:r>
      <w:r w:rsidR="00000709">
        <w:rPr>
          <w:rFonts w:ascii="Times New Roman" w:hAnsi="Times New Roman" w:cs="Times New Roman"/>
          <w:sz w:val="28"/>
          <w:szCs w:val="28"/>
        </w:rPr>
        <w:t> %</w:t>
      </w:r>
      <w:r w:rsidRPr="005E58C6">
        <w:rPr>
          <w:rFonts w:ascii="Times New Roman" w:hAnsi="Times New Roman" w:cs="Times New Roman"/>
          <w:sz w:val="28"/>
          <w:szCs w:val="28"/>
        </w:rPr>
        <w:t>); ΙΙΙ группа (имеющие хронические заболевания)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31,6</w:t>
      </w:r>
      <w:r w:rsidR="00000709">
        <w:rPr>
          <w:rFonts w:ascii="Times New Roman" w:hAnsi="Times New Roman" w:cs="Times New Roman"/>
          <w:sz w:val="28"/>
          <w:szCs w:val="28"/>
        </w:rPr>
        <w:t> %</w:t>
      </w:r>
      <w:r w:rsidRPr="005E58C6">
        <w:rPr>
          <w:rFonts w:ascii="Times New Roman" w:hAnsi="Times New Roman" w:cs="Times New Roman"/>
          <w:sz w:val="28"/>
          <w:szCs w:val="28"/>
        </w:rPr>
        <w:t>); ΙV группа (имеющие заболевания, ведущие к инвалидизации)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w:t>
      </w:r>
      <w:r w:rsidR="00000709">
        <w:rPr>
          <w:rFonts w:ascii="Times New Roman" w:hAnsi="Times New Roman" w:cs="Times New Roman"/>
          <w:sz w:val="28"/>
          <w:szCs w:val="28"/>
        </w:rPr>
        <w:t> %</w:t>
      </w:r>
      <w:r w:rsidRPr="005E58C6">
        <w:rPr>
          <w:rFonts w:ascii="Times New Roman" w:hAnsi="Times New Roman" w:cs="Times New Roman"/>
          <w:sz w:val="28"/>
          <w:szCs w:val="28"/>
        </w:rPr>
        <w:t>); V группа (дети-инвалиды)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CC6E88" w:rsidRDefault="005E58C6" w:rsidP="005E58C6">
      <w:pPr>
        <w:widowControl w:val="0"/>
        <w:spacing w:after="0" w:line="312" w:lineRule="auto"/>
        <w:ind w:firstLine="709"/>
        <w:jc w:val="both"/>
        <w:rPr>
          <w:rFonts w:ascii="Times New Roman" w:hAnsi="Times New Roman" w:cs="Times New Roman"/>
          <w:b/>
          <w:i/>
          <w:sz w:val="28"/>
          <w:szCs w:val="28"/>
        </w:rPr>
      </w:pPr>
      <w:r w:rsidRPr="00CC6E88">
        <w:rPr>
          <w:rFonts w:ascii="Times New Roman" w:hAnsi="Times New Roman" w:cs="Times New Roman"/>
          <w:b/>
          <w:i/>
          <w:sz w:val="28"/>
          <w:szCs w:val="28"/>
        </w:rPr>
        <w:t xml:space="preserve">Мониторинг диспансеризации детей-сирот и детей, оставшихся без попечения родителей, переданных на различные формы семейного   устройства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мониторинга Федерального фонда обязательного медицинского страхования, в 2018 году медицинским организациям оплачено 317, 2 тыс.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267, 2 тыс.,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288, 7 тыс.).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результатам диспансеризации дети распределены по следующим группам здоровья: Ι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16,7</w:t>
      </w:r>
      <w:r w:rsidR="00000709">
        <w:rPr>
          <w:rFonts w:ascii="Times New Roman" w:hAnsi="Times New Roman" w:cs="Times New Roman"/>
          <w:sz w:val="28"/>
          <w:szCs w:val="28"/>
        </w:rPr>
        <w:t> %</w:t>
      </w:r>
      <w:r w:rsidRPr="005E58C6">
        <w:rPr>
          <w:rFonts w:ascii="Times New Roman" w:hAnsi="Times New Roman" w:cs="Times New Roman"/>
          <w:sz w:val="28"/>
          <w:szCs w:val="28"/>
        </w:rPr>
        <w:t>,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ΙΙ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55,9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51,3</w:t>
      </w:r>
      <w:r w:rsidR="00000709">
        <w:rPr>
          <w:rFonts w:ascii="Times New Roman" w:hAnsi="Times New Roman" w:cs="Times New Roman"/>
          <w:sz w:val="28"/>
          <w:szCs w:val="28"/>
        </w:rPr>
        <w:t> %</w:t>
      </w:r>
      <w:r w:rsidRPr="005E58C6">
        <w:rPr>
          <w:rFonts w:ascii="Times New Roman" w:hAnsi="Times New Roman" w:cs="Times New Roman"/>
          <w:sz w:val="28"/>
          <w:szCs w:val="28"/>
        </w:rPr>
        <w:t>,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54,9</w:t>
      </w:r>
      <w:r w:rsidR="00000709">
        <w:rPr>
          <w:rFonts w:ascii="Times New Roman" w:hAnsi="Times New Roman" w:cs="Times New Roman"/>
          <w:sz w:val="28"/>
          <w:szCs w:val="28"/>
        </w:rPr>
        <w:t> %</w:t>
      </w:r>
      <w:r w:rsidRPr="005E58C6">
        <w:rPr>
          <w:rFonts w:ascii="Times New Roman" w:hAnsi="Times New Roman" w:cs="Times New Roman"/>
          <w:sz w:val="28"/>
          <w:szCs w:val="28"/>
        </w:rPr>
        <w:t>); ΙΙΙ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51,3</w:t>
      </w:r>
      <w:r w:rsidR="00000709">
        <w:rPr>
          <w:rFonts w:ascii="Times New Roman" w:hAnsi="Times New Roman" w:cs="Times New Roman"/>
          <w:sz w:val="28"/>
          <w:szCs w:val="28"/>
        </w:rPr>
        <w:t> %</w:t>
      </w:r>
      <w:r w:rsidRPr="005E58C6">
        <w:rPr>
          <w:rFonts w:ascii="Times New Roman" w:hAnsi="Times New Roman" w:cs="Times New Roman"/>
          <w:sz w:val="28"/>
          <w:szCs w:val="28"/>
        </w:rPr>
        <w:t>,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22,7</w:t>
      </w:r>
      <w:r w:rsidR="00000709">
        <w:rPr>
          <w:rFonts w:ascii="Times New Roman" w:hAnsi="Times New Roman" w:cs="Times New Roman"/>
          <w:sz w:val="28"/>
          <w:szCs w:val="28"/>
        </w:rPr>
        <w:t> %</w:t>
      </w:r>
      <w:r w:rsidRPr="005E58C6">
        <w:rPr>
          <w:rFonts w:ascii="Times New Roman" w:hAnsi="Times New Roman" w:cs="Times New Roman"/>
          <w:sz w:val="28"/>
          <w:szCs w:val="28"/>
        </w:rPr>
        <w:t>); ΙV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w:t>
      </w:r>
      <w:r w:rsidR="00000709">
        <w:rPr>
          <w:rFonts w:ascii="Times New Roman" w:hAnsi="Times New Roman" w:cs="Times New Roman"/>
          <w:sz w:val="28"/>
          <w:szCs w:val="28"/>
        </w:rPr>
        <w:t> %</w:t>
      </w:r>
      <w:r w:rsidRPr="005E58C6">
        <w:rPr>
          <w:rFonts w:ascii="Times New Roman" w:hAnsi="Times New Roman" w:cs="Times New Roman"/>
          <w:sz w:val="28"/>
          <w:szCs w:val="28"/>
        </w:rPr>
        <w:t>); V группа (дети-инвалиды)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5,2</w:t>
      </w:r>
      <w:r w:rsidR="00000709">
        <w:rPr>
          <w:rFonts w:ascii="Times New Roman" w:hAnsi="Times New Roman" w:cs="Times New Roman"/>
          <w:sz w:val="28"/>
          <w:szCs w:val="28"/>
        </w:rPr>
        <w:t> %</w:t>
      </w:r>
      <w:r w:rsidRPr="005E58C6">
        <w:rPr>
          <w:rFonts w:ascii="Times New Roman" w:hAnsi="Times New Roman" w:cs="Times New Roman"/>
          <w:sz w:val="28"/>
          <w:szCs w:val="28"/>
        </w:rPr>
        <w:t>,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870F66" w:rsidRDefault="005E58C6" w:rsidP="005E58C6">
      <w:pPr>
        <w:widowControl w:val="0"/>
        <w:spacing w:after="0" w:line="312" w:lineRule="auto"/>
        <w:ind w:firstLine="709"/>
        <w:jc w:val="both"/>
        <w:rPr>
          <w:rFonts w:ascii="Times New Roman" w:hAnsi="Times New Roman" w:cs="Times New Roman"/>
          <w:b/>
          <w:i/>
          <w:sz w:val="28"/>
          <w:szCs w:val="28"/>
        </w:rPr>
      </w:pPr>
      <w:r w:rsidRPr="00870F66">
        <w:rPr>
          <w:rFonts w:ascii="Times New Roman" w:hAnsi="Times New Roman" w:cs="Times New Roman"/>
          <w:b/>
          <w:i/>
          <w:sz w:val="28"/>
          <w:szCs w:val="28"/>
        </w:rPr>
        <w:t>Мониторинг основных показателей реализации мероприятий по профилактическим осмотрам несовершеннолетних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число детей, прошедших профилактические осмотры, составило 26,7 млн человек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26,1 млн детей,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24,6 млн детей).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По результатам профилактических осмотров дети распределены по следующим группам здоровья: Ι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27,6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27,8</w:t>
      </w:r>
      <w:r w:rsidR="00000709">
        <w:rPr>
          <w:rFonts w:ascii="Times New Roman" w:hAnsi="Times New Roman" w:cs="Times New Roman"/>
          <w:sz w:val="28"/>
          <w:szCs w:val="28"/>
        </w:rPr>
        <w:t> %</w:t>
      </w:r>
      <w:r w:rsidRPr="005E58C6">
        <w:rPr>
          <w:rFonts w:ascii="Times New Roman" w:hAnsi="Times New Roman" w:cs="Times New Roman"/>
          <w:sz w:val="28"/>
          <w:szCs w:val="28"/>
        </w:rPr>
        <w:t>,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30,1</w:t>
      </w:r>
      <w:r w:rsidR="00000709">
        <w:rPr>
          <w:rFonts w:ascii="Times New Roman" w:hAnsi="Times New Roman" w:cs="Times New Roman"/>
          <w:sz w:val="28"/>
          <w:szCs w:val="28"/>
        </w:rPr>
        <w:t> %</w:t>
      </w:r>
      <w:r w:rsidRPr="005E58C6">
        <w:rPr>
          <w:rFonts w:ascii="Times New Roman" w:hAnsi="Times New Roman" w:cs="Times New Roman"/>
          <w:sz w:val="28"/>
          <w:szCs w:val="28"/>
        </w:rPr>
        <w:t>); ΙΙ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56,2</w:t>
      </w:r>
      <w:r w:rsidR="00000709">
        <w:rPr>
          <w:rFonts w:ascii="Times New Roman" w:hAnsi="Times New Roman" w:cs="Times New Roman"/>
          <w:sz w:val="28"/>
          <w:szCs w:val="28"/>
        </w:rPr>
        <w:t> %</w:t>
      </w:r>
      <w:r w:rsidRPr="005E58C6">
        <w:rPr>
          <w:rFonts w:ascii="Times New Roman" w:hAnsi="Times New Roman" w:cs="Times New Roman"/>
          <w:sz w:val="28"/>
          <w:szCs w:val="28"/>
        </w:rPr>
        <w:t>); ΙΙΙ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13,5</w:t>
      </w:r>
      <w:r w:rsidR="00000709">
        <w:rPr>
          <w:rFonts w:ascii="Times New Roman" w:hAnsi="Times New Roman" w:cs="Times New Roman"/>
          <w:sz w:val="28"/>
          <w:szCs w:val="28"/>
        </w:rPr>
        <w:t> %</w:t>
      </w:r>
      <w:r w:rsidRPr="005E58C6">
        <w:rPr>
          <w:rFonts w:ascii="Times New Roman" w:hAnsi="Times New Roman" w:cs="Times New Roman"/>
          <w:sz w:val="28"/>
          <w:szCs w:val="28"/>
        </w:rPr>
        <w:t>,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12,1</w:t>
      </w:r>
      <w:r w:rsidR="00000709">
        <w:rPr>
          <w:rFonts w:ascii="Times New Roman" w:hAnsi="Times New Roman" w:cs="Times New Roman"/>
          <w:sz w:val="28"/>
          <w:szCs w:val="28"/>
        </w:rPr>
        <w:t> %</w:t>
      </w:r>
      <w:r w:rsidRPr="005E58C6">
        <w:rPr>
          <w:rFonts w:ascii="Times New Roman" w:hAnsi="Times New Roman" w:cs="Times New Roman"/>
          <w:sz w:val="28"/>
          <w:szCs w:val="28"/>
        </w:rPr>
        <w:t>); ΙV группа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0,7</w:t>
      </w:r>
      <w:r w:rsidR="00000709">
        <w:rPr>
          <w:rFonts w:ascii="Times New Roman" w:hAnsi="Times New Roman" w:cs="Times New Roman"/>
          <w:sz w:val="28"/>
          <w:szCs w:val="28"/>
        </w:rPr>
        <w:t> %</w:t>
      </w:r>
      <w:r w:rsidRPr="005E58C6">
        <w:rPr>
          <w:rFonts w:ascii="Times New Roman" w:hAnsi="Times New Roman" w:cs="Times New Roman"/>
          <w:sz w:val="28"/>
          <w:szCs w:val="28"/>
        </w:rPr>
        <w:t>); V группа (дети-инвалиды)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w:t>
      </w:r>
      <w:r w:rsidR="00000709">
        <w:rPr>
          <w:rFonts w:ascii="Times New Roman" w:hAnsi="Times New Roman" w:cs="Times New Roman"/>
          <w:sz w:val="28"/>
          <w:szCs w:val="28"/>
        </w:rPr>
        <w:t> %</w:t>
      </w:r>
      <w:r w:rsidRPr="005E58C6">
        <w:rPr>
          <w:rFonts w:ascii="Times New Roman" w:hAnsi="Times New Roman" w:cs="Times New Roman"/>
          <w:sz w:val="28"/>
          <w:szCs w:val="28"/>
        </w:rPr>
        <w:t>, 2016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0,9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 выявлении заболеваний дети берутся под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 </w:t>
      </w:r>
    </w:p>
    <w:p w:rsidR="005E58C6" w:rsidRPr="00870F66" w:rsidRDefault="005E58C6" w:rsidP="005E58C6">
      <w:pPr>
        <w:widowControl w:val="0"/>
        <w:spacing w:after="0" w:line="312" w:lineRule="auto"/>
        <w:ind w:firstLine="709"/>
        <w:jc w:val="both"/>
        <w:rPr>
          <w:rFonts w:ascii="Times New Roman" w:hAnsi="Times New Roman" w:cs="Times New Roman"/>
          <w:b/>
          <w:i/>
          <w:sz w:val="28"/>
          <w:szCs w:val="28"/>
        </w:rPr>
      </w:pPr>
      <w:r w:rsidRPr="00870F66">
        <w:rPr>
          <w:rFonts w:ascii="Times New Roman" w:hAnsi="Times New Roman" w:cs="Times New Roman"/>
          <w:b/>
          <w:i/>
          <w:sz w:val="28"/>
          <w:szCs w:val="28"/>
        </w:rPr>
        <w:t>О реализации программы развития материально-технической базы детских поликлиник и поликлинических отделений медицинских организаций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Во исполнение пункта 4 поручения Президента Российской Федерации от 2 декабря 2017 г. Пр-2440 разработана и утверждена программа развития материально-технической базы детских поликлиник и </w:t>
      </w:r>
      <w:r w:rsidR="008D5151">
        <w:rPr>
          <w:rFonts w:ascii="Times New Roman" w:hAnsi="Times New Roman" w:cs="Times New Roman"/>
          <w:sz w:val="28"/>
          <w:szCs w:val="28"/>
        </w:rPr>
        <w:t xml:space="preserve">детских </w:t>
      </w:r>
      <w:r w:rsidRPr="005E58C6">
        <w:rPr>
          <w:rFonts w:ascii="Times New Roman" w:hAnsi="Times New Roman" w:cs="Times New Roman"/>
          <w:sz w:val="28"/>
          <w:szCs w:val="28"/>
        </w:rPr>
        <w:t>поликлинических отделений медицинских организаций с указанием сроков и этапов ее реализации, а также порядка выделения бюджетных ассигнований федерального бюджета на софинансирование программы развития материально-технической базы детских поликлиник и поликлинических отделений медицинских организаций в объеме до 10 млрд рублей ежегодно с 2018 по 2020 годы.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реализации в 2018 году программы развития материально-технической базы детских поликлиник и </w:t>
      </w:r>
      <w:r w:rsidR="008D5151">
        <w:rPr>
          <w:rFonts w:ascii="Times New Roman" w:hAnsi="Times New Roman" w:cs="Times New Roman"/>
          <w:sz w:val="28"/>
          <w:szCs w:val="28"/>
        </w:rPr>
        <w:t xml:space="preserve">детских </w:t>
      </w:r>
      <w:r w:rsidRPr="005E58C6">
        <w:rPr>
          <w:rFonts w:ascii="Times New Roman" w:hAnsi="Times New Roman" w:cs="Times New Roman"/>
          <w:sz w:val="28"/>
          <w:szCs w:val="28"/>
        </w:rPr>
        <w:t xml:space="preserve">поликлинических отделений медицинских организаций разработана и утверждена нормативная правовая база реализации программы развития материально-технической базы детских поликлиник и поликлинических отделений медицинских организаций: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приложение 6 (1)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 </w:t>
      </w:r>
      <w:r>
        <w:rPr>
          <w:rFonts w:ascii="Times New Roman" w:hAnsi="Times New Roman" w:cs="Times New Roman"/>
          <w:sz w:val="28"/>
          <w:szCs w:val="28"/>
        </w:rPr>
        <w:t>№ </w:t>
      </w:r>
      <w:r w:rsidRPr="005E58C6">
        <w:rPr>
          <w:rFonts w:ascii="Times New Roman" w:hAnsi="Times New Roman" w:cs="Times New Roman"/>
          <w:sz w:val="28"/>
          <w:szCs w:val="28"/>
        </w:rPr>
        <w:t xml:space="preserve">1640 (в редакции постановления Правительства Российской Федерации от 1 марта 2018 г. </w:t>
      </w:r>
      <w:r>
        <w:rPr>
          <w:rFonts w:ascii="Times New Roman" w:hAnsi="Times New Roman" w:cs="Times New Roman"/>
          <w:sz w:val="28"/>
          <w:szCs w:val="28"/>
        </w:rPr>
        <w:t>№ </w:t>
      </w:r>
      <w:r w:rsidRPr="005E58C6">
        <w:rPr>
          <w:rFonts w:ascii="Times New Roman" w:hAnsi="Times New Roman" w:cs="Times New Roman"/>
          <w:sz w:val="28"/>
          <w:szCs w:val="28"/>
        </w:rPr>
        <w:t xml:space="preserve">210);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приказом Минздрава России от 22 мая 2018 г. </w:t>
      </w:r>
      <w:r>
        <w:rPr>
          <w:rFonts w:ascii="Times New Roman" w:hAnsi="Times New Roman" w:cs="Times New Roman"/>
          <w:sz w:val="28"/>
          <w:szCs w:val="28"/>
        </w:rPr>
        <w:t>№ </w:t>
      </w:r>
      <w:r w:rsidRPr="005E58C6">
        <w:rPr>
          <w:rFonts w:ascii="Times New Roman" w:hAnsi="Times New Roman" w:cs="Times New Roman"/>
          <w:sz w:val="28"/>
          <w:szCs w:val="28"/>
        </w:rPr>
        <w:t xml:space="preserve">260 утверждена ведомственная целевая программа «Развитие материально-технической базы </w:t>
      </w:r>
      <w:r w:rsidRPr="005E58C6">
        <w:rPr>
          <w:rFonts w:ascii="Times New Roman" w:hAnsi="Times New Roman" w:cs="Times New Roman"/>
          <w:sz w:val="28"/>
          <w:szCs w:val="28"/>
        </w:rPr>
        <w:lastRenderedPageBreak/>
        <w:t>детских поликлиник и детских поликлинических отделений медицинских организаций»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Программа).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Субъектами Российской Федерации разработаны и утверждены государственные программы по развитию материально-технической базы детских поликлиник и </w:t>
      </w:r>
      <w:r w:rsidR="008D5151">
        <w:rPr>
          <w:rFonts w:ascii="Times New Roman" w:hAnsi="Times New Roman" w:cs="Times New Roman"/>
          <w:sz w:val="28"/>
          <w:szCs w:val="28"/>
        </w:rPr>
        <w:t xml:space="preserve">детских </w:t>
      </w:r>
      <w:r w:rsidRPr="005E58C6">
        <w:rPr>
          <w:rFonts w:ascii="Times New Roman" w:hAnsi="Times New Roman" w:cs="Times New Roman"/>
          <w:sz w:val="28"/>
          <w:szCs w:val="28"/>
        </w:rPr>
        <w:t>поликлинических отделений медицинских организаций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региональные программы) в 2018 - 2020 годах, содержащие целевые показатели.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Минздравом России в 2018 году были заключены соглашения с 84 регионами на софинансирование расходных обязательств субъектов Российской Федерации, связанных с реализацией региональных программ.</w:t>
      </w:r>
    </w:p>
    <w:p w:rsidR="005E58C6" w:rsidRPr="005E58C6" w:rsidRDefault="005E58C6" w:rsidP="00AF3A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Для финансового обеспечения реализации мероприятий Программы в 2018 году в соответствии с распоряжением Правительства Российской Федерации от 3 марта 2018 г. </w:t>
      </w:r>
      <w:r>
        <w:rPr>
          <w:rFonts w:ascii="Times New Roman" w:hAnsi="Times New Roman" w:cs="Times New Roman"/>
          <w:sz w:val="28"/>
          <w:szCs w:val="28"/>
        </w:rPr>
        <w:t>№ </w:t>
      </w:r>
      <w:r w:rsidRPr="005E58C6">
        <w:rPr>
          <w:rFonts w:ascii="Times New Roman" w:hAnsi="Times New Roman" w:cs="Times New Roman"/>
          <w:sz w:val="28"/>
          <w:szCs w:val="28"/>
        </w:rPr>
        <w:t>368-р выделено из резервного фонда Правительства Российской Федерации Минздраву России 9 649 554,3 тыс. рублей на предоставление субсидий бюджетам субъектов Российской Федерации для софинансирования расходных обязательств субъектов Российской Федерации, связанных с реализацией региональных программ, ФМБА России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350 445,7 тыс. рублей на развитие материально-технической базы подведомственных детских поликлиник и детских поликлинических отделений медицинских организаций.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Большинство субъектов Российской Федерации в 2018 году выполнили целевые показатели, утвержденные региональными программами.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 оперативным данным субъектов Российской Федерации,  достижение целевых показателей реализации мероприятий региональных программ составило: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доля детских поликлиник и детских поликлинических отделений медицинских организаций субъектов Российской Федерации, дооснащенных медицинскими изделиями с целью приведения их в соответствие с требованиями приказа Министерства здравоохранения Российской Федерации от 7 марта 2018 г. </w:t>
      </w:r>
      <w:r>
        <w:rPr>
          <w:rFonts w:ascii="Times New Roman" w:hAnsi="Times New Roman" w:cs="Times New Roman"/>
          <w:sz w:val="28"/>
          <w:szCs w:val="28"/>
        </w:rPr>
        <w:t>№ </w:t>
      </w:r>
      <w:r w:rsidRPr="005E58C6">
        <w:rPr>
          <w:rFonts w:ascii="Times New Roman" w:hAnsi="Times New Roman" w:cs="Times New Roman"/>
          <w:sz w:val="28"/>
          <w:szCs w:val="28"/>
        </w:rPr>
        <w:t>92н «Об утверждении Положения об организации первичной медико-санитарной помощи детям»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приказ Минздрава России от 7 марта 2018 г. </w:t>
      </w:r>
      <w:r>
        <w:rPr>
          <w:rFonts w:ascii="Times New Roman" w:hAnsi="Times New Roman" w:cs="Times New Roman"/>
          <w:sz w:val="28"/>
          <w:szCs w:val="28"/>
        </w:rPr>
        <w:t>№ </w:t>
      </w:r>
      <w:r w:rsidRPr="005E58C6">
        <w:rPr>
          <w:rFonts w:ascii="Times New Roman" w:hAnsi="Times New Roman" w:cs="Times New Roman"/>
          <w:sz w:val="28"/>
          <w:szCs w:val="28"/>
        </w:rPr>
        <w:t xml:space="preserve">92н) </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85 субъектов Российской Федерации выполнили плановый показатель, из них 25 субъектов Российской Федерации превысили плановый показатель;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доля детских поликлиник и детских поликлинических отделений </w:t>
      </w:r>
      <w:r w:rsidRPr="005E58C6">
        <w:rPr>
          <w:rFonts w:ascii="Times New Roman" w:hAnsi="Times New Roman" w:cs="Times New Roman"/>
          <w:sz w:val="28"/>
          <w:szCs w:val="28"/>
        </w:rPr>
        <w:lastRenderedPageBreak/>
        <w:t xml:space="preserve">медицинских организаций субъектов Российской Федерации,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приказа Минздрава России от 7 марта 2018 г. </w:t>
      </w:r>
      <w:r>
        <w:rPr>
          <w:rFonts w:ascii="Times New Roman" w:hAnsi="Times New Roman" w:cs="Times New Roman"/>
          <w:sz w:val="28"/>
          <w:szCs w:val="28"/>
        </w:rPr>
        <w:t>№ </w:t>
      </w:r>
      <w:r w:rsidRPr="005E58C6">
        <w:rPr>
          <w:rFonts w:ascii="Times New Roman" w:hAnsi="Times New Roman" w:cs="Times New Roman"/>
          <w:sz w:val="28"/>
          <w:szCs w:val="28"/>
        </w:rPr>
        <w:t>92н</w:t>
      </w:r>
      <w:r w:rsidR="008D5151">
        <w:rPr>
          <w:rFonts w:ascii="Times New Roman" w:hAnsi="Times New Roman" w:cs="Times New Roman"/>
          <w:sz w:val="28"/>
          <w:szCs w:val="28"/>
        </w:rPr>
        <w:t>,</w:t>
      </w:r>
      <w:r w:rsidR="00051685">
        <w:rPr>
          <w:rFonts w:ascii="Times New Roman" w:hAnsi="Times New Roman" w:cs="Times New Roman"/>
          <w:sz w:val="28"/>
          <w:szCs w:val="28"/>
        </w:rPr>
        <w:t xml:space="preserve"> – </w:t>
      </w:r>
      <w:r w:rsidR="008D5151">
        <w:rPr>
          <w:rFonts w:ascii="Times New Roman" w:hAnsi="Times New Roman" w:cs="Times New Roman"/>
          <w:sz w:val="28"/>
          <w:szCs w:val="28"/>
        </w:rPr>
        <w:br/>
      </w:r>
      <w:r w:rsidRPr="005E58C6">
        <w:rPr>
          <w:rFonts w:ascii="Times New Roman" w:hAnsi="Times New Roman" w:cs="Times New Roman"/>
          <w:sz w:val="28"/>
          <w:szCs w:val="28"/>
        </w:rPr>
        <w:t xml:space="preserve">82 субъекта Российской Федерации выполнили  плановый показатель, из них  23 субъекта Российской Федерации превысили плановый показатель.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Default="00AF3AC4" w:rsidP="005E58C6">
      <w:pPr>
        <w:widowControl w:val="0"/>
        <w:spacing w:after="0" w:line="312" w:lineRule="auto"/>
        <w:ind w:firstLine="709"/>
        <w:jc w:val="both"/>
        <w:rPr>
          <w:rFonts w:ascii="Times New Roman" w:hAnsi="Times New Roman" w:cs="Times New Roman"/>
          <w:sz w:val="28"/>
          <w:szCs w:val="28"/>
        </w:rPr>
      </w:pPr>
    </w:p>
    <w:p w:rsidR="00AF3AC4" w:rsidRPr="005E58C6" w:rsidRDefault="00AF3AC4" w:rsidP="008D5151">
      <w:pPr>
        <w:widowControl w:val="0"/>
        <w:spacing w:after="0" w:line="312" w:lineRule="auto"/>
        <w:jc w:val="both"/>
        <w:rPr>
          <w:rFonts w:ascii="Times New Roman" w:hAnsi="Times New Roman" w:cs="Times New Roman"/>
          <w:sz w:val="28"/>
          <w:szCs w:val="28"/>
        </w:rPr>
      </w:pPr>
    </w:p>
    <w:p w:rsidR="005E58C6" w:rsidRPr="00AF3AC4" w:rsidRDefault="005E58C6" w:rsidP="005E58C6">
      <w:pPr>
        <w:widowControl w:val="0"/>
        <w:spacing w:after="0" w:line="312" w:lineRule="auto"/>
        <w:ind w:firstLine="709"/>
        <w:jc w:val="both"/>
        <w:rPr>
          <w:rFonts w:ascii="Times New Roman" w:hAnsi="Times New Roman" w:cs="Times New Roman"/>
          <w:b/>
          <w:sz w:val="28"/>
          <w:szCs w:val="28"/>
        </w:rPr>
      </w:pPr>
      <w:r w:rsidRPr="00AF3AC4">
        <w:rPr>
          <w:rFonts w:ascii="Times New Roman" w:hAnsi="Times New Roman" w:cs="Times New Roman"/>
          <w:b/>
          <w:sz w:val="28"/>
          <w:szCs w:val="28"/>
        </w:rPr>
        <w:lastRenderedPageBreak/>
        <w:t>подраздел 6.8 Кадровое обеспечение системы здравоохранения, реализация указов Президента Российской Федерации от 7 мая 2012 г. № 597 «О мероприятиях по реализации государственной социальной политики» и от 7 мая 2012 г. № 598 «О совершенствовании государственной политики в сфере здравоохранения»</w:t>
      </w:r>
    </w:p>
    <w:p w:rsidR="005E58C6" w:rsidRPr="005E58C6" w:rsidRDefault="005E58C6" w:rsidP="00367AAD">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принимаемые консолидированные меры по реализации Указов Президента Российской Федерации от 7 мая 2012 г. позволили добиться положительной динамики в численности врачей. За четыре года их численность увеличилась более чем на 6 тыс. человек и в 2018 г. составила 548 818 человек. Такая ситуация отразилась и на коэффициенте совместительства: он снизился за этот период с 1,54 до 1,35.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Необходимо отметить рост числа специалистов по наиболее дефицитным специальностям «Анестезиология-реаниматология», «Рентгенология», «Онкология», «Патологическая анатомия», «Педиатрия», «Общая врачебная практика (семейная медицина)».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Особое внимание уделяется кадровому обеспечению на селе. Так, число участников программы «Земский доктор», направленной на устранение кадрового дефицита в сельской местности, с 2012 года достигло 34,3 тыс. человек, в том числе в 2018 году привлечено 5,3 тыс. врачей и фельдшеров. </w:t>
      </w:r>
    </w:p>
    <w:p w:rsidR="005E58C6" w:rsidRPr="005E58C6" w:rsidRDefault="005E58C6" w:rsidP="00367AAD">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2018 года расширено территориальное действие программы на города с населением до 50 тыс. человек, а также в программу включены фельдшеры с единовременной компенсационной выплатой в размере 500 тыс.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Основные характеристики квалификации, необходимой медицинским работникам для осуществления их профессиональной деятельности, закладываются профессиональными стандартами.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 1 января 2019 г. утверждены 44 профессиональных стандарта в области здравоохранения.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Именно на основе профессиональных стандартов формируются критерии для проведения внедряемой с 2016 года процедуры допуска к профессиональной деятельности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аккредитации специалиста, основанной на независимой оценке качества подготовки специалистов экспертами из практического здравоохранения по единым федеральным оценочным критериям.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В 2018 году разработаны или актуализированы 51 федеральный государственный образовательный стандарт программ высшего образования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программ специалитета и ординатуры.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Продолжена разработка примерных основных образовательных программ, учитывающих требования профессиональных стандартов и содержащих унифицированные образовательные модули по наиболее значимым разделам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на 1 курс подведомственных Минздраву России образовательных организаций по программам специалитета и бакалавриата было зачислено 39 578 человек, по программам ординатуры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18 956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 этом отмечается положительная динамика показателя эффективности целевой подготовки. Так, доля медицинских и фармацевтических работников, обучавшихся в рамках целевой подготовки для нужд субъекта Российской Федерации, трудоустроившихся после завершения обучения в медицинские и фармацевтические организации системы здравоохранения соответствующего субъекта Российской Федерации в 2018 году, осталась на уровне 2017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90,0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обеспечения высокого уровня квалификации медицинских работников и непрерывного повышения их профессионализма продолжено развитие системы непрерывного медицинского и фармацевтического образования и Портала непрерывного медицинского и фармацевтического образования Минздрава России, с использованием технических возможностей которого в 2018 году повысили квалификацию более 250 тыс. специалистов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Развивается и укрепляется материально-техническая и методическая база более 80 симуляционно-тренинговых центров.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продолжена аккредитация специалистов отрасли здравоохранения. К процедуре аккредитации допущены выпускники по всей группе специальностей «Здравоохранение и медицинские науки», окончившие образовательные организации высшего образования, а также выпускники образовательных организаций среднего профессионального образования, окончившие обучение после 1 января 2018 года.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прошедшей процедуре аккредитации специалистов принял  участие 12 161 эксперт в качестве членов 221 аккредитационной комиссии: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63 аккредитационные комиссии (4 111 экспертов) по медицинским </w:t>
      </w:r>
      <w:r w:rsidRPr="005E58C6">
        <w:rPr>
          <w:rFonts w:ascii="Times New Roman" w:hAnsi="Times New Roman" w:cs="Times New Roman"/>
          <w:sz w:val="28"/>
          <w:szCs w:val="28"/>
        </w:rPr>
        <w:lastRenderedPageBreak/>
        <w:t>специальностям высшего образования, 85 аккредитационных комиссий (6 646 экспертов) по медицинским специальностям среднего профессионального образования и 73 аккредитационные комиссии (1 404 эксперта) по фармацевтическим специальностям высшего и среднего профессионального образования.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Всего за период аккредитации 2018 года к аккредитации специалистов допущено 36 372 выпускника ВУЗов, из которых аккредитовано 35 703 (98,2</w:t>
      </w:r>
      <w:r w:rsidR="00000709">
        <w:rPr>
          <w:rFonts w:ascii="Times New Roman" w:hAnsi="Times New Roman" w:cs="Times New Roman"/>
          <w:sz w:val="28"/>
          <w:szCs w:val="28"/>
        </w:rPr>
        <w:t> %</w:t>
      </w:r>
      <w:r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97,9</w:t>
      </w:r>
      <w:r w:rsidR="00000709">
        <w:rPr>
          <w:rFonts w:ascii="Times New Roman" w:hAnsi="Times New Roman" w:cs="Times New Roman"/>
          <w:sz w:val="28"/>
          <w:szCs w:val="28"/>
        </w:rPr>
        <w:t> %</w:t>
      </w:r>
      <w:r w:rsidRPr="005E58C6">
        <w:rPr>
          <w:rFonts w:ascii="Times New Roman" w:hAnsi="Times New Roman" w:cs="Times New Roman"/>
          <w:sz w:val="28"/>
          <w:szCs w:val="28"/>
        </w:rPr>
        <w:t>), из них по специальностям:</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w:t>
      </w:r>
      <w:r w:rsidR="005E58C6" w:rsidRPr="005E58C6">
        <w:rPr>
          <w:rFonts w:ascii="Times New Roman" w:hAnsi="Times New Roman" w:cs="Times New Roman"/>
          <w:sz w:val="28"/>
          <w:szCs w:val="28"/>
        </w:rPr>
        <w:t>ечебное дело»</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17 735 (98</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98</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E58C6" w:rsidRPr="005E58C6">
        <w:rPr>
          <w:rFonts w:ascii="Times New Roman" w:hAnsi="Times New Roman" w:cs="Times New Roman"/>
          <w:sz w:val="28"/>
          <w:szCs w:val="28"/>
        </w:rPr>
        <w:t>едиатрия»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5 770 (99,2</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99,2</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едико-профилактическое дело»</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1 438 (98,3</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96,1</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томатология»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6 597 (98,8</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98,4</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5E58C6" w:rsidRPr="005E58C6">
        <w:rPr>
          <w:rFonts w:ascii="Times New Roman" w:hAnsi="Times New Roman" w:cs="Times New Roman"/>
          <w:sz w:val="28"/>
          <w:szCs w:val="28"/>
        </w:rPr>
        <w:t>армация»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3 834 (96,5</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96,2</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едицинская биохимия»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217 (98,6</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93,7</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едицинская биофизика»</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51 (94,4</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97</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8D515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едицинская кибернетика»</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61 (95,3</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2017 год</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94,9</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xml:space="preserve">). </w:t>
      </w:r>
    </w:p>
    <w:p w:rsidR="005E58C6" w:rsidRPr="005E58C6" w:rsidRDefault="005E58C6" w:rsidP="008D5151">
      <w:pPr>
        <w:widowControl w:val="0"/>
        <w:spacing w:after="0" w:line="312" w:lineRule="auto"/>
        <w:jc w:val="both"/>
        <w:rPr>
          <w:rFonts w:ascii="Times New Roman" w:hAnsi="Times New Roman" w:cs="Times New Roman"/>
          <w:sz w:val="28"/>
          <w:szCs w:val="28"/>
        </w:rPr>
      </w:pPr>
      <w:r w:rsidRPr="005E58C6">
        <w:rPr>
          <w:rFonts w:ascii="Times New Roman" w:hAnsi="Times New Roman" w:cs="Times New Roman"/>
          <w:sz w:val="28"/>
          <w:szCs w:val="28"/>
        </w:rPr>
        <w:t>Также к аккредитации специалистов допущено 60 843 выпускника колледжей, из которых аккредитовано 56 490, что составляет 92,85</w:t>
      </w:r>
      <w:r w:rsidR="00000709">
        <w:rPr>
          <w:rFonts w:ascii="Times New Roman" w:hAnsi="Times New Roman" w:cs="Times New Roman"/>
          <w:sz w:val="28"/>
          <w:szCs w:val="28"/>
        </w:rPr>
        <w:t> %</w:t>
      </w:r>
      <w:r w:rsidRPr="005E58C6">
        <w:rPr>
          <w:rFonts w:ascii="Times New Roman" w:hAnsi="Times New Roman" w:cs="Times New Roman"/>
          <w:sz w:val="28"/>
          <w:szCs w:val="28"/>
        </w:rPr>
        <w:t>, из них по специальностям:</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естринское дело»</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30 711 человек (93,5</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5E58C6" w:rsidRPr="005E58C6">
        <w:rPr>
          <w:rFonts w:ascii="Times New Roman" w:hAnsi="Times New Roman" w:cs="Times New Roman"/>
          <w:sz w:val="28"/>
          <w:szCs w:val="28"/>
        </w:rPr>
        <w:t>ечебное дело»</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9 681 человек (96,9</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5E58C6" w:rsidRPr="005E58C6">
        <w:rPr>
          <w:rFonts w:ascii="Times New Roman" w:hAnsi="Times New Roman" w:cs="Times New Roman"/>
          <w:sz w:val="28"/>
          <w:szCs w:val="28"/>
        </w:rPr>
        <w:t>армация»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7 654 человек (88,1</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E58C6" w:rsidRPr="005E58C6">
        <w:rPr>
          <w:rFonts w:ascii="Times New Roman" w:hAnsi="Times New Roman" w:cs="Times New Roman"/>
          <w:sz w:val="28"/>
          <w:szCs w:val="28"/>
        </w:rPr>
        <w:t>кушерское дело»</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3 157 человек (91,4</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томатология ортопедическая»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2 135 человек (84,4</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5E58C6" w:rsidRPr="005E58C6">
        <w:rPr>
          <w:rFonts w:ascii="Times New Roman" w:hAnsi="Times New Roman" w:cs="Times New Roman"/>
          <w:sz w:val="28"/>
          <w:szCs w:val="28"/>
        </w:rPr>
        <w:t>абораторная диагностика»</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2 243 человек (96,6</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E58C6" w:rsidRPr="005E58C6">
        <w:rPr>
          <w:rFonts w:ascii="Times New Roman" w:hAnsi="Times New Roman" w:cs="Times New Roman"/>
          <w:sz w:val="28"/>
          <w:szCs w:val="28"/>
        </w:rPr>
        <w:t>томатология профилактическая»</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521 человек (90,9</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едицинский массаж (для обучения лиц с ограниченными возможностями здоровья по зрению)»</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246 человек (98,4</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едико-профилактическое дело»</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93 человек (87,7</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 xml:space="preserve">); </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E58C6" w:rsidRPr="005E58C6">
        <w:rPr>
          <w:rFonts w:ascii="Times New Roman" w:hAnsi="Times New Roman" w:cs="Times New Roman"/>
          <w:sz w:val="28"/>
          <w:szCs w:val="28"/>
        </w:rPr>
        <w:t>едицинская оптика»</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49 человек (100</w:t>
      </w:r>
      <w:r w:rsidR="00000709">
        <w:rPr>
          <w:rFonts w:ascii="Times New Roman" w:hAnsi="Times New Roman" w:cs="Times New Roman"/>
          <w:sz w:val="28"/>
          <w:szCs w:val="28"/>
        </w:rPr>
        <w:t> %</w:t>
      </w:r>
      <w:r w:rsidR="005E58C6"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Лица, успешно прошедшие процедуру аккредитации, получили право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осуществление профессиональной деятельности без дополнительной подготовки, в том числе на должностях специалистов «первичного звена». </w:t>
      </w:r>
    </w:p>
    <w:p w:rsidR="005E58C6" w:rsidRPr="005E58C6" w:rsidRDefault="005E58C6" w:rsidP="00367AAD">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Из числа аккредитованных специалистов после завершения программ специалитета в медицинские организации в 2017–2018 годах трудоустроено </w:t>
      </w:r>
      <w:r w:rsidRPr="005E58C6">
        <w:rPr>
          <w:rFonts w:ascii="Times New Roman" w:hAnsi="Times New Roman" w:cs="Times New Roman"/>
          <w:sz w:val="28"/>
          <w:szCs w:val="28"/>
        </w:rPr>
        <w:lastRenderedPageBreak/>
        <w:t>на должности: врачей-терапевтов участковых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5 434 человека, врачей-педиатров участковых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3 162 человека, врачей клинической лабораторной диагностики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102 человека, врачей функциональной диагностики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59 человек, врачей-статистиков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 человек, врачей-эпидемиологов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195 человек. Кроме этого в 2016-2018 годах трудоустроено 210 провизоров и провизоров-технологов и 2 419 врачей-стоматологов.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Следует отметить, что реализация мероприятий по внедрению процедуры аккредитации специалистов и системы непрерывного медицинского образования в 2018 году осуществлялась в рамках приоритетного проекта «Обеспечение отрасли квалифицированными медицинскими специалистами»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приоритетный проект).</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Результатами реализации приоритетного проекта в 2018 году стали: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специалистов, допущенных к профессиональной деятельности через процедуру аккредитации,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(плановое значение 2018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доля врачей, получающих непрерывное дополнительное профессиональное образование с использованием интерактивных образовательных модулей,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(плановое значение 2018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разработанных интерактивных образовательных модулей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2100 (плановое значение 2018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2000);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число актуализированных образовательных стандартов подготовки кадров высшей квалификации по программам ординатуры с учетом требований профессиональных стандартов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58 (плановое значение 2018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численности врачей участковой службы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(плановое значение 2018 года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004F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подготовка медицинских и фармацевтических работников </w:t>
      </w:r>
      <w:r w:rsidR="00004FC4">
        <w:rPr>
          <w:rFonts w:ascii="Times New Roman" w:hAnsi="Times New Roman" w:cs="Times New Roman"/>
          <w:sz w:val="28"/>
          <w:szCs w:val="28"/>
        </w:rPr>
        <w:t xml:space="preserve"> </w:t>
      </w:r>
      <w:r w:rsidRPr="005E58C6">
        <w:rPr>
          <w:rFonts w:ascii="Times New Roman" w:hAnsi="Times New Roman" w:cs="Times New Roman"/>
          <w:sz w:val="28"/>
          <w:szCs w:val="28"/>
        </w:rPr>
        <w:t>по образовательным программам среднего, высшего и дополнительного профессионального образования осуществляется на базах 46 образовательных учреждений высшего образования, 3 образовательных учреждений среднего профессионального образования и 2 образовательных учреждений дополнительного профессионального образования, подведомственных Минздраву России.</w:t>
      </w:r>
    </w:p>
    <w:p w:rsidR="005E58C6" w:rsidRPr="005E58C6" w:rsidRDefault="005E58C6" w:rsidP="00004F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на первый курс образовательных учреждений, подведомственных Министерству здравоохранения Российской Федерации, </w:t>
      </w:r>
      <w:r w:rsidRPr="005E58C6">
        <w:rPr>
          <w:rFonts w:ascii="Times New Roman" w:hAnsi="Times New Roman" w:cs="Times New Roman"/>
          <w:sz w:val="28"/>
          <w:szCs w:val="28"/>
        </w:rPr>
        <w:lastRenderedPageBreak/>
        <w:t>на обучение за счет федерального бюджета было зачислено 22 666 студентов и 9 019 ординаторов. В целом квота целевого приема составила 50,9</w:t>
      </w:r>
      <w:r w:rsidR="00000709">
        <w:rPr>
          <w:rFonts w:ascii="Times New Roman" w:hAnsi="Times New Roman" w:cs="Times New Roman"/>
          <w:sz w:val="28"/>
          <w:szCs w:val="28"/>
        </w:rPr>
        <w:t> %</w:t>
      </w:r>
      <w:r w:rsidRPr="005E58C6">
        <w:rPr>
          <w:rFonts w:ascii="Times New Roman" w:hAnsi="Times New Roman" w:cs="Times New Roman"/>
          <w:sz w:val="28"/>
          <w:szCs w:val="28"/>
        </w:rPr>
        <w:t>, а максимальная доля целевого приема в ряде образовательных организаций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80</w:t>
      </w:r>
      <w:r w:rsidR="00000709">
        <w:rPr>
          <w:rFonts w:ascii="Times New Roman" w:hAnsi="Times New Roman" w:cs="Times New Roman"/>
          <w:sz w:val="28"/>
          <w:szCs w:val="28"/>
        </w:rPr>
        <w:t> %</w:t>
      </w:r>
      <w:r w:rsidRPr="005E58C6">
        <w:rPr>
          <w:rFonts w:ascii="Times New Roman" w:hAnsi="Times New Roman" w:cs="Times New Roman"/>
          <w:sz w:val="28"/>
          <w:szCs w:val="28"/>
        </w:rPr>
        <w:t>. Квота целевого приема по программам ординатуры составила в среднем 61,2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Указом Президента Российской Федерации от 7 мая 2012 г. </w:t>
      </w:r>
      <w:r>
        <w:rPr>
          <w:rFonts w:ascii="Times New Roman" w:hAnsi="Times New Roman" w:cs="Times New Roman"/>
          <w:sz w:val="28"/>
          <w:szCs w:val="28"/>
        </w:rPr>
        <w:t>№ </w:t>
      </w:r>
      <w:r w:rsidRPr="005E58C6">
        <w:rPr>
          <w:rFonts w:ascii="Times New Roman" w:hAnsi="Times New Roman" w:cs="Times New Roman"/>
          <w:sz w:val="28"/>
          <w:szCs w:val="28"/>
        </w:rPr>
        <w:t>597 «О мероприятиях по реализации государственной социальной политики»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Указ) было предусмотрено повышение к 2018 году средней заработной платы врачей, среднего медицинского персонала и младшего медицинского персонала соответственно до 200</w:t>
      </w:r>
      <w:r w:rsidR="00000709">
        <w:rPr>
          <w:rFonts w:ascii="Times New Roman" w:hAnsi="Times New Roman" w:cs="Times New Roman"/>
          <w:sz w:val="28"/>
          <w:szCs w:val="28"/>
        </w:rPr>
        <w:t> %</w:t>
      </w:r>
      <w:r w:rsidRPr="005E58C6">
        <w:rPr>
          <w:rFonts w:ascii="Times New Roman" w:hAnsi="Times New Roman" w:cs="Times New Roman"/>
          <w:sz w:val="28"/>
          <w:szCs w:val="28"/>
        </w:rPr>
        <w:t>,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средней заработной платы в соответствующем регионе.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Данные целевые показатели включены в отраслевую дорожную карту «Изменения в отраслях социальной сферы, направленные на повышение эффективности здравоохранения», утвержденную распоряжением  Правительства Российской Федерации от 28 декабря 2012 г. </w:t>
      </w:r>
      <w:r>
        <w:rPr>
          <w:rFonts w:ascii="Times New Roman" w:hAnsi="Times New Roman" w:cs="Times New Roman"/>
          <w:sz w:val="28"/>
          <w:szCs w:val="28"/>
        </w:rPr>
        <w:t>№ </w:t>
      </w:r>
      <w:r w:rsidRPr="005E58C6">
        <w:rPr>
          <w:rFonts w:ascii="Times New Roman" w:hAnsi="Times New Roman" w:cs="Times New Roman"/>
          <w:sz w:val="28"/>
          <w:szCs w:val="28"/>
        </w:rPr>
        <w:t xml:space="preserve">2599-р  и аналогичные дорожные карты регионов.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Росстата о среднемесячной заработной плате отдельных категорий медицинских работников, целевые показатели по заработной плате достигнуты (в пределах 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отклонения) по категории врачи в 84 регионах, по категории средний медицинский персонал</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85 регионах и в категории младший медицинский персонал</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в 81 регионе. </w:t>
      </w:r>
    </w:p>
    <w:p w:rsidR="005E58C6" w:rsidRPr="005E58C6" w:rsidRDefault="005E58C6" w:rsidP="00004F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Федеральным законом от 29 ноября 2018 г. </w:t>
      </w:r>
      <w:r>
        <w:rPr>
          <w:rFonts w:ascii="Times New Roman" w:hAnsi="Times New Roman" w:cs="Times New Roman"/>
          <w:sz w:val="28"/>
          <w:szCs w:val="28"/>
        </w:rPr>
        <w:t>№ </w:t>
      </w:r>
      <w:r w:rsidRPr="005E58C6">
        <w:rPr>
          <w:rFonts w:ascii="Times New Roman" w:hAnsi="Times New Roman" w:cs="Times New Roman"/>
          <w:sz w:val="28"/>
          <w:szCs w:val="28"/>
        </w:rPr>
        <w:t>459-ФЗ «О федеральном бюджете на 2019 год и на плановый период 2020 и 2021 годов» предусмотрены финансовые средства на повышение оплаты труда отдельных категорий работников федеральных государственных учреждений с учетом темпа роста номинальной начисленной заработной платы к предыдущему году: в 2019 году на 6</w:t>
      </w:r>
      <w:r w:rsidR="00000709">
        <w:rPr>
          <w:rFonts w:ascii="Times New Roman" w:hAnsi="Times New Roman" w:cs="Times New Roman"/>
          <w:sz w:val="28"/>
          <w:szCs w:val="28"/>
        </w:rPr>
        <w:t> %</w:t>
      </w:r>
      <w:r w:rsidRPr="005E58C6">
        <w:rPr>
          <w:rFonts w:ascii="Times New Roman" w:hAnsi="Times New Roman" w:cs="Times New Roman"/>
          <w:sz w:val="28"/>
          <w:szCs w:val="28"/>
        </w:rPr>
        <w:t>, в 2020 году на 5,4</w:t>
      </w:r>
      <w:r w:rsidR="00000709">
        <w:rPr>
          <w:rFonts w:ascii="Times New Roman" w:hAnsi="Times New Roman" w:cs="Times New Roman"/>
          <w:sz w:val="28"/>
          <w:szCs w:val="28"/>
        </w:rPr>
        <w:t> %</w:t>
      </w:r>
      <w:r w:rsidRPr="005E58C6">
        <w:rPr>
          <w:rFonts w:ascii="Times New Roman" w:hAnsi="Times New Roman" w:cs="Times New Roman"/>
          <w:sz w:val="28"/>
          <w:szCs w:val="28"/>
        </w:rPr>
        <w:t>, в 2021 году на 6,6</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004F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оказания дополнительной финансовой помощи Федеральным законом от 29 ноября 2018 г. </w:t>
      </w:r>
      <w:r>
        <w:rPr>
          <w:rFonts w:ascii="Times New Roman" w:hAnsi="Times New Roman" w:cs="Times New Roman"/>
          <w:sz w:val="28"/>
          <w:szCs w:val="28"/>
        </w:rPr>
        <w:t>№ </w:t>
      </w:r>
      <w:r w:rsidRPr="005E58C6">
        <w:rPr>
          <w:rFonts w:ascii="Times New Roman" w:hAnsi="Times New Roman" w:cs="Times New Roman"/>
          <w:sz w:val="28"/>
          <w:szCs w:val="28"/>
        </w:rPr>
        <w:t>459-ФЗ «О федеральном бюджете на 2019 год и на плановый период 2020 и 2021 годов» предусмотрены 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 в объеме по 100,0 млрд. рублей ежегодно в 2019, 2020 и 2021 годах.</w:t>
      </w:r>
    </w:p>
    <w:p w:rsidR="005E58C6" w:rsidRPr="005E58C6" w:rsidRDefault="00745D21"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w:t>
      </w:r>
      <w:r w:rsidR="005E58C6" w:rsidRPr="005E58C6">
        <w:rPr>
          <w:rFonts w:ascii="Times New Roman" w:hAnsi="Times New Roman" w:cs="Times New Roman"/>
          <w:sz w:val="28"/>
          <w:szCs w:val="28"/>
        </w:rPr>
        <w:t xml:space="preserve"> разработан  федеральный  проект  «Обеспечение </w:t>
      </w:r>
      <w:r w:rsidR="005E58C6" w:rsidRPr="005E58C6">
        <w:rPr>
          <w:rFonts w:ascii="Times New Roman" w:hAnsi="Times New Roman" w:cs="Times New Roman"/>
          <w:sz w:val="28"/>
          <w:szCs w:val="28"/>
        </w:rPr>
        <w:lastRenderedPageBreak/>
        <w:t>медицинских организаций системы здравоохранения квалифицированными кадрами» (далее</w:t>
      </w:r>
      <w:r w:rsidR="00051685">
        <w:rPr>
          <w:rFonts w:ascii="Times New Roman" w:hAnsi="Times New Roman" w:cs="Times New Roman"/>
          <w:sz w:val="28"/>
          <w:szCs w:val="28"/>
        </w:rPr>
        <w:t xml:space="preserve"> – </w:t>
      </w:r>
      <w:r w:rsidR="005E58C6" w:rsidRPr="005E58C6">
        <w:rPr>
          <w:rFonts w:ascii="Times New Roman" w:hAnsi="Times New Roman" w:cs="Times New Roman"/>
          <w:sz w:val="28"/>
          <w:szCs w:val="28"/>
        </w:rPr>
        <w:t xml:space="preserve">федеральный проект), который входит в структуру национального проекта «Здравоохранение».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проект, прежде всего, направлен на устранение кадрового дефицита врачей и средних медицинских работников «первичного звена» здравоохранения, а также обеспечение врачами кардиологической, онкологической и педиатрической служб.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Реализация федерального проекта осуществляется посредством следующих механизмов: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определение реальной потребности во врачах и средних медицинских работниках в каждом субъекте Российской Федерации в разрезе каждой медицинской организации;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приема на целевое обучение и объемов государственного задания;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организация при образовательных организациях высшего образования  центров содействия трудоустройству выпускников;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переобучение и переподготовка медицинских работников профицитных специальностей по дефицитным направлениям;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стимулирование к закреплению на рабочих местах как работающих медицинских работников, так и вновь приходящих в отрасль, включая предоставление медицинским работникам адресных мер социальной поддержки (предоставление жилья, оплата коммунальных услуг, компенсация оплаты найма жилья и т.д.);</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реализация субъектами Российской Федерации региональных планов мероприятий по совершенствованию систем оплаты труда медицинских работников;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привлечение медицинских работников, ранее перешедших на работу в иные организации;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внедрение систем аккредитации специалистов и непрерывного медицинского образования.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реализации задач федерального проекта субъектами Российской Федерации разработаны и утверждены соответствующие региональные проекты.</w:t>
      </w:r>
    </w:p>
    <w:p w:rsidR="005E58C6" w:rsidRPr="005E58C6" w:rsidRDefault="005E58C6" w:rsidP="00004F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региональные проекты вошли мероприятия, направленные как на устранение кадрового дефицита медицинских работников «первичного </w:t>
      </w:r>
      <w:r w:rsidRPr="005E58C6">
        <w:rPr>
          <w:rFonts w:ascii="Times New Roman" w:hAnsi="Times New Roman" w:cs="Times New Roman"/>
          <w:sz w:val="28"/>
          <w:szCs w:val="28"/>
        </w:rPr>
        <w:lastRenderedPageBreak/>
        <w:t>звена», кардиологической, онкологической и педиатрической служб, так и мероприятия по развитию системы непрерывного медицинского образования и внедрению процедуры аккредитации специалистов на территории каждого региона.</w:t>
      </w:r>
    </w:p>
    <w:p w:rsidR="005E58C6" w:rsidRPr="005E58C6" w:rsidRDefault="005E58C6" w:rsidP="00004FC4">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Одновременно мероприятия региональных проектов направлены на решение вопроса повышения престижа профессии и закрепления специалистов в отрасли здравоохранения, в том числе в рамках программ «Земский доктор» и «Земский фельдшер», повышения уровня заработных плат медицинских работников и проведения региональных конкурсов профессионального мастерства.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настоящее время со всеми органами государственной власти субъектов Российской Федерации в сфере охраны здоровья Минздравом России заключены соглашения о реализации региональных проектов, в которых всеми субъектами Российской Федерации определены значения показателей и результаты, достижение которых необходимо для выполнения целей федерального проекта.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Default="00004FC4" w:rsidP="005E58C6">
      <w:pPr>
        <w:widowControl w:val="0"/>
        <w:spacing w:after="0" w:line="312" w:lineRule="auto"/>
        <w:ind w:firstLine="709"/>
        <w:jc w:val="both"/>
        <w:rPr>
          <w:rFonts w:ascii="Times New Roman" w:hAnsi="Times New Roman" w:cs="Times New Roman"/>
          <w:sz w:val="28"/>
          <w:szCs w:val="28"/>
        </w:rPr>
      </w:pPr>
    </w:p>
    <w:p w:rsidR="00004FC4" w:rsidRPr="005E58C6" w:rsidRDefault="00004FC4" w:rsidP="005E58C6">
      <w:pPr>
        <w:widowControl w:val="0"/>
        <w:spacing w:after="0" w:line="312" w:lineRule="auto"/>
        <w:ind w:firstLine="709"/>
        <w:jc w:val="both"/>
        <w:rPr>
          <w:rFonts w:ascii="Times New Roman" w:hAnsi="Times New Roman" w:cs="Times New Roman"/>
          <w:sz w:val="28"/>
          <w:szCs w:val="28"/>
        </w:rPr>
      </w:pP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lastRenderedPageBreak/>
        <w:t>подраздел 6.9 Развитие международных отношений в сфере охраны здоровья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 России обеспечивал участие Российской Федерации в деятельности: Всемирной организации здравоохранения (ВОЗ); Саммите Группы двадцати (G20); Шанхайской организации сотрудничества (ШОС); Экономического блока пяти быстроразвивающихся стран: Бразилия, Россия, Индия, Китай, Южно-Африканская Республика (БРИКС); Организации Черноморского экономического сотрудничества (ЧЭС); Форума Азиатско-Тихоокеанского экономического сотрудничества (АТЭС); Организации экономического сотрудничества и развития (ОЭСР); Совета Европы; Международной организации труда (МОТ); Комиссии ООН по наркотическим средствам (КНС); Партнерства «Северное измерение» в области социального обеспечения и здравоохранения; Евразийского экономического союза (ЕАЭС); Содружества Независимых Государств (СНГ); Союзного государства.</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Всемирная организация здравоохранения (ВОЗ)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продолжилось сотрудничество с ВОЗ в рамках Страновой стратегии сотрудничества на период 2014</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2020 годов.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Представители Министерства приняли участие 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142-й и 143-й сессиях Исполнительного комитета ВОЗ (январь, май 2018 г.,  г. Женева, Швейцария);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71-й сессии Всемирной ассамблеи здравоохранения (21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31 мая                       2018 г.,  г. Женева, Швейцария);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68-й сессии Европейского регионального комитета ВОЗ                              (17-20 сентября 2018 г., г. Будапешт, Венгрия);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26-м заседании Постоянного комитета Европейского регионального комитета ВОЗ (ПКРК) (5-6 декабря 2018 г., г. Афины, Греция).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ходе 68-й сессии Европейского регионального комитета ВОЗ Российская Федерация в лице Министра здравоохранения Российской Федерации В.И. Скворцовой была избрана в состав Постоянного комитета регионального комитета ВОЗ.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Делегация Минздрава России приняла участие в заседании Генеральной Ассамблеи ООН 26 сентября 2018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по туберкулезу, 27 сентября 2018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по неинфекционным заболеваниям (г. Нью-Йорк, США).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25-26 октября 2018 г. Министр здравоохранения Российской </w:t>
      </w:r>
      <w:r w:rsidRPr="005E58C6">
        <w:rPr>
          <w:rFonts w:ascii="Times New Roman" w:hAnsi="Times New Roman" w:cs="Times New Roman"/>
          <w:sz w:val="28"/>
          <w:szCs w:val="28"/>
        </w:rPr>
        <w:lastRenderedPageBreak/>
        <w:t>Федерации В.И. Скворцова приняла участие в качестве сопредседателя в Глобальной конференции по первичной медико-санитарной помощи: от Алма-Аты к всеобщему охвату услугами здравоохранения и целям устойчивого развития (г. Астана, Казахстан).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30 октября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1 ноября 2018 г. делегация Российской Федерации приняла участие в Первой Глобальной конференции ВОЗ по проблеме загрязнения воздуха и охране здоровья.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Правительством Российской Федерации принято распоряжение о финансировании в 2019–2023 годах проекта Российской Федерации и ВОЗ, направленного на осуществление мероприятий по профилактике и борьбе с неинфекционными заболеваниями в Европе и за её пределами.</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Рамочная конвенция ВОЗ по борьбе против табака (РКБТ ВОЗ)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1 по 6 октября 2018 г. в г. Женеве (Швейцария) представители Минздрава России приняли участие в Восьмой сессии Конференции Сторон Рамочной конвенции ВОЗ по борьбе против табака, в ходе которой рассмотрены итоги страновых мероприятий, включая прогресс по принятию в странах Протокола по незаконной торговле табачными изделиями, а также новые страновые инициативы по борьбе с табаком.</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Международное агентство по изучению рака (МАИР)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 16 по 18 мая 2018 г. в г. Лионе (Франция) представители Минздрава России приняли участие в работе 60-й сессии Руководящего совета Международного агентства по изучению рака.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Сотрудники Минздрава России в 2018 году регулярно принимали участие в заседаниях МАИР, в ходе которых вырабатываются рекомендации по проведению научных исследований в области изучения рака. </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Панамериканская организация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 Глобальной конференции по первичной медико-санитарной помощи (25-26 октября 2018 г., г. Астана, Казахстан) представители Минздрава России проинформировали о разработке новой отечественной вакцины по борьбе с туберкулезом. Российская сторона планирует привлечь научные учреждения стран Латиноамериканского региона для участия в проекте по борьбе с туберкулезом. </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Объединенная Программа ООН по ВИЧ/СПИД (ЮНЭЙДС)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Российская Федерация продлила свое членство с правом совещательного голоса в Координационном Совете Объединенной </w:t>
      </w:r>
      <w:r w:rsidRPr="005E58C6">
        <w:rPr>
          <w:rFonts w:ascii="Times New Roman" w:hAnsi="Times New Roman" w:cs="Times New Roman"/>
          <w:sz w:val="28"/>
          <w:szCs w:val="28"/>
        </w:rPr>
        <w:lastRenderedPageBreak/>
        <w:t xml:space="preserve">Программы ООН по ВИЧ/СПИДу (ЮНЭЙДС).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Сотрудники Минздрава России регулярно принимают участие в заседаниях ЮНЭЙДС, в ходе которых вырабатываются рекомендации по борьбе с ВИЧ/СПИД на соответствующий период.</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Саммит Группы двадцати (G20)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Российская делегация приняла участие в совещании Министров здравоохранения стран «Группы двадцати» в г. Мар-дель-Плата (Аргентина) с 3 по 4 октября 2018 г.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совещании обсуждались вопросы: усиление систем здравоохранения, устойчивость к противомикробным препаратам (УПП, АМР), чрезвычайное реагирование на эпидемии, катастрофы, нарушения питания, ожирение у детей, что является межсекторальной проблемой, затрагивающей социальные аспекты, по которой ранее был принят документ ООН, посвященный вопросам питания.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вопросу взаимодействия стран в условиях чрезвычайных ситуаций, вызванных резистентными к антибиотикам возбудителями, в интерактивном формате было проведено мероприятие симуляционного учения по чрезвычайным ситуациям. Все обсуждаемые вопросы вошли в итоговую декларацию Министров здравоохранения «Группы двадцати». Предложения и поправки российской делегации были учтены.</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Экономический блок пяти быстроразвивающихся стран: Бразилия, Россия, Индия, Китай, Южно-Африканская Республика (БРИКС)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18-20 июля 2018 г. в г. Дурбане (ЮАР) делегация Минздрава России приняла участие в 8-й встрече министров здравоохранения стран БРИКС, а также в 8-м совещании старших должностных лиц.</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8-ого совещания старших должностных лиц здравоохранения стран БРИКС российской стороной были инициированы для обсуждения такие темы, как ликвидация туберкулеза в странах БРИКС и реализация Международных медико-санитарных правил.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Принято участие в обсуждении вопроса, вынесенного на заседание министров иностранных дел стран БРИКС, о расширении доступа к недорогим, качественным, эффективным и безопасным лекарственным средствам и вакцинам. Позиция странами БРИКС по данному вопросу, согласованная с Российской Федерацией, была внесена в итоговое заявление </w:t>
      </w:r>
      <w:r w:rsidRPr="005E58C6">
        <w:rPr>
          <w:rFonts w:ascii="Times New Roman" w:hAnsi="Times New Roman" w:cs="Times New Roman"/>
          <w:sz w:val="28"/>
          <w:szCs w:val="28"/>
        </w:rPr>
        <w:lastRenderedPageBreak/>
        <w:t xml:space="preserve">министров иностранных дел стран БРИКС. </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Шанхайская организация сотрудничества (ШОС)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Сотрудничество государств-членов ШОС в области здравоохранения обладает большим потенциалом для дальнейшего развития с целью обсуждения перспектив совместного сотрудничества по вопросам санитарно-эпидемиологической безопасности населения, противодействия обращению фальсифицированных лекарственных средств, ликвидации медицинских последствий чрезвычайных ситуаций. </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 xml:space="preserve">Азиатско-Тихоокеанское экономическое сотрудничество (АТЭС)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Сотрудничество в АТЭС развивается в рамках Комплексного плана действий Российской Федерации в форуме АТЭС в 2016–2018 годах.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15-17 августа 2018 г. делегация Минздрава России приняла участие в заседании Рабочей группы по здравоохранению, а также во Встрече высокого уровня по здравоохранению и экономике, которые прошли в г. Порт-Морсби (Папуа Новая-Гвинея).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Встречи высокого уровня АТЭС по здравоохранению и экономике Российская Федерация представила многолетний опыт реализации основных принципов первичной медико-санитарной помощи, заложенных еще в начале 20 века. В ходе презентаций были представлены как общие положения развития первичной медико-санитарной помощи в Российской Федерации, так и примеры двух регионов (г. Москва и Республика Бурятия).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 России также принимал участие в мероприятиях АТЭС, связанных с вопросами безопасности крови, проведения клинических испытаний, инфекционного контроля.</w:t>
      </w:r>
    </w:p>
    <w:p w:rsidR="005E58C6" w:rsidRPr="00004FC4" w:rsidRDefault="005E58C6" w:rsidP="005E58C6">
      <w:pPr>
        <w:widowControl w:val="0"/>
        <w:spacing w:after="0" w:line="312" w:lineRule="auto"/>
        <w:ind w:firstLine="709"/>
        <w:jc w:val="both"/>
        <w:rPr>
          <w:rFonts w:ascii="Times New Roman" w:hAnsi="Times New Roman" w:cs="Times New Roman"/>
          <w:b/>
          <w:sz w:val="28"/>
          <w:szCs w:val="28"/>
        </w:rPr>
      </w:pPr>
      <w:r w:rsidRPr="00004FC4">
        <w:rPr>
          <w:rFonts w:ascii="Times New Roman" w:hAnsi="Times New Roman" w:cs="Times New Roman"/>
          <w:b/>
          <w:sz w:val="28"/>
          <w:szCs w:val="28"/>
        </w:rPr>
        <w:t>Организация Черноморского экономического сотрудничества (ЧЭС)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23 ноября 2018 г. принято участие в заседании Рабочей группы по здравоохранению и фармацевтике ЧЭС в г. Стамбуле (Турецкая Республика).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ходе заседания странами принято решение продолжить работу по реализации достигнутых договоренностей и рассмотрению ряда проектов.</w:t>
      </w:r>
    </w:p>
    <w:p w:rsidR="005E58C6" w:rsidRPr="00C54670" w:rsidRDefault="005E58C6" w:rsidP="005E58C6">
      <w:pPr>
        <w:widowControl w:val="0"/>
        <w:spacing w:after="0" w:line="312" w:lineRule="auto"/>
        <w:ind w:firstLine="709"/>
        <w:jc w:val="both"/>
        <w:rPr>
          <w:rFonts w:ascii="Times New Roman" w:hAnsi="Times New Roman" w:cs="Times New Roman"/>
          <w:b/>
          <w:sz w:val="28"/>
          <w:szCs w:val="28"/>
        </w:rPr>
      </w:pPr>
      <w:r w:rsidRPr="00C54670">
        <w:rPr>
          <w:rFonts w:ascii="Times New Roman" w:hAnsi="Times New Roman" w:cs="Times New Roman"/>
          <w:b/>
          <w:sz w:val="28"/>
          <w:szCs w:val="28"/>
        </w:rPr>
        <w:t>Организация экономического сотрудничества и развития (ОЭСР)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Министерство участвует в исполнении Плана работы по взаимодействию Российской Федерации с Организацией экономического сотрудничества и развития на 2017–2018 годы в части вопросов здравоохранения, химической безопасности, принципов надлежащей </w:t>
      </w:r>
      <w:r w:rsidRPr="005E58C6">
        <w:rPr>
          <w:rFonts w:ascii="Times New Roman" w:hAnsi="Times New Roman" w:cs="Times New Roman"/>
          <w:sz w:val="28"/>
          <w:szCs w:val="28"/>
        </w:rPr>
        <w:lastRenderedPageBreak/>
        <w:t xml:space="preserve">лабораторной практики и информационной безопасности.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 представители Минздрава России приняли участие в работе 23-й и 24-й сессий Комитета по здравоохранению ОЭСР в семинаре по вопросам финансирования здравоохранения в контексте методологии формирования счетов здравоохранения по разработанной ВОЗ и ОЭСР классификации расходов (SHA 2011), а также в совещании экспертов по счетам здравоохранения и национальных координаторов по вопросам статистики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 России участвовал в разработке Плана по взаимодействию с ОЭСР на 2019–2020 гг.</w:t>
      </w:r>
    </w:p>
    <w:p w:rsidR="005E58C6" w:rsidRPr="00C54670" w:rsidRDefault="005E58C6" w:rsidP="005E58C6">
      <w:pPr>
        <w:widowControl w:val="0"/>
        <w:spacing w:after="0" w:line="312" w:lineRule="auto"/>
        <w:ind w:firstLine="709"/>
        <w:jc w:val="both"/>
        <w:rPr>
          <w:rFonts w:ascii="Times New Roman" w:hAnsi="Times New Roman" w:cs="Times New Roman"/>
          <w:b/>
          <w:sz w:val="28"/>
          <w:szCs w:val="28"/>
        </w:rPr>
      </w:pPr>
      <w:r w:rsidRPr="00C54670">
        <w:rPr>
          <w:rFonts w:ascii="Times New Roman" w:hAnsi="Times New Roman" w:cs="Times New Roman"/>
          <w:b/>
          <w:sz w:val="28"/>
          <w:szCs w:val="28"/>
        </w:rPr>
        <w:t>Совет Европы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 России принимал участие в работе Совета Европы по таким вопросам, как трансплантация органов и тканей человека, а также борьба с незаконной трансплантацией органов человека, переливание крови, биоэтика, минимизация рисков здравоохранения от обращения контрафактной (фальсифицированной) медицинской продукции, защита прав человека в сфере охраны здоровья.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20 марта 2018 г. в г. Страсбург (Франция), Российская Федерация ратифицировала договор о присоединении к Конвенции Совета Европы о борьбе с фальсификацией медицинской продукции и сходными преступлениями, угрожающими здоровью населения (Конвенция «Медикрим»). Конвенция «Медикрим» вступила в действие для Российской Федерации с 1 июля 2018 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Конвенция «Медикрим», разработанная по инициативе и при участии Российской Федерации, является первым общеевропейским соглашением о борьбе с фальсификацией медицинской продукции, распространяется на уголовно-правовой и организационный аспекты, а также носит выраженную гуманитарную направленность, закрепляя в качестве приоритета пресечение и предотвращение угрозы общественному здоровью, создаваемой преступлениями в данной сфере.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29 сентября 2018 г. в г. Москве состоялся «круглый стол», посвященный вопросам  международного сотрудничества научных и академических учреждений стран-членов Совета Европы по вопросам биоэтики в биомедицине, организованный совместно Минздравом России и Советом Европы при поддержке МГУ им. М.В. Ломоносова.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27-28 ноября 2018 г. делегация Минздрава России приняла участие в 17-ой Министерской конференции Группы Совета Европы по сотрудничеству в борьбе со злоупотреблением наркотиками и их незаконным оборотом (Группа Помпиду).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Российская делегация поделилась с иностранными партнерами опытом обеспечения наркозависимых пациентов медицинскими услугами по диагностике, лечению и реабилитации.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Достижения Российской Федерации в области снижения спроса на наркотики и борьбы с наркопотреблением получили высокие оценки со стороны участников мероприятия.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итоговую министерскую декларацию включены используемые в России подходы к обеспечению квалифицированной медицинской наркологической помощью: право на профилактику, лечение и борьбу с заболеваниями; бесплатный доступ к основным лекарственным средствам; равный и своевременный доступ к основным медицинским услугам; обеспечение образования и информации, связанной со здоровьем и с конкретным заболеванием.</w:t>
      </w:r>
    </w:p>
    <w:p w:rsidR="005E58C6" w:rsidRPr="00C54670" w:rsidRDefault="005E58C6" w:rsidP="005E58C6">
      <w:pPr>
        <w:widowControl w:val="0"/>
        <w:spacing w:after="0" w:line="312" w:lineRule="auto"/>
        <w:ind w:firstLine="709"/>
        <w:jc w:val="both"/>
        <w:rPr>
          <w:rFonts w:ascii="Times New Roman" w:hAnsi="Times New Roman" w:cs="Times New Roman"/>
          <w:b/>
          <w:sz w:val="28"/>
          <w:szCs w:val="28"/>
        </w:rPr>
      </w:pPr>
      <w:r w:rsidRPr="00C54670">
        <w:rPr>
          <w:rFonts w:ascii="Times New Roman" w:hAnsi="Times New Roman" w:cs="Times New Roman"/>
          <w:b/>
          <w:sz w:val="28"/>
          <w:szCs w:val="28"/>
        </w:rPr>
        <w:t>Партнерство «Северное измерение» в области социального обеспечения и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26-27 апреля 2018 года в г. Риге (Латвия) состоялась 29-я встреча Комитета Старших Представителей Партнерства «Северное измерение» в сфере здравоохранения и социального благополучия (ПСИЗБ).</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ходе мероприятия заслушаны отчеты секретариата Партнерства, экспертных и целевых групп по направлениям их работы (ВИЧ/СПИД и ассоциированные инфекции; первичная медицинская помощь и пенитенциарная система; алкогольная и токсикологическая зависимость; неинфекционные заболевания (НИЗ), связанные с образом жизни; антибиотикорезистентность; безопасность и охрана труда).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Отмечено, что Россия является лидером по количеству проведенных на своей территории мероприятий ПСИЗБ (встреч сторон и заседаний КСП и председателей экспертных групп).</w:t>
      </w:r>
    </w:p>
    <w:p w:rsidR="005E58C6" w:rsidRPr="00C54670" w:rsidRDefault="005E58C6" w:rsidP="005E58C6">
      <w:pPr>
        <w:widowControl w:val="0"/>
        <w:spacing w:after="0" w:line="312" w:lineRule="auto"/>
        <w:ind w:firstLine="709"/>
        <w:jc w:val="both"/>
        <w:rPr>
          <w:rFonts w:ascii="Times New Roman" w:hAnsi="Times New Roman" w:cs="Times New Roman"/>
          <w:b/>
          <w:sz w:val="28"/>
          <w:szCs w:val="28"/>
        </w:rPr>
      </w:pPr>
      <w:r w:rsidRPr="00C54670">
        <w:rPr>
          <w:rFonts w:ascii="Times New Roman" w:hAnsi="Times New Roman" w:cs="Times New Roman"/>
          <w:b/>
          <w:sz w:val="28"/>
          <w:szCs w:val="28"/>
        </w:rPr>
        <w:t>Евразийский экономический союз (ЕАЭС)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был принят ряд актов Совета Евразийской экономической комиссии и Коллегии Евразийской экономической комиссии, которые позволят государствам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членам ЕАЭС проводить скоординированную </w:t>
      </w:r>
      <w:r w:rsidRPr="005E58C6">
        <w:rPr>
          <w:rFonts w:ascii="Times New Roman" w:hAnsi="Times New Roman" w:cs="Times New Roman"/>
          <w:sz w:val="28"/>
          <w:szCs w:val="28"/>
        </w:rPr>
        <w:lastRenderedPageBreak/>
        <w:t xml:space="preserve">политику в сфере обращения лекарственных средств и медицинских изделий, обеспечат гармонизацию и унификацию законодательств, в том числе единство требований к безопасности, эффективности, качеству лекарственных средств и медицинских изделий, контролю (надзору), создадут возможность запуска соответствующих информационных систем в рамках ЕАЭС (кабинетов пользователей, сервисов приема заявлений от производителей на регистрацию и инспектирование).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 России принял участие в подготовке национальных сегментов единой интегрированной информационной системы ЕАЭС в сфере обращения лекарственных средств и медицинских изделий.</w:t>
      </w:r>
    </w:p>
    <w:p w:rsidR="005E58C6" w:rsidRPr="001C3F60" w:rsidRDefault="005E58C6" w:rsidP="005E58C6">
      <w:pPr>
        <w:widowControl w:val="0"/>
        <w:spacing w:after="0" w:line="312" w:lineRule="auto"/>
        <w:ind w:firstLine="709"/>
        <w:jc w:val="both"/>
        <w:rPr>
          <w:rFonts w:ascii="Times New Roman" w:hAnsi="Times New Roman" w:cs="Times New Roman"/>
          <w:b/>
          <w:sz w:val="28"/>
          <w:szCs w:val="28"/>
        </w:rPr>
      </w:pPr>
      <w:r w:rsidRPr="001C3F60">
        <w:rPr>
          <w:rFonts w:ascii="Times New Roman" w:hAnsi="Times New Roman" w:cs="Times New Roman"/>
          <w:b/>
          <w:sz w:val="28"/>
          <w:szCs w:val="28"/>
        </w:rPr>
        <w:t>Содружество Независимых Государств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4 сентября 2018 г. в г. Саранске прошло XVIII заседание Совета по сотрудничеству в области здравоохранения СНГ, в котором приняли участие представители государств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участников СНГ и ведущих международных организаций в сфере охраны здоровья.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итогам Совета утвержден план основных мероприятий Совета по сотрудничеству в области здравоохранения Содружества Независимых Государств на 2018–2019 годы.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Решениями Экономического совета СНГ и Совета министров иностранных дел СНГ, подведомственным Минздраву России организациям, был придан статус базовых организаций государств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участников СНГ: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области общественного здравоохранения и информации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Федеральное государственное бюджетное учреждение «Центральный научно-исследовательский институт организации и информатизации здравоохранения» Министерства здравоохранения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области психиатрии и наркологии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Федеральное государственное бюджетное учреждение «Национальный медицинский исследовательский центр психиатрии и наркологии имени В.П. Сербского» Министерства здравоохранения Российской Федерации.</w:t>
      </w:r>
    </w:p>
    <w:p w:rsidR="005E58C6" w:rsidRPr="001C3F60" w:rsidRDefault="005E58C6" w:rsidP="005E58C6">
      <w:pPr>
        <w:widowControl w:val="0"/>
        <w:spacing w:after="0" w:line="312" w:lineRule="auto"/>
        <w:ind w:firstLine="709"/>
        <w:jc w:val="both"/>
        <w:rPr>
          <w:rFonts w:ascii="Times New Roman" w:hAnsi="Times New Roman" w:cs="Times New Roman"/>
          <w:b/>
          <w:sz w:val="28"/>
          <w:szCs w:val="28"/>
        </w:rPr>
      </w:pPr>
      <w:r w:rsidRPr="001C3F60">
        <w:rPr>
          <w:rFonts w:ascii="Times New Roman" w:hAnsi="Times New Roman" w:cs="Times New Roman"/>
          <w:b/>
          <w:sz w:val="28"/>
          <w:szCs w:val="28"/>
        </w:rPr>
        <w:t>Союзное государство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консолидации и координации деятельности систем здравоохранения в решении медико-демографических проблем 13-14 октября 2018 г. в г. Казани состоялось пятое заседание совместной Коллегии Министерства здравоохранения Республики Беларусь и Министерства здравоохранения Российской Федерации, посвященное непрерывному </w:t>
      </w:r>
      <w:r w:rsidRPr="005E58C6">
        <w:rPr>
          <w:rFonts w:ascii="Times New Roman" w:hAnsi="Times New Roman" w:cs="Times New Roman"/>
          <w:sz w:val="28"/>
          <w:szCs w:val="28"/>
        </w:rPr>
        <w:lastRenderedPageBreak/>
        <w:t>медицинскому образованию, в ходе которой подписан План («дорожная карта») по реализации Меморандума о взаимопонимании между Министерством здравоохранения Российской Федерации и Министерством здравоохранения Республики Беларусь о сотрудничестве в сфере непрерывного медицинского и фармацевтического образования.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Реализуется программа Союзного государства «Разработка новых спинальных систем с использованием технологий прототипирования в хирургическом лечении детей с тяжелыми врожденными деформациями и повреждениями позвоночника» 2017-2020 гг. («Спинальные системы»).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базе ФГБУ «Национальный медицинский исследовательский центр радиологии» Министерства здравоохранения Российской Федерации реализовано мероприятие Союзного государства «Оказание комплексной медицинской помощи отдельным категориям граждан Беларуси и России, подвергшихся радиационному воздействию вследствие катастрофы на Чернобыльской АЭС», в результате которого комплексная медицинская помощь оказана 164 пациентам.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 России принимал участие в заседаниях Совета Министров Союзного государства, Группы высокого уровня Совета Министров Союзного государства и заседаниях Парламентского Собрания Союза Беларуси и России.</w:t>
      </w:r>
    </w:p>
    <w:p w:rsidR="005E58C6" w:rsidRPr="001C3F60" w:rsidRDefault="005E58C6" w:rsidP="005E58C6">
      <w:pPr>
        <w:widowControl w:val="0"/>
        <w:spacing w:after="0" w:line="312" w:lineRule="auto"/>
        <w:ind w:firstLine="709"/>
        <w:jc w:val="both"/>
        <w:rPr>
          <w:rFonts w:ascii="Times New Roman" w:hAnsi="Times New Roman" w:cs="Times New Roman"/>
          <w:b/>
          <w:sz w:val="28"/>
          <w:szCs w:val="28"/>
        </w:rPr>
      </w:pPr>
      <w:r w:rsidRPr="001C3F60">
        <w:rPr>
          <w:rFonts w:ascii="Times New Roman" w:hAnsi="Times New Roman" w:cs="Times New Roman"/>
          <w:b/>
          <w:sz w:val="28"/>
          <w:szCs w:val="28"/>
        </w:rPr>
        <w:t>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Минздрав России обеспечивал участие в мероприятиях межсессионного периода совещания Конференции Сторон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4-6 июня 2018 г. в г. Риге (Латвия) делегация Минздрава России приняла участие в совещании Рабочей группы по повышению эффективности Роттердамской конвенции.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11-14 сентября 2018 г. в г. Риме (Италия) представители Минздрава России приняли участие в 14-ом совещании Комитета по рассмотрению стойких химических веществ Роттердамской конвенции.</w:t>
      </w:r>
    </w:p>
    <w:p w:rsidR="005E58C6" w:rsidRPr="000C095A" w:rsidRDefault="005E58C6" w:rsidP="005E58C6">
      <w:pPr>
        <w:widowControl w:val="0"/>
        <w:spacing w:after="0" w:line="312" w:lineRule="auto"/>
        <w:ind w:firstLine="709"/>
        <w:jc w:val="both"/>
        <w:rPr>
          <w:rFonts w:ascii="Times New Roman" w:hAnsi="Times New Roman" w:cs="Times New Roman"/>
          <w:b/>
          <w:sz w:val="28"/>
          <w:szCs w:val="28"/>
        </w:rPr>
      </w:pPr>
      <w:r w:rsidRPr="000C095A">
        <w:rPr>
          <w:rFonts w:ascii="Times New Roman" w:hAnsi="Times New Roman" w:cs="Times New Roman"/>
          <w:b/>
          <w:sz w:val="28"/>
          <w:szCs w:val="28"/>
        </w:rPr>
        <w:t>Содействие международному развитию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конце ноября 2018 г. в Гвинейской Республике завершена основная </w:t>
      </w:r>
      <w:r w:rsidRPr="005E58C6">
        <w:rPr>
          <w:rFonts w:ascii="Times New Roman" w:hAnsi="Times New Roman" w:cs="Times New Roman"/>
          <w:sz w:val="28"/>
          <w:szCs w:val="28"/>
        </w:rPr>
        <w:lastRenderedPageBreak/>
        <w:t>часть международных мультицентровых пострегистрационных клинических исследований иммунобиологического лекарственного препарата «ГамЭвак-Комби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комбинированная векторная вакцина против лихорадки Эбола».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соответствии с программой исследований проведена вакцинация почти 2000 добровольцев, осуществляется наблюдение за состоянием их здоровья и формированием иммунитета против вируса Эболы.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Совокупность полученных данных свидетельствует о том, что Комбинированная векторная вакцина против лихорадки Эбола «ГамЭвак-Комби» является хорошо переносимой и безопасной при одновременной высокой иммуногенности.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Осуществлялась координация с ВОЗ и Национальным агентством санитарной безопасности Гвинейской Республики.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успешно реализовывался масштабный Международный проект по охране здоровья матерей, новорожденных и детей в возрасте до 5 лет.</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Основным направлением проекта является практическая подготовка национальных кадров службы детства и родовспоможения стран СНГ, Азии, Африки, Латинской Америки с развивающейся экономикой, передача им накопленного опыта в области профилактики и снижения материнской и младенческой смертности, оказания неотложной помощи детям в различных клинических ситуациях, диагностики и лечения инфекционных и паразитарных заболеваний у детей, снижении детской летальности от этих заболеваний и их осложнений.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Подготовка национальных кадров осуществлялась в рамках научно-практических обучающих семинаров на базах ведущих профильных федеральных учреждений. Для обеспечения высокой эффективности российских образовательных программ и их соответствия международным стандартам в алгоритм семинаров было включено проведение практических тренингов с использованием мощностей высокоспециализированных симуляционно-тренинговых центров. </w:t>
      </w:r>
    </w:p>
    <w:p w:rsidR="005E58C6" w:rsidRDefault="005E58C6" w:rsidP="000C095A">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семинарах приняли участие порядка 450 специалистов из 13 стран мира (Азербайджан, Узбекистан, Армения, Казахстан, Таджикистан, Туркменистан, Киргизия, Никарагуа, Вьетнам, Лаос, Мьянма, Гвинея, Монголия).</w:t>
      </w:r>
    </w:p>
    <w:p w:rsidR="000C095A" w:rsidRPr="005E58C6" w:rsidRDefault="000C095A" w:rsidP="000C095A">
      <w:pPr>
        <w:widowControl w:val="0"/>
        <w:spacing w:after="0" w:line="312" w:lineRule="auto"/>
        <w:ind w:firstLine="709"/>
        <w:jc w:val="both"/>
        <w:rPr>
          <w:rFonts w:ascii="Times New Roman" w:hAnsi="Times New Roman" w:cs="Times New Roman"/>
          <w:sz w:val="28"/>
          <w:szCs w:val="28"/>
        </w:rPr>
      </w:pPr>
    </w:p>
    <w:p w:rsidR="005E58C6" w:rsidRPr="000C095A" w:rsidRDefault="005E58C6" w:rsidP="005E58C6">
      <w:pPr>
        <w:widowControl w:val="0"/>
        <w:spacing w:after="0" w:line="312" w:lineRule="auto"/>
        <w:ind w:firstLine="709"/>
        <w:jc w:val="both"/>
        <w:rPr>
          <w:rFonts w:ascii="Times New Roman" w:hAnsi="Times New Roman" w:cs="Times New Roman"/>
          <w:b/>
          <w:sz w:val="28"/>
          <w:szCs w:val="28"/>
        </w:rPr>
      </w:pPr>
      <w:r w:rsidRPr="000C095A">
        <w:rPr>
          <w:rFonts w:ascii="Times New Roman" w:hAnsi="Times New Roman" w:cs="Times New Roman"/>
          <w:b/>
          <w:sz w:val="28"/>
          <w:szCs w:val="28"/>
        </w:rPr>
        <w:lastRenderedPageBreak/>
        <w:t>Двусторонние отношения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Двустороннее сотрудничество в области охраны здоровья является одним из основных направлений в деятельности Министерства, что позволило Российской Федерации активно влиять на процессы, происходящие в здравоохранении, вести сбалансированную политику продвижения своих интересов в международных организациях путем переговоров на двусторонней основе.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Подготовка и подписание соглашений на двусторонней основе с иностранными государствами диктуется политической целесообразностью или экономическими и научными интересами России.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Основная задача международной деятельности в сфере здравоохранения в области двустороннего сотрудничества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продолжающаяся перенастройка отношений Российской Федерации с получения внешней помощи на её оказание развивающимся странам и равноправное партнерство с наиболее развитыми странами. Данное направление реализуется в рамках Концепции содействия международному развитию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Основные направления двусторонних соглашений включают в себя широкий спектр деятельности в сфере здравоохранения: обмен информацией, научно-технический обмен, обмен делегациями и специалистами по изучению опыта, совместные действия в реагировании на возникающие вызовы и угрозы, техническое сотрудничество по конкретным и приоритетным для сторон направлениям здравоохранения.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0C095A" w:rsidRDefault="005E58C6" w:rsidP="005E58C6">
      <w:pPr>
        <w:widowControl w:val="0"/>
        <w:spacing w:after="0" w:line="312" w:lineRule="auto"/>
        <w:ind w:firstLine="709"/>
        <w:jc w:val="both"/>
        <w:rPr>
          <w:rFonts w:ascii="Times New Roman" w:hAnsi="Times New Roman" w:cs="Times New Roman"/>
          <w:b/>
          <w:sz w:val="28"/>
          <w:szCs w:val="28"/>
        </w:rPr>
      </w:pPr>
      <w:r w:rsidRPr="000C095A">
        <w:rPr>
          <w:rFonts w:ascii="Times New Roman" w:hAnsi="Times New Roman" w:cs="Times New Roman"/>
          <w:b/>
          <w:sz w:val="28"/>
          <w:szCs w:val="28"/>
        </w:rPr>
        <w:lastRenderedPageBreak/>
        <w:t>Подраздел 6.10 Экспертиза и контрольно-надзорные функции в сфере охраны здоровья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реализации в 2015–2020 годах II этапа Стратегии лекарственного обеспечения населения Российской Федерации на период до 2025 года, утвержденной приказом Минздрава России от 13 февраля 2013 г. </w:t>
      </w:r>
      <w:r>
        <w:rPr>
          <w:rFonts w:ascii="Times New Roman" w:hAnsi="Times New Roman" w:cs="Times New Roman"/>
          <w:sz w:val="28"/>
          <w:szCs w:val="28"/>
        </w:rPr>
        <w:t>№ </w:t>
      </w:r>
      <w:r w:rsidRPr="005E58C6">
        <w:rPr>
          <w:rFonts w:ascii="Times New Roman" w:hAnsi="Times New Roman" w:cs="Times New Roman"/>
          <w:sz w:val="28"/>
          <w:szCs w:val="28"/>
        </w:rPr>
        <w:t>66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Стратегия)</w:t>
      </w:r>
      <w:r w:rsidR="000C48BA">
        <w:rPr>
          <w:rFonts w:ascii="Times New Roman" w:hAnsi="Times New Roman" w:cs="Times New Roman"/>
          <w:sz w:val="28"/>
          <w:szCs w:val="28"/>
        </w:rPr>
        <w:t>,</w:t>
      </w:r>
      <w:r w:rsidRPr="005E58C6">
        <w:rPr>
          <w:rFonts w:ascii="Times New Roman" w:hAnsi="Times New Roman" w:cs="Times New Roman"/>
          <w:sz w:val="28"/>
          <w:szCs w:val="28"/>
        </w:rPr>
        <w:t xml:space="preserve"> Министерство осуществляет деятельность по совершенствованию государственной контрольно-разрешительной системы в сфере обеспечения и контроля качества, эффективности и безопасности лекарственных препаратов для медицинского применения на всех этапах их обращения, а также борьбе с оборотом фальсифицированных и недоброкачественных лекарственных препаратов для медицинского применения.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установления права на проведение мероприятий по государственному контролю в виде осуществления контрольной закупки Минздравом России совместно с Росздравнадзором </w:t>
      </w:r>
      <w:r w:rsidR="000C48BA">
        <w:rPr>
          <w:rFonts w:ascii="Times New Roman" w:hAnsi="Times New Roman" w:cs="Times New Roman"/>
          <w:sz w:val="28"/>
          <w:szCs w:val="28"/>
        </w:rPr>
        <w:t xml:space="preserve">обеспечено принятие </w:t>
      </w:r>
      <w:r w:rsidRPr="005E58C6">
        <w:rPr>
          <w:rFonts w:ascii="Times New Roman" w:hAnsi="Times New Roman" w:cs="Times New Roman"/>
          <w:sz w:val="28"/>
          <w:szCs w:val="28"/>
        </w:rPr>
        <w:t xml:space="preserve"> Федеральн</w:t>
      </w:r>
      <w:r w:rsidR="000C48BA">
        <w:rPr>
          <w:rFonts w:ascii="Times New Roman" w:hAnsi="Times New Roman" w:cs="Times New Roman"/>
          <w:sz w:val="28"/>
          <w:szCs w:val="28"/>
        </w:rPr>
        <w:t xml:space="preserve">ого </w:t>
      </w:r>
      <w:r w:rsidRPr="005E58C6">
        <w:rPr>
          <w:rFonts w:ascii="Times New Roman" w:hAnsi="Times New Roman" w:cs="Times New Roman"/>
          <w:sz w:val="28"/>
          <w:szCs w:val="28"/>
        </w:rPr>
        <w:t>закон</w:t>
      </w:r>
      <w:r w:rsidR="000C48BA">
        <w:rPr>
          <w:rFonts w:ascii="Times New Roman" w:hAnsi="Times New Roman" w:cs="Times New Roman"/>
          <w:sz w:val="28"/>
          <w:szCs w:val="28"/>
        </w:rPr>
        <w:t>а</w:t>
      </w:r>
      <w:r w:rsidRPr="005E58C6">
        <w:rPr>
          <w:rFonts w:ascii="Times New Roman" w:hAnsi="Times New Roman" w:cs="Times New Roman"/>
          <w:sz w:val="28"/>
          <w:szCs w:val="28"/>
        </w:rPr>
        <w:t xml:space="preserve"> от 27 декабря 2018 г. </w:t>
      </w:r>
      <w:r w:rsidR="000C48BA">
        <w:rPr>
          <w:rFonts w:ascii="Times New Roman" w:hAnsi="Times New Roman" w:cs="Times New Roman"/>
          <w:sz w:val="28"/>
          <w:szCs w:val="28"/>
        </w:rPr>
        <w:t>№ </w:t>
      </w:r>
      <w:r w:rsidRPr="005E58C6">
        <w:rPr>
          <w:rFonts w:ascii="Times New Roman" w:hAnsi="Times New Roman" w:cs="Times New Roman"/>
          <w:sz w:val="28"/>
          <w:szCs w:val="28"/>
        </w:rPr>
        <w:t>511</w:t>
      </w:r>
      <w:r w:rsidR="000C48BA">
        <w:rPr>
          <w:rFonts w:ascii="Times New Roman" w:hAnsi="Times New Roman" w:cs="Times New Roman"/>
          <w:sz w:val="28"/>
          <w:szCs w:val="28"/>
        </w:rPr>
        <w:t xml:space="preserve">-ФЗ </w:t>
      </w:r>
      <w:r w:rsidRPr="005E58C6">
        <w:rPr>
          <w:rFonts w:ascii="Times New Roman" w:hAnsi="Times New Roman" w:cs="Times New Roman"/>
          <w:sz w:val="28"/>
          <w:szCs w:val="28"/>
        </w:rPr>
        <w:t xml:space="preserve"> «О внесении изменений в отдельные законодательные акты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Наделение Росздравнадзора правом на совершение контрольных закупок направлено на оперативное выявление недоброкачественных, незарегистрированных и фальсифицированных лекарственных средств, и установление случаев нарушения порядка розничной торговли лекарственными препаратами.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Для выполнения задачи по мониторингу эффективности и безопасности лекарственных препаратов, находящихся в обращении в Российской Федерации, приказом Минздрава России от 14 ноября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777н утвержден Порядок приостановления применения лекарственного препарата для медицинского применения.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Федеральной службой по надзору в сфере здравоохранения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Росздравнадзор) продолжено осуществление контрольно-надзорной деятельности, направленной на предупреждение нарушений законодательства Российской Федерации в сфере здравоохранения, а также на объективную и всестороннюю оценку ситуации и проблем в указанной сфере.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Росздравнадзором проведено 27 374 проверки, из них 1 409 проверок органов государственной власти субъектов Российской Федерации, </w:t>
      </w:r>
      <w:r w:rsidRPr="005E58C6">
        <w:rPr>
          <w:rFonts w:ascii="Times New Roman" w:hAnsi="Times New Roman" w:cs="Times New Roman"/>
          <w:sz w:val="28"/>
          <w:szCs w:val="28"/>
        </w:rPr>
        <w:lastRenderedPageBreak/>
        <w:t>в том числе в сфере охраны здоровья, государственных внебюджетных фондов, а также мероприятий по контролю и надзору за полнотой и качеством осуществления органами государственной власти субъектов Российской Федерации переданных им полномочий Российской Федерации в сфере охраны здоровья, 13 933 контрольных мероприятия в отношении юридических лиц и индивидуальных предпринимателей, осуществляющих деятельность в сфере здравоохранения, 10 177 проверок по соблюдению лицензионных требований при осуществлении лицензируемых видов деятельности, а также 1 855 проверок по заявлениям соискателей лицензии/лицензиатов.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Росздравнадзором продолжена переориентация контрольно-надзорной деятельности с учетом применения риск-ориентированного подхода, позволяющего формировать ежегодный план проверок юридических лиц и индивидуальных предпринимателей с выбором интенсивности (формы, продолжительности, периодичности) проведения мероприятий по контролю, основанный на категории риска конкретного подконтрольного субъекта.</w:t>
      </w:r>
    </w:p>
    <w:p w:rsidR="005E58C6" w:rsidRPr="00423ECB" w:rsidRDefault="005E58C6" w:rsidP="005E58C6">
      <w:pPr>
        <w:widowControl w:val="0"/>
        <w:spacing w:after="0" w:line="312" w:lineRule="auto"/>
        <w:ind w:firstLine="709"/>
        <w:jc w:val="both"/>
        <w:rPr>
          <w:rFonts w:ascii="Times New Roman" w:hAnsi="Times New Roman" w:cs="Times New Roman"/>
          <w:sz w:val="28"/>
          <w:szCs w:val="28"/>
        </w:rPr>
      </w:pPr>
      <w:r w:rsidRPr="00423ECB">
        <w:rPr>
          <w:rFonts w:ascii="Times New Roman" w:hAnsi="Times New Roman" w:cs="Times New Roman"/>
          <w:sz w:val="28"/>
          <w:szCs w:val="28"/>
        </w:rPr>
        <w:t>Продолжен эксперимент по маркировке контрольными (идентификационными) знаками и мониторингу за оборотом отдельных видов лекарственных препаратов для медицинского применения. В системе маркировки, по состоянию на 31 декабря 2018 года, было зарегистрировано 13 239 участников (в том числе 103 иностранных юридических лица из 29 стран) и 39 386 мест осуществления деятельности производителями лекарственных средств, оптовыми, аптечными и медицинскими организациями. Описано 1 894 наименования лекарственных препаратов. Обеспечено отслеживание движения 18 417 466 промаркированных упаковок. В ходе эксперимента подтверждена эффективность внедряемой системы, которая уже позволила вскрыть правонарушения в сфере оборота лекарственных препаратов на общую сумму свыше 500 млн руб.</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423ECB">
        <w:rPr>
          <w:rFonts w:ascii="Times New Roman" w:hAnsi="Times New Roman" w:cs="Times New Roman"/>
          <w:sz w:val="28"/>
          <w:szCs w:val="28"/>
        </w:rPr>
        <w:t>В целях снижения риска допуска в обращение недоброкачественных лекарственных средств и медицинских изделий в 2018 году изъято</w:t>
      </w:r>
      <w:r w:rsidRPr="005E58C6">
        <w:rPr>
          <w:rFonts w:ascii="Times New Roman" w:hAnsi="Times New Roman" w:cs="Times New Roman"/>
          <w:sz w:val="28"/>
          <w:szCs w:val="28"/>
        </w:rPr>
        <w:t xml:space="preserve"> из обращения 8 782 133 упаковки фальсифицированных, недоброкачественных, контрафактных лекарственных препаратов и 4 341 956 штук медицинских изделий.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по итогам проверок восстановлены права 7 572 граждан и </w:t>
      </w:r>
      <w:r w:rsidRPr="005E58C6">
        <w:rPr>
          <w:rFonts w:ascii="Times New Roman" w:hAnsi="Times New Roman" w:cs="Times New Roman"/>
          <w:sz w:val="28"/>
          <w:szCs w:val="28"/>
        </w:rPr>
        <w:lastRenderedPageBreak/>
        <w:t>защищены права 8 266 граждан на получение качественной и безопасной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государственного контроля за качеством и безопасностью медицинской деятельности и соблюдением прав граждан на получение медицинской помощи осуществлено 7 620 проверок по контролю за деятельностью юридических лиц и индивидуальных предпринимателей, из них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6 279 внеплановых проверок, проведенных на основании обращений граждан.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результатам проверок выдано 3 128 предписаний об устранении выявленных нарушений и составлено 742 протокола об административном правонарушении. В 536 случаях материалы проверок направлены в органы прокуратуры для принятия мер прокурорского реагирования, в 320 (что в 1,8 раза больше чем в 2017 году) случаях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правоохранительные органы. По результатам 767 проверок информация направлена в органы государственной власти субъекта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Важным направлением в деятельности Росздравнадзора является федеральный государственный надзор в сфере обращения лекарственных средств.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Росздравнадзором проведено 5 362 контрольно-надзорных мероприятия, выявлено свыше 69 тыс. нарушений при проведении плановых проверок с использованием проверочных листов.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Обеспечение ценовой доступности лекарственных препаратов продолжает оставаться одной из приоритетных задач государственной политики в социальной сфере.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мониторинга ценовой и ассортиментной доступности по итогам 2018 года уровень розничных цен амбулаторного сегмента на лекарственные препараты, входящие в перечень жизненно необходимых и важнейших лекарственных препаратов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ЖНВЛП), повысился на 2,7</w:t>
      </w:r>
      <w:r w:rsidR="00000709">
        <w:rPr>
          <w:rFonts w:ascii="Times New Roman" w:hAnsi="Times New Roman" w:cs="Times New Roman"/>
          <w:sz w:val="28"/>
          <w:szCs w:val="28"/>
        </w:rPr>
        <w:t> %</w:t>
      </w:r>
      <w:r w:rsidRPr="005E58C6">
        <w:rPr>
          <w:rFonts w:ascii="Times New Roman" w:hAnsi="Times New Roman" w:cs="Times New Roman"/>
          <w:sz w:val="28"/>
          <w:szCs w:val="28"/>
        </w:rPr>
        <w:t>, при этом рост цен на отечественные ЖНВЛП составил 4,1</w:t>
      </w:r>
      <w:r w:rsidR="00000709">
        <w:rPr>
          <w:rFonts w:ascii="Times New Roman" w:hAnsi="Times New Roman" w:cs="Times New Roman"/>
          <w:sz w:val="28"/>
          <w:szCs w:val="28"/>
        </w:rPr>
        <w:t> %</w:t>
      </w:r>
      <w:r w:rsidRPr="005E58C6">
        <w:rPr>
          <w:rFonts w:ascii="Times New Roman" w:hAnsi="Times New Roman" w:cs="Times New Roman"/>
          <w:sz w:val="28"/>
          <w:szCs w:val="28"/>
        </w:rPr>
        <w:t>. На импортные ЖНВЛП цены в амбулаторном сегменте повысились на 1,3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оперативного реагирования на факты нарушения законодательства в части назначения и выписывания лекарственных препаратов, в том числе льготных лекарственных препаратов и препаратов для обезболивания, Росздравнадзором с 2015 года действует «Горячая линия», за 4 года на нее поступило 16 278 обращений. В 2018 году вопросы, </w:t>
      </w:r>
      <w:r w:rsidRPr="005E58C6">
        <w:rPr>
          <w:rFonts w:ascii="Times New Roman" w:hAnsi="Times New Roman" w:cs="Times New Roman"/>
          <w:sz w:val="28"/>
          <w:szCs w:val="28"/>
        </w:rPr>
        <w:lastRenderedPageBreak/>
        <w:t>поступившие на «Горячую линию», в 39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были решены в течение суток.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Росздравнадзором защищены права 11 973 граждан на получение качественной лекарственной помощи. Восстановлены права на получение бесплатных лекарственных препаратов 5 863 граждан, на получение лекарственных препаратов в целях обезболивания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386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Росздравнадзором продолжены мероприятия по совершенствованию системы мониторинга безопасности медицинских изделий, находящихся в обращении на территории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2018 год в информационный ресурс АИС Росздравнадзора «Мониторинг безопасности медицинских изделий» поступило 4 171 сообщение о неблагоприятных событиях (инцидентах) при применении медицинских изделий.</w:t>
      </w:r>
    </w:p>
    <w:p w:rsidR="005E58C6" w:rsidRPr="005E58C6" w:rsidRDefault="005E58C6" w:rsidP="00550572">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исполнения государственной функции по контролю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проведена 3 491 проверка (из них внеплановых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213, по фактам выявленных нарушений выдано 2 297 предписаний и возбуждено 923 дела об административных правонарушениях.</w:t>
      </w:r>
    </w:p>
    <w:p w:rsidR="005E58C6" w:rsidRPr="005E58C6" w:rsidRDefault="005E58C6" w:rsidP="00550572">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рамках рассмотрения полученной информации о серьезных и непредвиденных инцидентах при применении медицинских изделий во исполнение приказа Минздрава России от 14 сентября 2012 г. №175н «Об утверждении порядка осуществления мониторинга безопасности медицинских изделий» поступило 4 171 сообщение, включая повторные сообщения о нежелательном событии (инциденте)/риске инцидента при применении медицинского изделия, из них: со смертельным исходом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 (из них: 9</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территории Российской Федерации, 29</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за рубежом), с угрозой жизни и здоровью</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634 (из них: 176</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территории Российской Федерации, 458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за рубежом), связанные с применением медицинских изделий отечественного производства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223, связанные с медицинскими изделиями зарубежного производства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3 948.</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Сотрудниками центрального аппарата Росздравнадзора проведен контроль за проведением клинических испытаний медицинских изделий в 2018 году в 10 организациях, из них 1 проверка проведена в связи с поступлением в Росздравнадзор информации о причинении вреда здоровью </w:t>
      </w:r>
      <w:r w:rsidRPr="005E58C6">
        <w:rPr>
          <w:rFonts w:ascii="Times New Roman" w:hAnsi="Times New Roman" w:cs="Times New Roman"/>
          <w:sz w:val="28"/>
          <w:szCs w:val="28"/>
        </w:rPr>
        <w:lastRenderedPageBreak/>
        <w:t>граждан.</w:t>
      </w:r>
    </w:p>
    <w:p w:rsidR="005E58C6" w:rsidRPr="005E58C6" w:rsidRDefault="000C48BA" w:rsidP="00550572">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П</w:t>
      </w:r>
      <w:r w:rsidR="005E58C6" w:rsidRPr="005E58C6">
        <w:rPr>
          <w:rFonts w:ascii="Times New Roman" w:hAnsi="Times New Roman" w:cs="Times New Roman"/>
          <w:sz w:val="28"/>
          <w:szCs w:val="28"/>
        </w:rPr>
        <w:t xml:space="preserve">остановлением Правительства Российской Федерации </w:t>
      </w:r>
      <w:r>
        <w:rPr>
          <w:rFonts w:ascii="Times New Roman" w:hAnsi="Times New Roman" w:cs="Times New Roman"/>
          <w:sz w:val="28"/>
          <w:szCs w:val="28"/>
        </w:rPr>
        <w:br/>
      </w:r>
      <w:r w:rsidR="005E58C6" w:rsidRPr="005E58C6">
        <w:rPr>
          <w:rFonts w:ascii="Times New Roman" w:hAnsi="Times New Roman" w:cs="Times New Roman"/>
          <w:sz w:val="28"/>
          <w:szCs w:val="28"/>
        </w:rPr>
        <w:t xml:space="preserve">от 31 мая 2018 г. </w:t>
      </w:r>
      <w:r w:rsidR="005E58C6">
        <w:rPr>
          <w:rFonts w:ascii="Times New Roman" w:hAnsi="Times New Roman" w:cs="Times New Roman"/>
          <w:sz w:val="28"/>
          <w:szCs w:val="28"/>
        </w:rPr>
        <w:t>№ </w:t>
      </w:r>
      <w:r>
        <w:rPr>
          <w:rFonts w:ascii="Times New Roman" w:hAnsi="Times New Roman" w:cs="Times New Roman"/>
          <w:sz w:val="28"/>
          <w:szCs w:val="28"/>
        </w:rPr>
        <w:t>633</w:t>
      </w:r>
      <w:r w:rsidR="005E58C6" w:rsidRPr="005E58C6">
        <w:rPr>
          <w:rFonts w:ascii="Times New Roman" w:hAnsi="Times New Roman" w:cs="Times New Roman"/>
          <w:sz w:val="28"/>
          <w:szCs w:val="28"/>
        </w:rPr>
        <w:t xml:space="preserve"> внесены изменения в Правила государственной регистрации медицинских изделий, утвержденные постановлением Правительства Российской Федерации от 27 декабря 2012 г. </w:t>
      </w:r>
      <w:r w:rsidR="005E58C6">
        <w:rPr>
          <w:rFonts w:ascii="Times New Roman" w:hAnsi="Times New Roman" w:cs="Times New Roman"/>
          <w:sz w:val="28"/>
          <w:szCs w:val="28"/>
        </w:rPr>
        <w:t>№ </w:t>
      </w:r>
      <w:r w:rsidR="005E58C6" w:rsidRPr="005E58C6">
        <w:rPr>
          <w:rFonts w:ascii="Times New Roman" w:hAnsi="Times New Roman" w:cs="Times New Roman"/>
          <w:sz w:val="28"/>
          <w:szCs w:val="28"/>
        </w:rPr>
        <w:t>1416.</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Росздравнадзором в рамках мероприятий по контролю за обращением медицинских изделий направлены материалы для проведения 1 100 экспертиз, включая технические испытания и токсикологические исследования, и 50 экспертиз представленной документации на медицинские изделия. В ходе контрольных мероприятий ограничено обращение 4 341 956 единиц медицинских изделий, не соответствующих установленным требованиям. По результатам проведенных испытаний и экспертиз образцов медицинских изделий в 89,5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случаев выявлено несоответствие установленным требованиям качества и безопасности.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Проводимая Росздравнадзором в 2018 году работа позволила повысить качество и доступность медицинской помощи, в том числе обеспечить соблюдение прав граждан на предоставление медицинской помощи в гарантированном объеме в рамках территориальных программ государственных гарантий бесплатного оказания гражданам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550572" w:rsidRDefault="00550572" w:rsidP="005E58C6">
      <w:pPr>
        <w:widowControl w:val="0"/>
        <w:spacing w:after="0" w:line="312" w:lineRule="auto"/>
        <w:ind w:firstLine="709"/>
        <w:jc w:val="both"/>
        <w:rPr>
          <w:rFonts w:ascii="Times New Roman" w:hAnsi="Times New Roman" w:cs="Times New Roman"/>
          <w:sz w:val="28"/>
          <w:szCs w:val="28"/>
        </w:rPr>
      </w:pPr>
    </w:p>
    <w:p w:rsidR="00550572" w:rsidRDefault="00550572" w:rsidP="005E58C6">
      <w:pPr>
        <w:widowControl w:val="0"/>
        <w:spacing w:after="0" w:line="312" w:lineRule="auto"/>
        <w:ind w:firstLine="709"/>
        <w:jc w:val="both"/>
        <w:rPr>
          <w:rFonts w:ascii="Times New Roman" w:hAnsi="Times New Roman" w:cs="Times New Roman"/>
          <w:sz w:val="28"/>
          <w:szCs w:val="28"/>
        </w:rPr>
      </w:pPr>
    </w:p>
    <w:p w:rsidR="000C48BA" w:rsidRDefault="000C48BA" w:rsidP="005E58C6">
      <w:pPr>
        <w:widowControl w:val="0"/>
        <w:spacing w:after="0" w:line="312" w:lineRule="auto"/>
        <w:ind w:firstLine="709"/>
        <w:jc w:val="both"/>
        <w:rPr>
          <w:rFonts w:ascii="Times New Roman" w:hAnsi="Times New Roman" w:cs="Times New Roman"/>
          <w:sz w:val="28"/>
          <w:szCs w:val="28"/>
        </w:rPr>
      </w:pPr>
    </w:p>
    <w:p w:rsidR="000C48BA" w:rsidRPr="005E58C6" w:rsidRDefault="000C48BA" w:rsidP="005E58C6">
      <w:pPr>
        <w:widowControl w:val="0"/>
        <w:spacing w:after="0" w:line="312" w:lineRule="auto"/>
        <w:ind w:firstLine="709"/>
        <w:jc w:val="both"/>
        <w:rPr>
          <w:rFonts w:ascii="Times New Roman" w:hAnsi="Times New Roman" w:cs="Times New Roman"/>
          <w:sz w:val="28"/>
          <w:szCs w:val="28"/>
        </w:rPr>
      </w:pPr>
    </w:p>
    <w:p w:rsidR="005E58C6" w:rsidRPr="00550572" w:rsidRDefault="005E58C6" w:rsidP="005E58C6">
      <w:pPr>
        <w:widowControl w:val="0"/>
        <w:spacing w:after="0" w:line="312" w:lineRule="auto"/>
        <w:ind w:firstLine="709"/>
        <w:jc w:val="both"/>
        <w:rPr>
          <w:rFonts w:ascii="Times New Roman" w:hAnsi="Times New Roman" w:cs="Times New Roman"/>
          <w:b/>
          <w:sz w:val="28"/>
          <w:szCs w:val="28"/>
        </w:rPr>
      </w:pPr>
      <w:r w:rsidRPr="00550572">
        <w:rPr>
          <w:rFonts w:ascii="Times New Roman" w:hAnsi="Times New Roman" w:cs="Times New Roman"/>
          <w:b/>
          <w:sz w:val="28"/>
          <w:szCs w:val="28"/>
        </w:rPr>
        <w:lastRenderedPageBreak/>
        <w:t>подраздел 6.11. Медико-санитарное обеспечение отдельных категорий граждан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Приоритетным разделом деятельности Федерального медико-биологического агентства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ФМБА России) является сохранение и укрепление здоровья работников предприятий с особо опасными условиями труда.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Полнота охвата предварительными и периодическими медицинскими осмотрами работников предприятий, прикрепленных на медицинское обслуживание к ФМБА России, в 2018 году составила 98,1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97,4</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предупреждения профессиональных заболеваний и заболеваний, препятствующих продолжению профессиональной деятельности, работают 14 центров профпатологии. Укомплектованность медицинских организаций ФМБА России врачами-терапевтами участковыми цеховых участков в 2018 году составила 94,3</w:t>
      </w:r>
      <w:r w:rsidR="00000709">
        <w:rPr>
          <w:rFonts w:ascii="Times New Roman" w:hAnsi="Times New Roman" w:cs="Times New Roman"/>
          <w:sz w:val="28"/>
          <w:szCs w:val="28"/>
        </w:rPr>
        <w:t> %</w:t>
      </w:r>
      <w:r w:rsidRPr="005E58C6">
        <w:rPr>
          <w:rFonts w:ascii="Times New Roman" w:hAnsi="Times New Roman" w:cs="Times New Roman"/>
          <w:sz w:val="28"/>
          <w:szCs w:val="28"/>
        </w:rPr>
        <w:t>, прошли усовершенствование по профпатологии 91,2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врачей. Укомплектованность врачами-профпатологами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84,9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сфере медицинского обеспечения водолазных и кессонных работ для медицинских осмотров водолазов и кессонщиков сформированы и функционируют 25 водолазно-медицинских комиссий. В 2018 году было обследовано 1 350 водолазов (в 2017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1 266 водолазов), 1</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работников (из числа обследованных) признаны непригодными к водолазным работам.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медицинские организации ФМБА России осуществляли медицинское обеспечение 4 запусков пилотируемых космических кораблей, 4 посадок космонавтов при их возвращении на землю из космического полета, 7 непилотируемых космических объектов, в том числе двух с нового космодрома «Восточный».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сводные мобильные отряды ФМБА России провели диспансеризацию населения труднодоступных районов республик Ингушетия, Тыва, Южная Осетия-Алания, Омской области, Красноярского и Приморского краев, Еврейской автономной области. Диспансеризацию прошли более 60 тыс. взрослых и детей.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октябре 2018 года мобильная бригада ФМБА России принимала участие в ликвидации медицинских последствий наводнения в Туапсинском районе Краснодарского края, где за 2 дня врачи побывали в 14 населенных </w:t>
      </w:r>
      <w:r w:rsidRPr="005E58C6">
        <w:rPr>
          <w:rFonts w:ascii="Times New Roman" w:hAnsi="Times New Roman" w:cs="Times New Roman"/>
          <w:sz w:val="28"/>
          <w:szCs w:val="28"/>
        </w:rPr>
        <w:lastRenderedPageBreak/>
        <w:t>пунктах, приняли 387 пациентов, провели 204 вакцинации против кишечных инфекций.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было осуществлено 38 медицинских эвакуаций спецбортом ФМБА России.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совершенствования контрольно-надзорной деятельности, осуществляемой ФМБА России в области санитарно-эпидемиологического благополучия работников организаций отдельных отраслей промышленности с особо опасными условиями труда, в 2018 году вступили в силу опросные листы для проведения плановых проверок атомных станций, объектов по уничтожению химического оружия, предприятий общественного питания, торговли, парикмахерских. Разрабатываются опросные листы для проведения плановых проверок иных радиационных, химически и биологически опасных объектов.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области химической безопасности в конце 2018 года завершена работа над изменениями в правила для объектов по уничтожению химического оружия.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этапах проведения предстартовых и послеполетных работ был организован и проведен контроль за обеспечением санитарно-противоэпидемического режима, проведением ограничительно-обсервационных мероприятий, направленных на предупреждение инфекционных заболеваний экипажей космонавтов, в местах их размещения, питания, отдыха и тренировок, за соблюдением государственных санитарно-эпидемиологических правил и нормативов при проведении работ с участием экипажей космонавтов на заключительных этапах предстартовой подготовки к запускам с космодрома «Байконур» 4-х транспортных пилотируемых кораблей «Союз» и 3-х транспортных грузовых кораблей «Прогресс».</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Проведены лабораторные исследования проб питьевой воды (198), пищевой продукции (119), воздуха (116) и смывов (1 917), взятых с поверхностей интерьера, оборудования и оснащения в местах предстартовой подготовки экипажей космонавтов на космодроме «Байконур» на соответствие санитарно-эпидемиологическим требованиям санитарных правил и государственных нормативов. Нарушений требований санитарного законодательства в местах проведения работ, связанных с подготовкой космических аппаратов к запуску не выявлено.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осуществления федерального государственного санитарно-</w:t>
      </w:r>
      <w:r w:rsidRPr="005E58C6">
        <w:rPr>
          <w:rFonts w:ascii="Times New Roman" w:hAnsi="Times New Roman" w:cs="Times New Roman"/>
          <w:sz w:val="28"/>
          <w:szCs w:val="28"/>
        </w:rPr>
        <w:lastRenderedPageBreak/>
        <w:t>эпидемиологического надзора в 2018 году территориальными органами ФМБА России проведено 11 проверок 7 объектов по уничтожению химического оружия, профессиональной заболеваемости персонала объектов по уничтожению химического оружия не выявлено.</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Анализ инфекционной и паразитарной заболеваемости среди населения, подлежащего обслуживанию ФМБА России, показал, что в 2018 году зарегистрировано 631 985 случаев инфекционных заболеваний (с учетом острых респираторных вирусных инфекций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ОРВИ), гриппа и паразитарных заболеваний), что на 2,6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меньше, чем в 2017 году (648 934 случая). Заболеваемость детей в общей структуре заболеваемости в 2018 году составила 67,1</w:t>
      </w:r>
      <w:r w:rsidR="00000709">
        <w:rPr>
          <w:rFonts w:ascii="Times New Roman" w:hAnsi="Times New Roman" w:cs="Times New Roman"/>
          <w:sz w:val="28"/>
          <w:szCs w:val="28"/>
        </w:rPr>
        <w:t> %</w:t>
      </w:r>
      <w:r w:rsidRPr="005E58C6">
        <w:rPr>
          <w:rFonts w:ascii="Times New Roman" w:hAnsi="Times New Roman" w:cs="Times New Roman"/>
          <w:sz w:val="28"/>
          <w:szCs w:val="28"/>
        </w:rPr>
        <w:t>. Суммарное число заболевших гриппом и ОРВИ в 2018 г. составило 565 824 случая (в том числе гриппом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1 988 случаев), что на 3,9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меньше, чем в 2017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общей структуре инфекционных и паразитарных заболеваний (без учета гриппа и ОРВИ) зарегистрированных среди обслуживаемого населения в 2018 году количество заболеваний ветряной оспой составляет 24,3</w:t>
      </w:r>
      <w:r w:rsidR="00000709">
        <w:rPr>
          <w:rFonts w:ascii="Times New Roman" w:hAnsi="Times New Roman" w:cs="Times New Roman"/>
          <w:sz w:val="28"/>
          <w:szCs w:val="28"/>
        </w:rPr>
        <w:t> %</w:t>
      </w:r>
      <w:r w:rsidRPr="005E58C6">
        <w:rPr>
          <w:rFonts w:ascii="Times New Roman" w:hAnsi="Times New Roman" w:cs="Times New Roman"/>
          <w:sz w:val="28"/>
          <w:szCs w:val="28"/>
        </w:rPr>
        <w:t>, внебольничными пневмониями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16,3</w:t>
      </w:r>
      <w:r w:rsidR="00000709">
        <w:rPr>
          <w:rFonts w:ascii="Times New Roman" w:hAnsi="Times New Roman" w:cs="Times New Roman"/>
          <w:sz w:val="28"/>
          <w:szCs w:val="28"/>
        </w:rPr>
        <w:t> %</w:t>
      </w:r>
      <w:r w:rsidRPr="005E58C6">
        <w:rPr>
          <w:rFonts w:ascii="Times New Roman" w:hAnsi="Times New Roman" w:cs="Times New Roman"/>
          <w:sz w:val="28"/>
          <w:szCs w:val="28"/>
        </w:rPr>
        <w:t>, укусы клещами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15,7</w:t>
      </w:r>
      <w:r w:rsidR="00000709">
        <w:rPr>
          <w:rFonts w:ascii="Times New Roman" w:hAnsi="Times New Roman" w:cs="Times New Roman"/>
          <w:sz w:val="28"/>
          <w:szCs w:val="28"/>
        </w:rPr>
        <w:t> %</w:t>
      </w:r>
      <w:r w:rsidRPr="005E58C6">
        <w:rPr>
          <w:rFonts w:ascii="Times New Roman" w:hAnsi="Times New Roman" w:cs="Times New Roman"/>
          <w:sz w:val="28"/>
          <w:szCs w:val="28"/>
        </w:rPr>
        <w:t>, острыми кишечными инфекциями неустановленной этиологии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11,7</w:t>
      </w:r>
      <w:r w:rsidR="00000709">
        <w:rPr>
          <w:rFonts w:ascii="Times New Roman" w:hAnsi="Times New Roman" w:cs="Times New Roman"/>
          <w:sz w:val="28"/>
          <w:szCs w:val="28"/>
        </w:rPr>
        <w:t> %</w:t>
      </w:r>
      <w:r w:rsidRPr="005E58C6">
        <w:rPr>
          <w:rFonts w:ascii="Times New Roman" w:hAnsi="Times New Roman" w:cs="Times New Roman"/>
          <w:sz w:val="28"/>
          <w:szCs w:val="28"/>
        </w:rPr>
        <w:t>, острыми кишечными инфекциями бактериальной этиологии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6,4</w:t>
      </w:r>
      <w:r w:rsidR="00000709">
        <w:rPr>
          <w:rFonts w:ascii="Times New Roman" w:hAnsi="Times New Roman" w:cs="Times New Roman"/>
          <w:sz w:val="28"/>
          <w:szCs w:val="28"/>
        </w:rPr>
        <w:t> %</w:t>
      </w:r>
      <w:r w:rsidRPr="005E58C6">
        <w:rPr>
          <w:rFonts w:ascii="Times New Roman" w:hAnsi="Times New Roman" w:cs="Times New Roman"/>
          <w:sz w:val="28"/>
          <w:szCs w:val="28"/>
        </w:rPr>
        <w:t>. В 2018 году зарегистрировано 4 случая заболевания корью.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Среди населения, подлежащего обслуживанию ФМБА России, в 2018 году зарегистрировано 10 789 случаев внебольничной пневмонии, что на 29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больше, чем в 2017 году (8 358 случаев), взрослое население составляет 62</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50572">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Научными организациями ФМБА России в 2018 году было выполнено 277 научно-исследовательских  работ  и  медико-гигиенических мероприятий;</w:t>
      </w:r>
      <w:r w:rsidR="00550572">
        <w:rPr>
          <w:rFonts w:ascii="Times New Roman" w:hAnsi="Times New Roman" w:cs="Times New Roman"/>
          <w:sz w:val="28"/>
          <w:szCs w:val="28"/>
        </w:rPr>
        <w:t xml:space="preserve"> </w:t>
      </w:r>
      <w:r w:rsidRPr="005E58C6">
        <w:rPr>
          <w:rFonts w:ascii="Times New Roman" w:hAnsi="Times New Roman" w:cs="Times New Roman"/>
          <w:sz w:val="28"/>
          <w:szCs w:val="28"/>
        </w:rPr>
        <w:t xml:space="preserve">разработано более 30 инновационных технологий.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основе эпидемиологического анализа здоровья работников предприятий и организаций государственной корпорации «Росатом», принимавших участие в ликвидации аварии на Чернобыльской АЭС, сформирована база данных о состоянии здоровья участников ликвидации последствий аварии на Чернобыльской АЭС за период 1986-2018 гг.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Проведен синтез и экспериментальная оценка эффективности аналогов циклических нуклеотидов как средств лечения и реабилитации больных с последствиями острой и хронической интоксикаций химического генеза.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Создан принципиально новый класс препаратов для специфического лечения пыльцевой аллергии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аллерготропины, комплексные препараты на основе высокоочищенных аллергоидов пыльцы и синтетического высокомолекулярного иммуномодулятора Полиоксидония. При иммунизации аллерготропином (аллерген-специфической иммунотерапии) наблюдается снижение чувствительности пациентов к специфическому аллергену. Препараты обладают сниженными аллергенными свойствами (по сравнению с исходным аллергеном) и выраженными иммуногенными свойствами, не имеют аналогов в мире по эффективности и возможной широте использования для специфической иммунотерапии поллинозов, превосходят все существующие отечественные и зарубежные аналоги по специфической активности, иммуногенности и безопасности.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Проведены клинические испытания препаратов для лечения пыльцевой аллергии, вызванной пыльцой тимофеевки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Тимпол, пыльцой березы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Берпол, пыльцой полыни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Полпол.</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ФМБА России принимало активное участие в медико-биологическом обеспечении спортивных сборных олимпийских команд страны, принимавших участие в международных спортивных соревнованиях. Основным из самых крупных событий на мировой спортивной арене были XXIII Олимпийские и XII Паралимпийские зимние игры 2018 года в г. Пхенчхан (Республика Корея).</w:t>
      </w:r>
    </w:p>
    <w:p w:rsidR="005E58C6" w:rsidRPr="005E58C6" w:rsidRDefault="005E58C6" w:rsidP="00550572">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медицинском сопровождении Олимпиады принимали участие 40 специалистов ФМБА России, из них 31 медицинский специалист выезжал непосредственно с командами. Были открыты 2 медицинских центра для спортсменов-олимпийцев. За время Олимпиады было зарегистрировано 279 обращений, за период проведения Паралимпиады зарегистрировано 107 обращений за медицинской помощью.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 14 июня по 15 июля 2018 года во всех городах проведения Чемпионата мира по футболу FIFA 2018 специализированные бригады ФМБА России осуществляли контроль и координацию по радиационной, химической и биологической защите. Проведено медико-биологическое обеспечение спортсменов сборной команды России по футболу на этапах подготовки и выступления на Чемпионате мира по футболу FIFA 2018.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распоряжением Правительства Российской Федерации от 8 апреля 2011 г. </w:t>
      </w:r>
      <w:r>
        <w:rPr>
          <w:rFonts w:ascii="Times New Roman" w:hAnsi="Times New Roman" w:cs="Times New Roman"/>
          <w:sz w:val="28"/>
          <w:szCs w:val="28"/>
        </w:rPr>
        <w:t>№ </w:t>
      </w:r>
      <w:r w:rsidR="000C48BA">
        <w:rPr>
          <w:rFonts w:ascii="Times New Roman" w:hAnsi="Times New Roman" w:cs="Times New Roman"/>
          <w:sz w:val="28"/>
          <w:szCs w:val="28"/>
        </w:rPr>
        <w:t>599-р ФМБА России организо</w:t>
      </w:r>
      <w:r w:rsidRPr="005E58C6">
        <w:rPr>
          <w:rFonts w:ascii="Times New Roman" w:hAnsi="Times New Roman" w:cs="Times New Roman"/>
          <w:sz w:val="28"/>
          <w:szCs w:val="28"/>
        </w:rPr>
        <w:t xml:space="preserve">вало и </w:t>
      </w:r>
      <w:r w:rsidRPr="005E58C6">
        <w:rPr>
          <w:rFonts w:ascii="Times New Roman" w:hAnsi="Times New Roman" w:cs="Times New Roman"/>
          <w:sz w:val="28"/>
          <w:szCs w:val="28"/>
        </w:rPr>
        <w:lastRenderedPageBreak/>
        <w:t>успешно осуществило медицинское обеспечение участников, журналистов, официальных лиц и почетных гостей по маршруту российского этапа ежегодного международного ралли «Шелковый путь».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завершено строительство Федерального высокотехнологичного центра медицинской радиологии ФМБА России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федеральный центр) в городе Димитровграде Ульяновской области. Получена лицензия на осуществление медицинской деятельности с использованием циклотрона.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Введен в эксплуатацию объект ФМБА России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проект MECHNIKOV (Манагуа, Никарагуа).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распоряжением Правительства Российской 15 ноября 2016 г. </w:t>
      </w:r>
      <w:r>
        <w:rPr>
          <w:rFonts w:ascii="Times New Roman" w:hAnsi="Times New Roman" w:cs="Times New Roman"/>
          <w:sz w:val="28"/>
          <w:szCs w:val="28"/>
        </w:rPr>
        <w:t>№ </w:t>
      </w:r>
      <w:r w:rsidRPr="005E58C6">
        <w:rPr>
          <w:rFonts w:ascii="Times New Roman" w:hAnsi="Times New Roman" w:cs="Times New Roman"/>
          <w:sz w:val="28"/>
          <w:szCs w:val="28"/>
        </w:rPr>
        <w:t xml:space="preserve">2416-р </w:t>
      </w:r>
      <w:r w:rsidR="000C48BA">
        <w:rPr>
          <w:rFonts w:ascii="Times New Roman" w:hAnsi="Times New Roman" w:cs="Times New Roman"/>
          <w:sz w:val="28"/>
          <w:szCs w:val="28"/>
        </w:rPr>
        <w:t xml:space="preserve"> </w:t>
      </w:r>
      <w:r w:rsidRPr="005E58C6">
        <w:rPr>
          <w:rFonts w:ascii="Times New Roman" w:hAnsi="Times New Roman" w:cs="Times New Roman"/>
          <w:sz w:val="28"/>
          <w:szCs w:val="28"/>
        </w:rPr>
        <w:t xml:space="preserve"> в 2018 году в ведение ФМБА России передано 5 военных госпиталей, имеющих 22 филиала, расположенных на 27 территориях в 4-х военных округах.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Default="005E58C6" w:rsidP="005E58C6">
      <w:pPr>
        <w:widowControl w:val="0"/>
        <w:spacing w:after="0" w:line="312" w:lineRule="auto"/>
        <w:ind w:firstLine="709"/>
        <w:jc w:val="both"/>
        <w:rPr>
          <w:rFonts w:ascii="Times New Roman" w:hAnsi="Times New Roman" w:cs="Times New Roman"/>
          <w:sz w:val="28"/>
          <w:szCs w:val="28"/>
        </w:rPr>
      </w:pPr>
    </w:p>
    <w:p w:rsidR="000C48BA" w:rsidRDefault="000C48BA" w:rsidP="005E58C6">
      <w:pPr>
        <w:widowControl w:val="0"/>
        <w:spacing w:after="0" w:line="312" w:lineRule="auto"/>
        <w:ind w:firstLine="709"/>
        <w:jc w:val="both"/>
        <w:rPr>
          <w:rFonts w:ascii="Times New Roman" w:hAnsi="Times New Roman" w:cs="Times New Roman"/>
          <w:sz w:val="28"/>
          <w:szCs w:val="28"/>
        </w:rPr>
      </w:pPr>
    </w:p>
    <w:p w:rsidR="000C48BA" w:rsidRPr="005E58C6" w:rsidRDefault="000C48BA" w:rsidP="005E58C6">
      <w:pPr>
        <w:widowControl w:val="0"/>
        <w:spacing w:after="0" w:line="312" w:lineRule="auto"/>
        <w:ind w:firstLine="709"/>
        <w:jc w:val="both"/>
        <w:rPr>
          <w:rFonts w:ascii="Times New Roman" w:hAnsi="Times New Roman" w:cs="Times New Roman"/>
          <w:sz w:val="28"/>
          <w:szCs w:val="28"/>
        </w:rPr>
      </w:pPr>
    </w:p>
    <w:p w:rsidR="00550572" w:rsidRDefault="00550572" w:rsidP="005E58C6">
      <w:pPr>
        <w:widowControl w:val="0"/>
        <w:spacing w:after="0" w:line="312" w:lineRule="auto"/>
        <w:ind w:firstLine="709"/>
        <w:jc w:val="both"/>
        <w:rPr>
          <w:rFonts w:ascii="Times New Roman" w:hAnsi="Times New Roman" w:cs="Times New Roman"/>
          <w:sz w:val="28"/>
          <w:szCs w:val="28"/>
        </w:rPr>
      </w:pPr>
    </w:p>
    <w:p w:rsidR="005E58C6" w:rsidRPr="00550572" w:rsidRDefault="005E58C6" w:rsidP="005E58C6">
      <w:pPr>
        <w:widowControl w:val="0"/>
        <w:spacing w:after="0" w:line="312" w:lineRule="auto"/>
        <w:ind w:firstLine="709"/>
        <w:jc w:val="both"/>
        <w:rPr>
          <w:rFonts w:ascii="Times New Roman" w:hAnsi="Times New Roman" w:cs="Times New Roman"/>
          <w:b/>
          <w:sz w:val="28"/>
          <w:szCs w:val="28"/>
        </w:rPr>
      </w:pPr>
      <w:r w:rsidRPr="00550572">
        <w:rPr>
          <w:rFonts w:ascii="Times New Roman" w:hAnsi="Times New Roman" w:cs="Times New Roman"/>
          <w:b/>
          <w:sz w:val="28"/>
          <w:szCs w:val="28"/>
        </w:rPr>
        <w:lastRenderedPageBreak/>
        <w:t xml:space="preserve">Раздел </w:t>
      </w:r>
      <w:r w:rsidR="00150061" w:rsidRPr="00150061">
        <w:rPr>
          <w:rFonts w:ascii="Times New Roman" w:hAnsi="Times New Roman" w:cs="Times New Roman"/>
          <w:b/>
          <w:sz w:val="28"/>
          <w:szCs w:val="28"/>
        </w:rPr>
        <w:t xml:space="preserve"> </w:t>
      </w:r>
      <w:r w:rsidR="00150061" w:rsidRPr="00857874">
        <w:rPr>
          <w:rFonts w:ascii="Times New Roman" w:hAnsi="Times New Roman" w:cs="Times New Roman"/>
          <w:b/>
          <w:sz w:val="28"/>
          <w:szCs w:val="28"/>
        </w:rPr>
        <w:t>7</w:t>
      </w:r>
      <w:r w:rsidRPr="00550572">
        <w:rPr>
          <w:rFonts w:ascii="Times New Roman" w:hAnsi="Times New Roman" w:cs="Times New Roman"/>
          <w:b/>
          <w:sz w:val="28"/>
          <w:szCs w:val="28"/>
        </w:rPr>
        <w:t>. Санитарно-эпидемиологическое благополучие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Деятельность Федеральной службы по надзору в сфере защиты прав потребителей и благополучия человека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Роспотребнадзор), в 2018 году осуществлялась в соответствии с основными направлениями деятельности Роспотребнадзора  и была направлена на обеспечение устойчивой санитарно-эпидемиологической ситуации в стране, эффективной защиты прав потребителей, оптимизацию контрольной и надзорной деятельности, внедрение в деятельность Роспотребнадзора методов проектного управления.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 числу главных итогов 2018 года следует отнести обеспечение устойчивой санитарно-эпидемиологической ситуации в стране.</w:t>
      </w:r>
    </w:p>
    <w:p w:rsidR="005E58C6" w:rsidRPr="00664146" w:rsidRDefault="005E58C6" w:rsidP="005E58C6">
      <w:pPr>
        <w:widowControl w:val="0"/>
        <w:spacing w:after="0" w:line="312" w:lineRule="auto"/>
        <w:ind w:firstLine="709"/>
        <w:jc w:val="both"/>
        <w:rPr>
          <w:rFonts w:ascii="Times New Roman" w:hAnsi="Times New Roman" w:cs="Times New Roman"/>
          <w:i/>
          <w:sz w:val="28"/>
          <w:szCs w:val="28"/>
        </w:rPr>
      </w:pPr>
      <w:r w:rsidRPr="00664146">
        <w:rPr>
          <w:rFonts w:ascii="Times New Roman" w:hAnsi="Times New Roman" w:cs="Times New Roman"/>
          <w:i/>
          <w:sz w:val="28"/>
          <w:szCs w:val="28"/>
        </w:rPr>
        <w:t>Осуществление Роспотребнадзором государственного санитарно-эпидемиологического надзора и организация обеспечения санитарно-эпидемиологического благополучия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Применение новых подходов при организации федерального государственного надзора, эффективное планирование контрольно-надзорной деятельности позволили обеспечить в целом по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Российской Федерации стабильную санитарно-эпидемиологическую ситуацию, снизить негативное воздействие факторов среды обитания на здоровье населения.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Системно проводимый комплекс профилактических (противоэпидемических) мероприятий в 2018 году позволил обеспечить стабилизацию заболеваемости, а также снижение заболеваемость  по наиболее значимым нозологическим группам (38 инфекционных и 16 паразитарных болезней), в том числе: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природно-очаговые инфекции: туляремия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2,4 раза, геморрагическая лихорадка с почечным синдромом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29,5</w:t>
      </w:r>
      <w:r w:rsidR="00000709">
        <w:rPr>
          <w:rFonts w:ascii="Times New Roman" w:hAnsi="Times New Roman" w:cs="Times New Roman"/>
          <w:sz w:val="28"/>
          <w:szCs w:val="28"/>
        </w:rPr>
        <w:t> %</w:t>
      </w:r>
      <w:r w:rsidRPr="005E58C6">
        <w:rPr>
          <w:rFonts w:ascii="Times New Roman" w:hAnsi="Times New Roman" w:cs="Times New Roman"/>
          <w:sz w:val="28"/>
          <w:szCs w:val="28"/>
        </w:rPr>
        <w:t>, лептоспироз</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16</w:t>
      </w:r>
      <w:r w:rsidR="00000709">
        <w:rPr>
          <w:rFonts w:ascii="Times New Roman" w:hAnsi="Times New Roman" w:cs="Times New Roman"/>
          <w:sz w:val="28"/>
          <w:szCs w:val="28"/>
        </w:rPr>
        <w:t> %</w:t>
      </w:r>
      <w:r w:rsidRPr="005E58C6">
        <w:rPr>
          <w:rFonts w:ascii="Times New Roman" w:hAnsi="Times New Roman" w:cs="Times New Roman"/>
          <w:sz w:val="28"/>
          <w:szCs w:val="28"/>
        </w:rPr>
        <w:t>, клещевой вирусный энцефалит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11</w:t>
      </w:r>
      <w:r w:rsidR="00000709">
        <w:rPr>
          <w:rFonts w:ascii="Times New Roman" w:hAnsi="Times New Roman" w:cs="Times New Roman"/>
          <w:sz w:val="28"/>
          <w:szCs w:val="28"/>
        </w:rPr>
        <w:t> %</w:t>
      </w:r>
      <w:r w:rsidRPr="005E58C6">
        <w:rPr>
          <w:rFonts w:ascii="Times New Roman" w:hAnsi="Times New Roman" w:cs="Times New Roman"/>
          <w:sz w:val="28"/>
          <w:szCs w:val="28"/>
        </w:rPr>
        <w:t>, риккетсиозы</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15,8</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социально-значимые инфекции: вирусный гепатит 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 зарегистрировано всего 993 случая или 0,68 на 100  тыс.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грипп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24,5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гепатит 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в 1,9 раза,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энтеровирусная инфекция в 1,7 раз;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эпидемический паротит - в 2,2 раза;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трихинеллез на 25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легионеллез</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в 2 раза, псевдотуберкулез - на 21</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Обеспечено поддержание статуса страны, свободной от полиомиелита, прервана циркуляция эндемичного вируса краснухи и передача краснушной инфекции (в 2018 году зарегистрировано всего 5 случаев краснухи, показатель 0,00 на 1 млн. населения, что соответствует элиминации данной инфекции). Российская Федерация получила сертификат территории, свободной от краснухи.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отмечена стабилизация численности впервые выявленных ВИЧ-инфицированных лиц (показатель составил 58,99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что на 2,2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ниже, чем в 2017 г.).</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Основное внимание в 2018 году, как и в последние годы, уделялось повышению охвата населения вакцинацией против гриппа.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Минздравом России, по сравнению с 2017 годом, объём закупок вакцин для профилактики гриппа был увеличен на 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более 62,3 млн доз, в том числе 18,7 млн доз для детей и 43,6 млн доз для взрослых. Все противогриппозные вакцины («Совигрипп», «Ультрикс» и  «Флю-М», производимые российскими компаниями АО «НПО «Микроген», ООО «ФОРТ» и ФГУП «Санкт-Петербургский научно-исследовательский институт вакцин и сывороток и предприятие по производству бактерийных препаратов» ФМБА России) содержали актуальные штаммы, рекомендованные ВОЗ </w:t>
      </w:r>
      <w:r w:rsidRPr="005E58C6">
        <w:rPr>
          <w:rFonts w:ascii="Times New Roman" w:hAnsi="Times New Roman" w:cs="Times New Roman"/>
          <w:sz w:val="28"/>
          <w:szCs w:val="28"/>
        </w:rPr>
        <w:tab/>
        <w:t xml:space="preserve"> на предстоящий эпидемический сезон.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привито против гриппа более 70,8 млн человек (49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численности населения Российской Федерации), что на 3,4 млн человек больше, чем в  2017 году (2017 г.</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  67,4 млн человек или 46,6</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численности населения), за счет средств работодателей привито более 5,8 млн человек.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Результативность вакцинации наглядно подтверждается динамикой заболеваемости гриппом, которая в 2018 году снизилась на 24,2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составила 26,48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 (2017 год</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34,93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Массовая иммунизация населения против гриппа наряду с комплексом других профилактических и противоэпидемических мероприятий позволила существенно снизить интенсивность эпидемического процесса гриппа и социально-экономические последствия.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Не допущен завоз особо опасных инфекций, несмотря на сложную эпидемиологическую обстановку в странах Европейского региона и в мире.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Обеспечена санитарно-эпидемиологическая безопасность в период подготовки и проведения в 2018 году Чемпионата мира по футболу.</w:t>
      </w:r>
    </w:p>
    <w:p w:rsidR="005E58C6" w:rsidRPr="00174D50" w:rsidRDefault="005E58C6" w:rsidP="005E58C6">
      <w:pPr>
        <w:widowControl w:val="0"/>
        <w:spacing w:after="0" w:line="312" w:lineRule="auto"/>
        <w:ind w:firstLine="709"/>
        <w:jc w:val="both"/>
        <w:rPr>
          <w:rFonts w:ascii="Times New Roman" w:hAnsi="Times New Roman" w:cs="Times New Roman"/>
          <w:i/>
          <w:sz w:val="28"/>
          <w:szCs w:val="28"/>
        </w:rPr>
      </w:pPr>
      <w:r w:rsidRPr="00174D50">
        <w:rPr>
          <w:rFonts w:ascii="Times New Roman" w:hAnsi="Times New Roman" w:cs="Times New Roman"/>
          <w:i/>
          <w:sz w:val="28"/>
          <w:szCs w:val="28"/>
        </w:rPr>
        <w:t>Санитарно-эпидемиологический надзор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Сформирована на новом уровне единая надзорная и лабораторная база с созданием рабочих мест для индикации неизвестных и опасных патогенов с привлечением специалистов ведущих научно-исследовательских организаций Роспотребнадзора.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Проведено дооснащение лабораторной базы современным лабораторным оборудованием, сформирован необходимый запас диагностических препаратов и тест-систем, обеспечена готовность к проведению более 380 тысяч исследований окружающей среды суммарно и около 3 тыс. исследований ежедневно на наличие возбудителей инфекционных болезней.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Досмотрено более 7,3 млн. пассажиров, выявлено 168 человек с признаками инфекционных болезней.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результате выполнения задач  по противоэпидемическому обеспечению, не допущено осложнений эпидемиологической обстановки.</w:t>
      </w:r>
    </w:p>
    <w:p w:rsidR="005E58C6" w:rsidRPr="00664146" w:rsidRDefault="005E58C6" w:rsidP="005E58C6">
      <w:pPr>
        <w:widowControl w:val="0"/>
        <w:spacing w:after="0" w:line="312" w:lineRule="auto"/>
        <w:ind w:firstLine="709"/>
        <w:jc w:val="both"/>
        <w:rPr>
          <w:rFonts w:ascii="Times New Roman" w:hAnsi="Times New Roman" w:cs="Times New Roman"/>
          <w:i/>
          <w:sz w:val="28"/>
          <w:szCs w:val="28"/>
        </w:rPr>
      </w:pPr>
      <w:r w:rsidRPr="00664146">
        <w:rPr>
          <w:rFonts w:ascii="Times New Roman" w:hAnsi="Times New Roman" w:cs="Times New Roman"/>
          <w:i/>
          <w:sz w:val="28"/>
          <w:szCs w:val="28"/>
        </w:rPr>
        <w:t>Осуществление Роспотребнадзором функции по нормативно-правовому регулированию в сфере защиты прав потребителей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совершенствования действующих правовых механизмов и создания дополнительных гарантий защиты прав и интересов граждан в 2018 году законодательная деятельность была направлена, в том числе на усиление административной ответственности юридических лиц и индивидуальных предпринимателей за несоблюдение норм санитарного законодательства и законодательства в сфере защиты прав потребителей: разработано и принято более 10 федеральных законов, в частности: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Федеральным законом от 29 июля 2018 г. </w:t>
      </w:r>
      <w:r>
        <w:rPr>
          <w:rFonts w:ascii="Times New Roman" w:hAnsi="Times New Roman" w:cs="Times New Roman"/>
          <w:sz w:val="28"/>
          <w:szCs w:val="28"/>
        </w:rPr>
        <w:t>№ </w:t>
      </w:r>
      <w:r w:rsidRPr="005E58C6">
        <w:rPr>
          <w:rFonts w:ascii="Times New Roman" w:hAnsi="Times New Roman" w:cs="Times New Roman"/>
          <w:sz w:val="28"/>
          <w:szCs w:val="28"/>
        </w:rPr>
        <w:t>250-ФЗ «О внесении изменений в Закон Российской Федерации «О защите прав потребителей» определен правовой статус и обязанности товарных агрегаторов в Интернете, в том числе осуществляющих реализацию пищевой продукции;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Федеральным законом от 27 декабря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560-ФЗ «О внесении изменений в статьи 2 и 26 Федерального закона «О государственном регулировании производства и оборота этилового спирта, алкогольной и </w:t>
      </w:r>
      <w:r w:rsidRPr="005E58C6">
        <w:rPr>
          <w:rFonts w:ascii="Times New Roman" w:hAnsi="Times New Roman" w:cs="Times New Roman"/>
          <w:sz w:val="28"/>
          <w:szCs w:val="28"/>
        </w:rPr>
        <w:lastRenderedPageBreak/>
        <w:t>спиртосодержащей продукции и об ограничении потребления (распития) алкогольной продукции» установлен запрет на производство и (или) оборот порошкообра</w:t>
      </w:r>
      <w:r w:rsidR="00CE6D5B">
        <w:rPr>
          <w:rFonts w:ascii="Times New Roman" w:hAnsi="Times New Roman" w:cs="Times New Roman"/>
          <w:sz w:val="28"/>
          <w:szCs w:val="28"/>
        </w:rPr>
        <w:t>зной спиртосодержащей продукции.</w:t>
      </w:r>
      <w:r w:rsidRPr="005E58C6">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Проводилась работа по актуализации нормативных правовых актов с целью выявления, систематизации и оценки избыточных, устаревших и дублирующих требований.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развития национальной системы защиты прав потребителей распоряжением Правительства Российской Федерации от 23 марта 2018 г. </w:t>
      </w:r>
      <w:r>
        <w:rPr>
          <w:rFonts w:ascii="Times New Roman" w:hAnsi="Times New Roman" w:cs="Times New Roman"/>
          <w:sz w:val="28"/>
          <w:szCs w:val="28"/>
        </w:rPr>
        <w:t>№ </w:t>
      </w:r>
      <w:r w:rsidRPr="005E58C6">
        <w:rPr>
          <w:rFonts w:ascii="Times New Roman" w:hAnsi="Times New Roman" w:cs="Times New Roman"/>
          <w:sz w:val="28"/>
          <w:szCs w:val="28"/>
        </w:rPr>
        <w:t xml:space="preserve">481-р утвержден план мероприятий по реализации Стратегии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 августа 2017 г. </w:t>
      </w:r>
      <w:r>
        <w:rPr>
          <w:rFonts w:ascii="Times New Roman" w:hAnsi="Times New Roman" w:cs="Times New Roman"/>
          <w:sz w:val="28"/>
          <w:szCs w:val="28"/>
        </w:rPr>
        <w:t>№ </w:t>
      </w:r>
      <w:r w:rsidRPr="005E58C6">
        <w:rPr>
          <w:rFonts w:ascii="Times New Roman" w:hAnsi="Times New Roman" w:cs="Times New Roman"/>
          <w:sz w:val="28"/>
          <w:szCs w:val="28"/>
        </w:rPr>
        <w:t>1837-р.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Продолжена работа по внедрению мероприятия по контролю «контрольная закупка»: Федеральным законом от 18 апреля 2018 г. </w:t>
      </w:r>
      <w:r>
        <w:rPr>
          <w:rFonts w:ascii="Times New Roman" w:hAnsi="Times New Roman" w:cs="Times New Roman"/>
          <w:sz w:val="28"/>
          <w:szCs w:val="28"/>
        </w:rPr>
        <w:t>№ </w:t>
      </w:r>
      <w:r w:rsidRPr="005E58C6">
        <w:rPr>
          <w:rFonts w:ascii="Times New Roman" w:hAnsi="Times New Roman" w:cs="Times New Roman"/>
          <w:sz w:val="28"/>
          <w:szCs w:val="28"/>
        </w:rPr>
        <w:t xml:space="preserve">81-ФЗ «О внесении изменений в отдельные законодательные акты Российской Федерации» внесены изменения в Федеральный закон от 30 марта 1999 г. </w:t>
      </w:r>
      <w:r>
        <w:rPr>
          <w:rFonts w:ascii="Times New Roman" w:hAnsi="Times New Roman" w:cs="Times New Roman"/>
          <w:sz w:val="28"/>
          <w:szCs w:val="28"/>
        </w:rPr>
        <w:t>№ </w:t>
      </w:r>
      <w:r w:rsidRPr="005E58C6">
        <w:rPr>
          <w:rFonts w:ascii="Times New Roman" w:hAnsi="Times New Roman" w:cs="Times New Roman"/>
          <w:sz w:val="28"/>
          <w:szCs w:val="28"/>
        </w:rPr>
        <w:t xml:space="preserve">52-ФЗ «О санитарно-эпидемиологическом благополучии населения» и Закон Российской Федерации от 7 февраля 1992 г. </w:t>
      </w:r>
      <w:r>
        <w:rPr>
          <w:rFonts w:ascii="Times New Roman" w:hAnsi="Times New Roman" w:cs="Times New Roman"/>
          <w:sz w:val="28"/>
          <w:szCs w:val="28"/>
        </w:rPr>
        <w:t>№ </w:t>
      </w:r>
      <w:r w:rsidRPr="005E58C6">
        <w:rPr>
          <w:rFonts w:ascii="Times New Roman" w:hAnsi="Times New Roman" w:cs="Times New Roman"/>
          <w:sz w:val="28"/>
          <w:szCs w:val="28"/>
        </w:rPr>
        <w:t>2300-1 «О защите прав потребителей», предусматривающие проведение контрольной закупки при осуществлении федерального государственного санитарно-эпидемиологического надзора и надзора в области защиты прав потребителей.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Постановлением Правительства Российской Федерации от 18 августа 2018 г. </w:t>
      </w:r>
      <w:r>
        <w:rPr>
          <w:rFonts w:ascii="Times New Roman" w:hAnsi="Times New Roman" w:cs="Times New Roman"/>
          <w:sz w:val="28"/>
          <w:szCs w:val="28"/>
        </w:rPr>
        <w:t>№ </w:t>
      </w:r>
      <w:r w:rsidRPr="005E58C6">
        <w:rPr>
          <w:rFonts w:ascii="Times New Roman" w:hAnsi="Times New Roman" w:cs="Times New Roman"/>
          <w:sz w:val="28"/>
          <w:szCs w:val="28"/>
        </w:rPr>
        <w:t>967 «О внесении изменений в некоторые акты Правительства Российской Федерации» внесены изменения в положения о федеральном государственном санитарно-эпидемиологическом надзоре и о федеральном государственном надзоре в области защиты прав потребителей.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Разработана методическая база и внедрена маркировка продуктов питания «Светофор» (цветовая индикация, нанесенная на упаковку продуктов питания).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Укрепление материально-технической базы лабораторий, внедрение современного аналитического оборудования обеспечило возможность проведения проблемно-ориентированных и прикладных исследований в области разработки методов определения показателей качества пищевой продукции и оценки рисков новых контаминантов и незаявленных веществ.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В 2018 году лабораториями подведомственных организаций Роспотребнадзора проведено всего 58805025 исследований, из них около 40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выполнено с применением современных методов исследований.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Результатом реализации мероприятий по совершенствованию контроля (надзора) стала оптимизация контрольно-надзорных мероприятий.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Территориальными органами Роспотребнадзора, уполномоченными обеспечивать государственный контроль (надзор) за соблюдением требований технических регламентов Таможенного союза, в 2018 году проводились надзорные мероприятия в рамках федерального государственного надзора за соблюдением требований 21 технического регламента.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Взаимодействие Роспотребнадзора с предпринимательским сообществом направлено на повышение ответственности предпринимателей при реализации санитарного законодательства, законодательства по защите прав предпринимателей. Реализация принятых на указанных совещаниях совместных решений позволит улучшить состояние исполнения юридическими лицами и индивидуальными предпринимателями обязательных требований санитарного законодательства и законодательства по защите прав потребителей. </w:t>
      </w:r>
    </w:p>
    <w:p w:rsidR="005E58C6" w:rsidRPr="00AC491F" w:rsidRDefault="005E58C6" w:rsidP="005E58C6">
      <w:pPr>
        <w:widowControl w:val="0"/>
        <w:spacing w:after="0" w:line="312" w:lineRule="auto"/>
        <w:ind w:firstLine="709"/>
        <w:jc w:val="both"/>
        <w:rPr>
          <w:rFonts w:ascii="Times New Roman" w:hAnsi="Times New Roman" w:cs="Times New Roman"/>
          <w:i/>
          <w:sz w:val="28"/>
          <w:szCs w:val="28"/>
        </w:rPr>
      </w:pPr>
      <w:r w:rsidRPr="00AC491F">
        <w:rPr>
          <w:rFonts w:ascii="Times New Roman" w:hAnsi="Times New Roman" w:cs="Times New Roman"/>
          <w:i/>
          <w:sz w:val="28"/>
          <w:szCs w:val="28"/>
        </w:rPr>
        <w:t xml:space="preserve">Международная деятельность Роспотребнадзора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Роспотребнадзор продолжил последовательное решение задач, стоящих перед службой в сфере международного сотрудничества, включая вопросы сотрудничества в сфере санитарно-эпидемиологического благополучия населения и безопасности пищевой продукции.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Роспотребнадзор успешно отстаивал российские интересы при формировании международной повестки дня по вопросам санитарно-эпидемиологического благополучия, безопасности и качества продовольствия, биологической безопасности,  участвовал в выработке международных стандартов и требований в этих областях, не допуская принятия норм, представляющих потенциальный риск для санитарно-эпидемиологического благополучия населения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 поддержке Правительства Российской Федерации Роспотребнадзором реализуется программы помощи странам Содружества Независимых Государств (СНГ) в борьбе с инфекционными заболеваниями, в том числе оказание содействия странам ВЕЦА в борьбе с ВИЧ-инфекцией, </w:t>
      </w:r>
      <w:r w:rsidRPr="005E58C6">
        <w:rPr>
          <w:rFonts w:ascii="Times New Roman" w:hAnsi="Times New Roman" w:cs="Times New Roman"/>
          <w:sz w:val="28"/>
          <w:szCs w:val="28"/>
        </w:rPr>
        <w:lastRenderedPageBreak/>
        <w:t>содействие странам СНГ и некоторым европейским странам в проведении мероприятий по борьбе с корью и краснухой. В 2018 году в рамках запущенного проекта на базе подведомственной научной организации Роспотребнадзора произведена и осуществляется поставка российской коревой вакцины в Белоруссию.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создан Центр мониторинга и оперативного реагирования на чрезвычайные ситуации санитарно-эпидемиологического характера в странах Восточной Европы и Центральной Азии. Для его функционирования Роспотребнадзор поставил в 2018 году в зарубежные профильные ведомства автоматизированные рабочие места. Оказана безвозмездная помощь Киргизии и Узбекистану в поставке мобильных лабораторий, тест-систем для укрепления национальных потенциалов по диагностике и профилактике инфекций.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Продолжено оказание помощи государствам Африки и Юго-Восточной Азии в противодействии угрозам инфекционных болезней и их трансграничного распространения по текущим программам помощи. Продолжено укрепление межведомственного и межстранового взаимодействия с Арменией, Белоруссией, Казахстаном, Киргизией и Таджикистаном, в том числе содействию в снижении рисков развития устойчивости микроорганизмов к противомикробным препаратам.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Вкладом Роспотребнадзора в повышение потенциала региона Юго-Восточной Азии по борьбе с инфекциями явилось открытие в июне 2018 года в г. Владивостоке Международного научно-исследовательского центра изучения проблем биологической безопасности и санитарно-эпидемиологического благополучия населения в Азиатско-Тихоокеанском регионе.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базе открытого Роспотребнадзором в г. Киндия (Гвинейская Республика) Российско-Гвинейского научно-исследовательского центра эпидемиологии и профилактики инфекционных болезней проведены научные исследования, включая экспедиционную работу, курсы повышения квалификации гвинейских кадров. Помимо этого, разрабатывается совместный проект с Мадагаскаром, направленный на оказание помощи по борьбе с чумой и другими опасными инфекциями на острове.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2378E6" w:rsidRDefault="005E58C6" w:rsidP="005E58C6">
      <w:pPr>
        <w:widowControl w:val="0"/>
        <w:spacing w:after="0" w:line="312" w:lineRule="auto"/>
        <w:ind w:firstLine="709"/>
        <w:jc w:val="both"/>
        <w:rPr>
          <w:rFonts w:ascii="Times New Roman" w:hAnsi="Times New Roman" w:cs="Times New Roman"/>
          <w:b/>
          <w:sz w:val="28"/>
          <w:szCs w:val="28"/>
        </w:rPr>
      </w:pPr>
      <w:r w:rsidRPr="002378E6">
        <w:rPr>
          <w:rFonts w:ascii="Times New Roman" w:hAnsi="Times New Roman" w:cs="Times New Roman"/>
          <w:b/>
          <w:sz w:val="28"/>
          <w:szCs w:val="28"/>
        </w:rPr>
        <w:lastRenderedPageBreak/>
        <w:t xml:space="preserve">Раздел </w:t>
      </w:r>
      <w:r w:rsidR="009D3014">
        <w:rPr>
          <w:rFonts w:ascii="Times New Roman" w:hAnsi="Times New Roman" w:cs="Times New Roman"/>
          <w:b/>
          <w:sz w:val="28"/>
          <w:szCs w:val="28"/>
        </w:rPr>
        <w:t xml:space="preserve"> </w:t>
      </w:r>
      <w:r w:rsidRPr="002378E6">
        <w:rPr>
          <w:rFonts w:ascii="Times New Roman" w:hAnsi="Times New Roman" w:cs="Times New Roman"/>
          <w:b/>
          <w:sz w:val="28"/>
          <w:szCs w:val="28"/>
        </w:rPr>
        <w:t xml:space="preserve">8 «Обеспечение населения лекарственными препаратами и медицинскими изделиями» </w:t>
      </w:r>
    </w:p>
    <w:p w:rsidR="005E58C6" w:rsidRPr="002378E6" w:rsidRDefault="005E58C6" w:rsidP="005E58C6">
      <w:pPr>
        <w:widowControl w:val="0"/>
        <w:spacing w:after="0" w:line="312" w:lineRule="auto"/>
        <w:ind w:firstLine="709"/>
        <w:jc w:val="both"/>
        <w:rPr>
          <w:rFonts w:ascii="Times New Roman" w:hAnsi="Times New Roman" w:cs="Times New Roman"/>
          <w:i/>
          <w:sz w:val="28"/>
          <w:szCs w:val="28"/>
        </w:rPr>
      </w:pPr>
      <w:r w:rsidRPr="002378E6">
        <w:rPr>
          <w:rFonts w:ascii="Times New Roman" w:hAnsi="Times New Roman" w:cs="Times New Roman"/>
          <w:i/>
          <w:sz w:val="28"/>
          <w:szCs w:val="28"/>
        </w:rPr>
        <w:t>Обеспечение лекарственными препаратами</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целях реализации мер Правительства Российской Федерации по стабилизации российского фармацевтического рынка в соответствии с постановлением Правительства Российской Федерации от 28 августа 2014 г. </w:t>
      </w:r>
      <w:r>
        <w:rPr>
          <w:rFonts w:ascii="Times New Roman" w:hAnsi="Times New Roman" w:cs="Times New Roman"/>
          <w:sz w:val="28"/>
          <w:szCs w:val="28"/>
        </w:rPr>
        <w:t>№ </w:t>
      </w:r>
      <w:r w:rsidRPr="005E58C6">
        <w:rPr>
          <w:rFonts w:ascii="Times New Roman" w:hAnsi="Times New Roman" w:cs="Times New Roman"/>
          <w:sz w:val="28"/>
          <w:szCs w:val="28"/>
        </w:rPr>
        <w:t>871 «Об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Правила) актуализированы соответствующие перечни лекарственных препаратов.</w:t>
      </w:r>
    </w:p>
    <w:p w:rsidR="002809C5"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Распоряжением Правительства Российской Федерации от 10 декабря 2018 г. </w:t>
      </w:r>
      <w:r>
        <w:rPr>
          <w:rFonts w:ascii="Times New Roman" w:hAnsi="Times New Roman" w:cs="Times New Roman"/>
          <w:sz w:val="28"/>
          <w:szCs w:val="28"/>
        </w:rPr>
        <w:t>№ </w:t>
      </w:r>
      <w:r w:rsidRPr="005E58C6">
        <w:rPr>
          <w:rFonts w:ascii="Times New Roman" w:hAnsi="Times New Roman" w:cs="Times New Roman"/>
          <w:sz w:val="28"/>
          <w:szCs w:val="28"/>
        </w:rPr>
        <w:t>2738-р утвержден</w:t>
      </w:r>
      <w:r w:rsidR="00423ECB">
        <w:rPr>
          <w:rFonts w:ascii="Times New Roman" w:hAnsi="Times New Roman" w:cs="Times New Roman"/>
          <w:sz w:val="28"/>
          <w:szCs w:val="28"/>
        </w:rPr>
        <w:t>ы</w:t>
      </w:r>
      <w:r w:rsidR="002809C5">
        <w:rPr>
          <w:rFonts w:ascii="Times New Roman" w:hAnsi="Times New Roman" w:cs="Times New Roman"/>
          <w:sz w:val="28"/>
          <w:szCs w:val="28"/>
        </w:rPr>
        <w:t>:</w:t>
      </w:r>
    </w:p>
    <w:p w:rsidR="002809C5" w:rsidRDefault="002809C5"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5E58C6" w:rsidRPr="005E58C6">
        <w:rPr>
          <w:rFonts w:ascii="Times New Roman" w:hAnsi="Times New Roman" w:cs="Times New Roman"/>
          <w:sz w:val="28"/>
          <w:szCs w:val="28"/>
        </w:rPr>
        <w:t>еречень жизненно необходимых и важнейших лекарственных препаратов для медицинского применения на 2019 год (далее</w:t>
      </w:r>
      <w:r w:rsidR="00051685">
        <w:rPr>
          <w:rFonts w:ascii="Times New Roman" w:hAnsi="Times New Roman" w:cs="Times New Roman"/>
          <w:sz w:val="28"/>
          <w:szCs w:val="28"/>
        </w:rPr>
        <w:t xml:space="preserve"> – </w:t>
      </w:r>
      <w:r>
        <w:rPr>
          <w:rFonts w:ascii="Times New Roman" w:hAnsi="Times New Roman" w:cs="Times New Roman"/>
          <w:sz w:val="28"/>
          <w:szCs w:val="28"/>
        </w:rPr>
        <w:t xml:space="preserve">перечень ЖНВЛП), в который </w:t>
      </w:r>
      <w:r w:rsidRPr="005E58C6">
        <w:rPr>
          <w:rFonts w:ascii="Times New Roman" w:hAnsi="Times New Roman" w:cs="Times New Roman"/>
          <w:sz w:val="28"/>
          <w:szCs w:val="28"/>
        </w:rPr>
        <w:t>включены 38 дополнительных позиций лекарственных препаратов, большая часть которых предназначена для лечения онкологических, а также орфанных заболеваний</w:t>
      </w:r>
      <w:r>
        <w:rPr>
          <w:rFonts w:ascii="Times New Roman" w:hAnsi="Times New Roman" w:cs="Times New Roman"/>
          <w:sz w:val="28"/>
          <w:szCs w:val="28"/>
        </w:rPr>
        <w:t xml:space="preserve">; </w:t>
      </w:r>
    </w:p>
    <w:p w:rsidR="002809C5" w:rsidRDefault="002809C5"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лекарственных препаратов для медицинского применения, назначаемых по решению врачебных комиссий медицинских организаций (далее – перечень ОНЛС);</w:t>
      </w:r>
    </w:p>
    <w:p w:rsidR="005E58C6" w:rsidRPr="005E58C6" w:rsidRDefault="002809C5" w:rsidP="002809C5">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лекарственных препаратов, предназначенных для обеспечения лиц, </w:t>
      </w:r>
      <w:r w:rsidR="00825976">
        <w:rPr>
          <w:rFonts w:ascii="Times New Roman" w:hAnsi="Times New Roman" w:cs="Times New Roman"/>
          <w:sz w:val="28"/>
          <w:szCs w:val="28"/>
        </w:rPr>
        <w:t>больных гемофилией, муковисцидозом, гипофиз</w:t>
      </w:r>
      <w:r>
        <w:rPr>
          <w:rFonts w:ascii="Times New Roman" w:hAnsi="Times New Roman" w:cs="Times New Roman"/>
          <w:sz w:val="28"/>
          <w:szCs w:val="28"/>
        </w:rPr>
        <w:t>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(далее – перечень 7ВЗН).</w:t>
      </w:r>
    </w:p>
    <w:p w:rsidR="005E58C6" w:rsidRPr="005E58C6" w:rsidRDefault="005E58C6" w:rsidP="002809C5">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Всего в перечень ЖНВЛП на 2019 год включено 735 позиций лекарственных препаратов, из которых 588 наименований (80</w:t>
      </w:r>
      <w:r w:rsidR="00000709">
        <w:rPr>
          <w:rFonts w:ascii="Times New Roman" w:hAnsi="Times New Roman" w:cs="Times New Roman"/>
          <w:sz w:val="28"/>
          <w:szCs w:val="28"/>
        </w:rPr>
        <w:t> %</w:t>
      </w:r>
      <w:r w:rsidRPr="005E58C6">
        <w:rPr>
          <w:rFonts w:ascii="Times New Roman" w:hAnsi="Times New Roman" w:cs="Times New Roman"/>
          <w:sz w:val="28"/>
          <w:szCs w:val="28"/>
        </w:rPr>
        <w:t>) имеют стадии производства на территории Российс</w:t>
      </w:r>
      <w:r w:rsidR="002809C5">
        <w:rPr>
          <w:rFonts w:ascii="Times New Roman" w:hAnsi="Times New Roman" w:cs="Times New Roman"/>
          <w:sz w:val="28"/>
          <w:szCs w:val="28"/>
        </w:rPr>
        <w:t>кой Федерации, в</w:t>
      </w:r>
      <w:r w:rsidRPr="005E58C6">
        <w:rPr>
          <w:rFonts w:ascii="Times New Roman" w:hAnsi="Times New Roman" w:cs="Times New Roman"/>
          <w:sz w:val="28"/>
          <w:szCs w:val="28"/>
        </w:rPr>
        <w:t xml:space="preserve"> переч</w:t>
      </w:r>
      <w:r w:rsidR="002809C5">
        <w:rPr>
          <w:rFonts w:ascii="Times New Roman" w:hAnsi="Times New Roman" w:cs="Times New Roman"/>
          <w:sz w:val="28"/>
          <w:szCs w:val="28"/>
        </w:rPr>
        <w:t>ень</w:t>
      </w:r>
      <w:r w:rsidRPr="005E58C6">
        <w:rPr>
          <w:rFonts w:ascii="Times New Roman" w:hAnsi="Times New Roman" w:cs="Times New Roman"/>
          <w:sz w:val="28"/>
          <w:szCs w:val="28"/>
        </w:rPr>
        <w:t xml:space="preserve"> ОНЛС</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383 наименования (116 позиций из них</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для выписки по</w:t>
      </w:r>
      <w:r w:rsidR="002809C5">
        <w:rPr>
          <w:rFonts w:ascii="Times New Roman" w:hAnsi="Times New Roman" w:cs="Times New Roman"/>
          <w:sz w:val="28"/>
          <w:szCs w:val="28"/>
        </w:rPr>
        <w:t xml:space="preserve"> решению врачебной комиссии), в перечень</w:t>
      </w:r>
      <w:r w:rsidRPr="005E58C6">
        <w:rPr>
          <w:rFonts w:ascii="Times New Roman" w:hAnsi="Times New Roman" w:cs="Times New Roman"/>
          <w:sz w:val="28"/>
          <w:szCs w:val="28"/>
        </w:rPr>
        <w:t xml:space="preserve"> 7 ВЗН</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27 позиций, из них 24 (88,9</w:t>
      </w:r>
      <w:r w:rsidR="00000709">
        <w:rPr>
          <w:rFonts w:ascii="Times New Roman" w:hAnsi="Times New Roman" w:cs="Times New Roman"/>
          <w:sz w:val="28"/>
          <w:szCs w:val="28"/>
        </w:rPr>
        <w:t> %</w:t>
      </w:r>
      <w:r w:rsidRPr="005E58C6">
        <w:rPr>
          <w:rFonts w:ascii="Times New Roman" w:hAnsi="Times New Roman" w:cs="Times New Roman"/>
          <w:sz w:val="28"/>
          <w:szCs w:val="28"/>
        </w:rPr>
        <w:t>) имеют стадии производства на территории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Вопрос совершенствования системы лекарственного обеспечения граждан</w:t>
      </w:r>
      <w:r w:rsidR="002809C5">
        <w:rPr>
          <w:rFonts w:ascii="Times New Roman" w:hAnsi="Times New Roman" w:cs="Times New Roman"/>
          <w:sz w:val="28"/>
          <w:szCs w:val="28"/>
        </w:rPr>
        <w:t xml:space="preserve"> в</w:t>
      </w:r>
      <w:r w:rsidRPr="005E58C6">
        <w:rPr>
          <w:rFonts w:ascii="Times New Roman" w:hAnsi="Times New Roman" w:cs="Times New Roman"/>
          <w:sz w:val="28"/>
          <w:szCs w:val="28"/>
        </w:rPr>
        <w:t xml:space="preserve"> Российской Федерации обсуждался Президентом Российской </w:t>
      </w:r>
      <w:r w:rsidRPr="005E58C6">
        <w:rPr>
          <w:rFonts w:ascii="Times New Roman" w:hAnsi="Times New Roman" w:cs="Times New Roman"/>
          <w:sz w:val="28"/>
          <w:szCs w:val="28"/>
        </w:rPr>
        <w:lastRenderedPageBreak/>
        <w:t xml:space="preserve">Федерации В.В. Путиным 16 ноября 2018 г. в рамках отдельного совещания по вопросам повышения эффективности системы лекарственного обеспечения, по итогам которого Минздравом России реализуется ряд поручений (согласно перечню поручений Президента Российской Федерации от 17 декабря 2018 г. </w:t>
      </w:r>
      <w:r>
        <w:rPr>
          <w:rFonts w:ascii="Times New Roman" w:hAnsi="Times New Roman" w:cs="Times New Roman"/>
          <w:sz w:val="28"/>
          <w:szCs w:val="28"/>
        </w:rPr>
        <w:t>№ </w:t>
      </w:r>
      <w:r w:rsidRPr="005E58C6">
        <w:rPr>
          <w:rFonts w:ascii="Times New Roman" w:hAnsi="Times New Roman" w:cs="Times New Roman"/>
          <w:sz w:val="28"/>
          <w:szCs w:val="28"/>
        </w:rPr>
        <w:t>Пр-2420), в том числе в части внесения изменений в законодательство Российской Федерации, предусматривающих реализацию комплекса мер по льготному обеспечению лекарственными препаратами граждан, включая модернизацию системы лекарственного обеспечения граждан путем разработки пилотных проектов. Для реализации таких мер Минздрав России планирует внести изменения в Стратегию, касающиеся раздела II «Реализация комплекса мер по подготовке и проведению пилотных проектов».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рамках реализации Федерального закона от 17 июля 1999 г. </w:t>
      </w:r>
      <w:r>
        <w:rPr>
          <w:rFonts w:ascii="Times New Roman" w:hAnsi="Times New Roman" w:cs="Times New Roman"/>
          <w:sz w:val="28"/>
          <w:szCs w:val="28"/>
        </w:rPr>
        <w:t>№ </w:t>
      </w:r>
      <w:r w:rsidRPr="005E58C6">
        <w:rPr>
          <w:rFonts w:ascii="Times New Roman" w:hAnsi="Times New Roman" w:cs="Times New Roman"/>
          <w:sz w:val="28"/>
          <w:szCs w:val="28"/>
        </w:rPr>
        <w:t xml:space="preserve">178-ФЗ «О государственной социальной помощи» распоряжением Правительства Российской Федерации от 27 декабря 2017 г. </w:t>
      </w:r>
      <w:r>
        <w:rPr>
          <w:rFonts w:ascii="Times New Roman" w:hAnsi="Times New Roman" w:cs="Times New Roman"/>
          <w:sz w:val="28"/>
          <w:szCs w:val="28"/>
        </w:rPr>
        <w:t>№ </w:t>
      </w:r>
      <w:r w:rsidRPr="005E58C6">
        <w:rPr>
          <w:rFonts w:ascii="Times New Roman" w:hAnsi="Times New Roman" w:cs="Times New Roman"/>
          <w:sz w:val="28"/>
          <w:szCs w:val="28"/>
        </w:rPr>
        <w:t>2965-р предусмотрено распределение субвенций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на 2018 год в объеме 34,6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соответствии с распоряжением Правительства Российской Федерации от 15 марта 2018 г. </w:t>
      </w:r>
      <w:r>
        <w:rPr>
          <w:rFonts w:ascii="Times New Roman" w:hAnsi="Times New Roman" w:cs="Times New Roman"/>
          <w:sz w:val="28"/>
          <w:szCs w:val="28"/>
        </w:rPr>
        <w:t>№ </w:t>
      </w:r>
      <w:r w:rsidRPr="005E58C6">
        <w:rPr>
          <w:rFonts w:ascii="Times New Roman" w:hAnsi="Times New Roman" w:cs="Times New Roman"/>
          <w:sz w:val="28"/>
          <w:szCs w:val="28"/>
        </w:rPr>
        <w:t>428-р в 2018 году выделены дополнительные бюджетные ассигнования в размере 3,8 млрд рублей с целью обеспечения лекарственными препаратами отдельных категорий граждан, имеющих инвалидность.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предусмотрено отдельное финансирование из федерального бюджета расходов на централизованную закупку дорогостоящих лекарственных препаратов, предназначенных для лечения больных: рассеянным склерозом, злокачественными новообразованиями лимфоидной, кроветворной и родственных им тканей, пациентов после трансплантации органов и (или) тканей, а также страдающих орфанными заболеваниями: гемофилией, муковисцидозом, гипофизарным нанизмом и болезнью Гоше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программа 7 ВЗН).</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Минздрав России в порядке, установленном постановлением </w:t>
      </w:r>
      <w:r w:rsidRPr="005E58C6">
        <w:rPr>
          <w:rFonts w:ascii="Times New Roman" w:hAnsi="Times New Roman" w:cs="Times New Roman"/>
          <w:sz w:val="28"/>
          <w:szCs w:val="28"/>
        </w:rPr>
        <w:lastRenderedPageBreak/>
        <w:t xml:space="preserve">Правительства Российской Федерации от 26 ноября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1416,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Общая численность лиц, включенных в Федеральный регистр, по состоянию на 1 января 2018 года, составляет 181 054 человека.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Ежегодно отмечается прирост численности пациентов по всем нозологическим формам, который варьирует от 8</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15,9</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соответствии с Федера</w:t>
      </w:r>
      <w:r w:rsidR="002378E6">
        <w:rPr>
          <w:rFonts w:ascii="Times New Roman" w:hAnsi="Times New Roman" w:cs="Times New Roman"/>
          <w:sz w:val="28"/>
          <w:szCs w:val="28"/>
        </w:rPr>
        <w:t>льным законом от 5 декабря 2017 </w:t>
      </w:r>
      <w:r w:rsidR="002809C5">
        <w:rPr>
          <w:rFonts w:ascii="Times New Roman" w:hAnsi="Times New Roman" w:cs="Times New Roman"/>
          <w:sz w:val="28"/>
          <w:szCs w:val="28"/>
        </w:rPr>
        <w:t xml:space="preserve">г. </w:t>
      </w:r>
      <w:r>
        <w:rPr>
          <w:rFonts w:ascii="Times New Roman" w:hAnsi="Times New Roman" w:cs="Times New Roman"/>
          <w:sz w:val="28"/>
          <w:szCs w:val="28"/>
        </w:rPr>
        <w:t>№ </w:t>
      </w:r>
      <w:r w:rsidRPr="005E58C6">
        <w:rPr>
          <w:rFonts w:ascii="Times New Roman" w:hAnsi="Times New Roman" w:cs="Times New Roman"/>
          <w:sz w:val="28"/>
          <w:szCs w:val="28"/>
        </w:rPr>
        <w:t>362-ФЗ «О федеральном бюджете на 2018 год и плановый период 2019 и 2020 годов»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Федеральный закон </w:t>
      </w:r>
      <w:r>
        <w:rPr>
          <w:rFonts w:ascii="Times New Roman" w:hAnsi="Times New Roman" w:cs="Times New Roman"/>
          <w:sz w:val="28"/>
          <w:szCs w:val="28"/>
        </w:rPr>
        <w:t>№ </w:t>
      </w:r>
      <w:r w:rsidRPr="005E58C6">
        <w:rPr>
          <w:rFonts w:ascii="Times New Roman" w:hAnsi="Times New Roman" w:cs="Times New Roman"/>
          <w:sz w:val="28"/>
          <w:szCs w:val="28"/>
        </w:rPr>
        <w:t>362-ФЗ) объем бюджетных ассигнований по программе 7 ВЗН составил</w:t>
      </w:r>
      <w:r w:rsidR="002809C5">
        <w:rPr>
          <w:rFonts w:ascii="Times New Roman" w:hAnsi="Times New Roman" w:cs="Times New Roman"/>
          <w:sz w:val="28"/>
          <w:szCs w:val="28"/>
        </w:rPr>
        <w:t xml:space="preserve"> </w:t>
      </w:r>
      <w:r w:rsidR="00051685">
        <w:rPr>
          <w:rFonts w:ascii="Times New Roman" w:hAnsi="Times New Roman" w:cs="Times New Roman"/>
          <w:sz w:val="28"/>
          <w:szCs w:val="28"/>
        </w:rPr>
        <w:t xml:space="preserve"> </w:t>
      </w:r>
      <w:r w:rsidRPr="005E58C6">
        <w:rPr>
          <w:rFonts w:ascii="Times New Roman" w:hAnsi="Times New Roman" w:cs="Times New Roman"/>
          <w:sz w:val="28"/>
          <w:szCs w:val="28"/>
        </w:rPr>
        <w:t>43,6 млрд рублей (бюджетные ассигнования освоены в полном объеме).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совершенствования механизма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редкие (орфанные) заболевания)</w:t>
      </w:r>
      <w:r w:rsidR="00173BFC">
        <w:rPr>
          <w:rFonts w:ascii="Times New Roman" w:hAnsi="Times New Roman" w:cs="Times New Roman"/>
          <w:sz w:val="28"/>
          <w:szCs w:val="28"/>
        </w:rPr>
        <w:t>,</w:t>
      </w:r>
      <w:r w:rsidRPr="005E58C6">
        <w:rPr>
          <w:rFonts w:ascii="Times New Roman" w:hAnsi="Times New Roman" w:cs="Times New Roman"/>
          <w:sz w:val="28"/>
          <w:szCs w:val="28"/>
        </w:rPr>
        <w:t xml:space="preserve"> принят Федеральный закон от 3 августа 2018 г. </w:t>
      </w:r>
      <w:r>
        <w:rPr>
          <w:rFonts w:ascii="Times New Roman" w:hAnsi="Times New Roman" w:cs="Times New Roman"/>
          <w:sz w:val="28"/>
          <w:szCs w:val="28"/>
        </w:rPr>
        <w:t>№ </w:t>
      </w:r>
      <w:r w:rsidRPr="005E58C6">
        <w:rPr>
          <w:rFonts w:ascii="Times New Roman" w:hAnsi="Times New Roman" w:cs="Times New Roman"/>
          <w:sz w:val="28"/>
          <w:szCs w:val="28"/>
        </w:rPr>
        <w:t>299-ФЗ «О внесении изменений в Федеральный закон «Об основах охраны здоровья граждан в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Указанным Федеральным законом в полномочия Минздрава России </w:t>
      </w:r>
      <w:r w:rsidR="00173BFC">
        <w:rPr>
          <w:rFonts w:ascii="Times New Roman" w:hAnsi="Times New Roman" w:cs="Times New Roman"/>
          <w:sz w:val="28"/>
          <w:szCs w:val="28"/>
        </w:rPr>
        <w:br/>
        <w:t>с 1 января 2019 года</w:t>
      </w:r>
      <w:r w:rsidRPr="005E58C6">
        <w:rPr>
          <w:rFonts w:ascii="Times New Roman" w:hAnsi="Times New Roman" w:cs="Times New Roman"/>
          <w:sz w:val="28"/>
          <w:szCs w:val="28"/>
        </w:rPr>
        <w:t xml:space="preserve"> включена организация обеспечения лекарственными препаратами лиц, больных гемолитико-уремическим синдромом, юношеским артритом с системным началом, мукополисахаридозом I, II и VI типов. Подтвержденная потребность органов исполнительной власти субъектов Российской Федерации в сфере охраны здоровья на 2019 год по обеспечению лекарственными препаратами лиц, больных указанными редкими (орфанными) заболеваниями, составила 10,7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Расширение программы 7 ВЗН с включением в нее дополнительно                    5 редких заболеваний позволит существенно снизить нагрузку на бюджеты </w:t>
      </w:r>
      <w:r w:rsidRPr="005E58C6">
        <w:rPr>
          <w:rFonts w:ascii="Times New Roman" w:hAnsi="Times New Roman" w:cs="Times New Roman"/>
          <w:sz w:val="28"/>
          <w:szCs w:val="28"/>
        </w:rPr>
        <w:lastRenderedPageBreak/>
        <w:t>субъектов Российской Федерации и в полном объеме исполнить обязательства по лекарственному обеспечению граждан, больных указанными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на организацию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ЖНВЛП</w:t>
      </w:r>
      <w:r w:rsidR="00173BFC">
        <w:rPr>
          <w:rFonts w:ascii="Times New Roman" w:hAnsi="Times New Roman" w:cs="Times New Roman"/>
          <w:sz w:val="28"/>
          <w:szCs w:val="28"/>
        </w:rPr>
        <w:t>,</w:t>
      </w:r>
      <w:r w:rsidRPr="005E58C6">
        <w:rPr>
          <w:rFonts w:ascii="Times New Roman" w:hAnsi="Times New Roman" w:cs="Times New Roman"/>
          <w:sz w:val="28"/>
          <w:szCs w:val="28"/>
        </w:rPr>
        <w:t xml:space="preserve"> в федеральном бюджете выделены бюджетные ассигнования в размере 2,9 млрд рублей (99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доведенных лимитов бюджетных ассигнований).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Государственной стратегией противодействия распространению ВИЧ-инфекции в Российской Федерации на период до 2020 года и дальнейшую перспективу, утвержденной распоряжением Правительства Российской Федерации от 20 октября 2016 г. </w:t>
      </w:r>
      <w:r>
        <w:rPr>
          <w:rFonts w:ascii="Times New Roman" w:hAnsi="Times New Roman" w:cs="Times New Roman"/>
          <w:sz w:val="28"/>
          <w:szCs w:val="28"/>
        </w:rPr>
        <w:t>№ </w:t>
      </w:r>
      <w:r w:rsidRPr="005E58C6">
        <w:rPr>
          <w:rFonts w:ascii="Times New Roman" w:hAnsi="Times New Roman" w:cs="Times New Roman"/>
          <w:sz w:val="28"/>
          <w:szCs w:val="28"/>
        </w:rPr>
        <w:t>2203-р, предусмотрено ежегодное увеличение охвата ВИЧ-инфицированных лиц антиретровирусной терапией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АРВТ), что позволяет не только существенно увеличить продолжительность жизни пациентов, но и является одним из самых эффективных средств предупреждения дальнейшего распространения ВИЧ-инфекции среди населения.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w:t>
      </w:r>
      <w:r w:rsidR="00173BFC">
        <w:rPr>
          <w:rFonts w:ascii="Times New Roman" w:hAnsi="Times New Roman" w:cs="Times New Roman"/>
          <w:sz w:val="28"/>
          <w:szCs w:val="28"/>
        </w:rPr>
        <w:t>ным Ф</w:t>
      </w:r>
      <w:r w:rsidRPr="005E58C6">
        <w:rPr>
          <w:rFonts w:ascii="Times New Roman" w:hAnsi="Times New Roman" w:cs="Times New Roman"/>
          <w:sz w:val="28"/>
          <w:szCs w:val="28"/>
        </w:rPr>
        <w:t>едерального регистра лиц, инфицированных вирусом иммунодефицита человека, в 2018 году численность лиц, инфицированных вирусом иммунодефицита человека, составила 714 058 человек, из них получают АРВТ 409 214 человек. Охват лечением составляет 57,3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охвата лечением не менее 90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всех лиц, зараженных ВИЧ, значительно улучшит эпидемиологическую ситуацию.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w:t>
      </w:r>
      <w:r w:rsidRPr="005E58C6">
        <w:rPr>
          <w:rFonts w:ascii="Times New Roman" w:hAnsi="Times New Roman" w:cs="Times New Roman"/>
          <w:sz w:val="28"/>
          <w:szCs w:val="28"/>
        </w:rPr>
        <w:t xml:space="preserve">362-ФЗ для централизованной закупки </w:t>
      </w:r>
      <w:r w:rsidR="00173BFC">
        <w:rPr>
          <w:rFonts w:ascii="Times New Roman" w:hAnsi="Times New Roman" w:cs="Times New Roman"/>
          <w:sz w:val="28"/>
          <w:szCs w:val="28"/>
        </w:rPr>
        <w:t>антиретровирусных лекарственных препаратов</w:t>
      </w:r>
      <w:r w:rsidRPr="005E58C6">
        <w:rPr>
          <w:rFonts w:ascii="Times New Roman" w:hAnsi="Times New Roman" w:cs="Times New Roman"/>
          <w:sz w:val="28"/>
          <w:szCs w:val="28"/>
        </w:rPr>
        <w:t>, предназначенных для обеспечения лиц, инфицированных ВИЧ, в том числе в сочетании с вирусами гепатитов В и С, на 2018 год предусмотрен объем бюджетных ассигнований в размере 21,6 млрд рублей, освоено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доведенных лимитов бюджетных ассигнований.</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Минздрав России ежегодно осуществляет закупки необходимых </w:t>
      </w:r>
      <w:r w:rsidR="00173BFC">
        <w:rPr>
          <w:rFonts w:ascii="Times New Roman" w:hAnsi="Times New Roman" w:cs="Times New Roman"/>
          <w:sz w:val="28"/>
          <w:szCs w:val="28"/>
        </w:rPr>
        <w:t xml:space="preserve"> </w:t>
      </w:r>
      <w:r w:rsidRPr="005E58C6">
        <w:rPr>
          <w:rFonts w:ascii="Times New Roman" w:hAnsi="Times New Roman" w:cs="Times New Roman"/>
          <w:sz w:val="28"/>
          <w:szCs w:val="28"/>
        </w:rPr>
        <w:t xml:space="preserve"> иммунобиологических</w:t>
      </w:r>
      <w:r w:rsidR="00173BFC">
        <w:rPr>
          <w:rFonts w:ascii="Times New Roman" w:hAnsi="Times New Roman" w:cs="Times New Roman"/>
          <w:sz w:val="28"/>
          <w:szCs w:val="28"/>
        </w:rPr>
        <w:t xml:space="preserve"> лекарственных </w:t>
      </w:r>
      <w:r w:rsidRPr="005E58C6">
        <w:rPr>
          <w:rFonts w:ascii="Times New Roman" w:hAnsi="Times New Roman" w:cs="Times New Roman"/>
          <w:sz w:val="28"/>
          <w:szCs w:val="28"/>
        </w:rPr>
        <w:t xml:space="preserve"> препаратов (далее</w:t>
      </w:r>
      <w:r w:rsidR="00051685">
        <w:rPr>
          <w:rFonts w:ascii="Times New Roman" w:hAnsi="Times New Roman" w:cs="Times New Roman"/>
          <w:sz w:val="28"/>
          <w:szCs w:val="28"/>
        </w:rPr>
        <w:t xml:space="preserve"> – </w:t>
      </w:r>
      <w:r w:rsidR="00173BFC">
        <w:rPr>
          <w:rFonts w:ascii="Times New Roman" w:hAnsi="Times New Roman" w:cs="Times New Roman"/>
          <w:sz w:val="28"/>
          <w:szCs w:val="28"/>
        </w:rPr>
        <w:t>ИЛ</w:t>
      </w:r>
      <w:r w:rsidRPr="005E58C6">
        <w:rPr>
          <w:rFonts w:ascii="Times New Roman" w:hAnsi="Times New Roman" w:cs="Times New Roman"/>
          <w:sz w:val="28"/>
          <w:szCs w:val="28"/>
        </w:rPr>
        <w:t xml:space="preserve">П) в рамках реализации постановления Правительства Российской Федерации от 11 марта 2011 г. </w:t>
      </w:r>
      <w:r>
        <w:rPr>
          <w:rFonts w:ascii="Times New Roman" w:hAnsi="Times New Roman" w:cs="Times New Roman"/>
          <w:sz w:val="28"/>
          <w:szCs w:val="28"/>
        </w:rPr>
        <w:t>№ </w:t>
      </w:r>
      <w:r w:rsidRPr="005E58C6">
        <w:rPr>
          <w:rFonts w:ascii="Times New Roman" w:hAnsi="Times New Roman" w:cs="Times New Roman"/>
          <w:sz w:val="28"/>
          <w:szCs w:val="28"/>
        </w:rPr>
        <w:t xml:space="preserve">156 «Об использовании бюджетных ассигнований федерального </w:t>
      </w:r>
      <w:r w:rsidRPr="005E58C6">
        <w:rPr>
          <w:rFonts w:ascii="Times New Roman" w:hAnsi="Times New Roman" w:cs="Times New Roman"/>
          <w:sz w:val="28"/>
          <w:szCs w:val="28"/>
        </w:rPr>
        <w:lastRenderedPageBreak/>
        <w:t xml:space="preserve">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Минздраву России, и ФМБА России, а также в собственность субъектов Российской Федерации с последующей их передачей при необходимости в собственность муниципальных образований» в соответствии с опубликованными и утвержденными заявками. </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w:t>
      </w:r>
      <w:r w:rsidRPr="005E58C6">
        <w:rPr>
          <w:rFonts w:ascii="Times New Roman" w:hAnsi="Times New Roman" w:cs="Times New Roman"/>
          <w:sz w:val="28"/>
          <w:szCs w:val="28"/>
        </w:rPr>
        <w:t>362-Ф</w:t>
      </w:r>
      <w:r w:rsidR="00173BFC">
        <w:rPr>
          <w:rFonts w:ascii="Times New Roman" w:hAnsi="Times New Roman" w:cs="Times New Roman"/>
          <w:sz w:val="28"/>
          <w:szCs w:val="28"/>
        </w:rPr>
        <w:t>З для централизованной закупки ИЛ</w:t>
      </w:r>
      <w:r w:rsidRPr="005E58C6">
        <w:rPr>
          <w:rFonts w:ascii="Times New Roman" w:hAnsi="Times New Roman" w:cs="Times New Roman"/>
          <w:sz w:val="28"/>
          <w:szCs w:val="28"/>
        </w:rPr>
        <w:t>П в рамках национального календаря профилак</w:t>
      </w:r>
      <w:r w:rsidR="00173BFC">
        <w:rPr>
          <w:rFonts w:ascii="Times New Roman" w:hAnsi="Times New Roman" w:cs="Times New Roman"/>
          <w:sz w:val="28"/>
          <w:szCs w:val="28"/>
        </w:rPr>
        <w:t xml:space="preserve">тических прививок предусмотрены </w:t>
      </w:r>
      <w:r w:rsidRPr="005E58C6">
        <w:rPr>
          <w:rFonts w:ascii="Times New Roman" w:hAnsi="Times New Roman" w:cs="Times New Roman"/>
          <w:sz w:val="28"/>
          <w:szCs w:val="28"/>
        </w:rPr>
        <w:t>бюджетные ассигнования в размере 15,9 млрд рублей, освоено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доведенных лимитов бюджетных ассигнований.</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Наибольший объем бюджетных ассигнований приходится на вакцины для профилактики гриппа, </w:t>
      </w:r>
      <w:r w:rsidR="00173BFC">
        <w:rPr>
          <w:rFonts w:ascii="Times New Roman" w:hAnsi="Times New Roman" w:cs="Times New Roman"/>
          <w:sz w:val="28"/>
          <w:szCs w:val="28"/>
        </w:rPr>
        <w:t xml:space="preserve">который </w:t>
      </w:r>
      <w:r w:rsidRPr="005E58C6">
        <w:rPr>
          <w:rFonts w:ascii="Times New Roman" w:hAnsi="Times New Roman" w:cs="Times New Roman"/>
          <w:sz w:val="28"/>
          <w:szCs w:val="28"/>
        </w:rPr>
        <w:t>в 2018 году составил 47</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от доведенных бюджетных ассигнований на закупку вакцин в рамках национального календаря профилактических прививок. По итоговым показателям за 3 года (2016–2018 гг.) количество закупаемых вакцин для профилактики гриппа для детского и взрослого населения увеличилось на 14,4 млн доз и в 2018 году составило более 62 млн доз, из них для детского населения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18,7 млн доз.</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Минздравом России приняты все меры в целях бесперебойного обеспечения лекарственными препаратами в 2018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за счет бюджетных ассигнований резервного фонда Правительства Российской Федерации субъектам Российской Федерации предоставлены иные межбюджетные трансферты из федерального бюджета бюджетам субъектов Российской Федерации в размере 4,35 млрд рублей </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обеспечение расходных обязательств бюджетов субъектов Российской Федерации, связанных с развитием паллиативной медицинской помощи</w:t>
      </w:r>
      <w:r w:rsidR="00173BFC">
        <w:rPr>
          <w:rFonts w:ascii="Times New Roman" w:hAnsi="Times New Roman" w:cs="Times New Roman"/>
          <w:sz w:val="28"/>
          <w:szCs w:val="28"/>
        </w:rPr>
        <w:t>,</w:t>
      </w:r>
      <w:r w:rsidRPr="005E58C6">
        <w:rPr>
          <w:rFonts w:ascii="Times New Roman" w:hAnsi="Times New Roman" w:cs="Times New Roman"/>
          <w:sz w:val="28"/>
          <w:szCs w:val="28"/>
        </w:rPr>
        <w:t xml:space="preserve"> в части обеспечения необходимыми лекарственными препаратами, включая обезболивающие; организации мониторинга оказания паллиативной медицинской помощи взрослому населению и детям; обеспечения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трансферты).</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Трансферты доведены 84 субъектам Российской Федерации (за </w:t>
      </w:r>
      <w:r w:rsidRPr="005E58C6">
        <w:rPr>
          <w:rFonts w:ascii="Times New Roman" w:hAnsi="Times New Roman" w:cs="Times New Roman"/>
          <w:sz w:val="28"/>
          <w:szCs w:val="28"/>
        </w:rPr>
        <w:lastRenderedPageBreak/>
        <w:t>исключением города федерального значения Москвы).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оперативным данным Минздрава России, по состоянию на 1 января 2019 года, кассовое исполнение трансфертов составляет 94,3</w:t>
      </w:r>
      <w:r w:rsidR="00000709">
        <w:rPr>
          <w:rFonts w:ascii="Times New Roman" w:hAnsi="Times New Roman" w:cs="Times New Roman"/>
          <w:sz w:val="28"/>
          <w:szCs w:val="28"/>
        </w:rPr>
        <w:t> %</w:t>
      </w:r>
      <w:r w:rsidRPr="005E58C6">
        <w:rPr>
          <w:rFonts w:ascii="Times New Roman" w:hAnsi="Times New Roman" w:cs="Times New Roman"/>
          <w:sz w:val="28"/>
          <w:szCs w:val="28"/>
        </w:rPr>
        <w:t>. Доля принятых обязательств (заключенных контрактов) составляет 97,7</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Закуплено более 200 тыс. единиц медицинских изделий, в том числе 99,9 тыс. единиц медицинских изделий для использования на дому. Медицинскими изделиями для проведения искусственной вентиляции легких на дому обеспечены 221 взрослый пациент и 143 ребенка.</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настоящее время продолжается процесс поставки медицинских изделий и лекарственных препаратов по заключенным в 4 квартале 2018 года государственным контрактам. </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Реализация комплекса мероприятий по обеспечению потребности в наркотических и психотропных лекарственных препаратах позволила достичь увеличения в 2018 году: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объема заявленн</w:t>
      </w:r>
      <w:r w:rsidR="00173BFC">
        <w:rPr>
          <w:rFonts w:ascii="Times New Roman" w:hAnsi="Times New Roman" w:cs="Times New Roman"/>
          <w:sz w:val="28"/>
          <w:szCs w:val="28"/>
        </w:rPr>
        <w:t>ой</w:t>
      </w:r>
      <w:r w:rsidRPr="005E58C6">
        <w:rPr>
          <w:rFonts w:ascii="Times New Roman" w:hAnsi="Times New Roman" w:cs="Times New Roman"/>
          <w:sz w:val="28"/>
          <w:szCs w:val="28"/>
        </w:rPr>
        <w:t xml:space="preserve"> потребност</w:t>
      </w:r>
      <w:r w:rsidR="00173BFC">
        <w:rPr>
          <w:rFonts w:ascii="Times New Roman" w:hAnsi="Times New Roman" w:cs="Times New Roman"/>
          <w:sz w:val="28"/>
          <w:szCs w:val="28"/>
        </w:rPr>
        <w:t>и</w:t>
      </w:r>
      <w:r w:rsidRPr="005E58C6">
        <w:rPr>
          <w:rFonts w:ascii="Times New Roman" w:hAnsi="Times New Roman" w:cs="Times New Roman"/>
          <w:sz w:val="28"/>
          <w:szCs w:val="28"/>
        </w:rPr>
        <w:t xml:space="preserve"> в неинвазивных наркотических анальгетиках в 4 раза в сравнении с 2014 годом;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выборки неинвазивных наркотических анальгетиков в 2018 году в 8 раз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сравнению с 2014 годом;</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охвата обезболиванием нуждающихся пациентов более чем в 7 раз: с 12</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2014 году до 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2018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более 80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субъектов Российской Федерации представили дополнительные заявки, позволяющие в полном объеме обеспечить потребность нуждающихся пациентов от 70 до 100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Отдельно прорабатывается вопрос организации в субъектах Российской Федерации изготовления аптечными организациями и индивидуальными предпринимателями, имеющими лицензию на фармацевтическую деятельность, неинвазивных лекарственных препаратов, содержащих наркотические средства и психотропные вещества, включенные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w:t>
      </w:r>
      <w:r w:rsidR="002378E6">
        <w:rPr>
          <w:rFonts w:ascii="Times New Roman" w:hAnsi="Times New Roman" w:cs="Times New Roman"/>
          <w:sz w:val="28"/>
          <w:szCs w:val="28"/>
        </w:rPr>
        <w:t>ства Российской Федерации от 30 </w:t>
      </w:r>
      <w:r w:rsidRPr="005E58C6">
        <w:rPr>
          <w:rFonts w:ascii="Times New Roman" w:hAnsi="Times New Roman" w:cs="Times New Roman"/>
          <w:sz w:val="28"/>
          <w:szCs w:val="28"/>
        </w:rPr>
        <w:t xml:space="preserve">июня 1998 г. </w:t>
      </w:r>
      <w:r>
        <w:rPr>
          <w:rFonts w:ascii="Times New Roman" w:hAnsi="Times New Roman" w:cs="Times New Roman"/>
          <w:sz w:val="28"/>
          <w:szCs w:val="28"/>
        </w:rPr>
        <w:t>№ </w:t>
      </w:r>
      <w:r w:rsidRPr="005E58C6">
        <w:rPr>
          <w:rFonts w:ascii="Times New Roman" w:hAnsi="Times New Roman" w:cs="Times New Roman"/>
          <w:sz w:val="28"/>
          <w:szCs w:val="28"/>
        </w:rPr>
        <w:t>681, в том числе в лекарственных формах, применяющихся у детей.</w:t>
      </w:r>
    </w:p>
    <w:p w:rsidR="005E58C6" w:rsidRPr="002378E6" w:rsidRDefault="005E58C6" w:rsidP="005E58C6">
      <w:pPr>
        <w:widowControl w:val="0"/>
        <w:spacing w:after="0" w:line="312" w:lineRule="auto"/>
        <w:ind w:firstLine="709"/>
        <w:jc w:val="both"/>
        <w:rPr>
          <w:rFonts w:ascii="Times New Roman" w:hAnsi="Times New Roman" w:cs="Times New Roman"/>
          <w:i/>
          <w:sz w:val="28"/>
          <w:szCs w:val="28"/>
        </w:rPr>
      </w:pPr>
      <w:r w:rsidRPr="002378E6">
        <w:rPr>
          <w:rFonts w:ascii="Times New Roman" w:hAnsi="Times New Roman" w:cs="Times New Roman"/>
          <w:i/>
          <w:sz w:val="28"/>
          <w:szCs w:val="28"/>
        </w:rPr>
        <w:t>Обеспечение медицинскими изделиями</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Распоряжением Правительства Российской Федерации от 31 декабря </w:t>
      </w:r>
      <w:r w:rsidRPr="005E58C6">
        <w:rPr>
          <w:rFonts w:ascii="Times New Roman" w:hAnsi="Times New Roman" w:cs="Times New Roman"/>
          <w:sz w:val="28"/>
          <w:szCs w:val="28"/>
        </w:rPr>
        <w:lastRenderedPageBreak/>
        <w:t xml:space="preserve">2018 г. </w:t>
      </w:r>
      <w:r>
        <w:rPr>
          <w:rFonts w:ascii="Times New Roman" w:hAnsi="Times New Roman" w:cs="Times New Roman"/>
          <w:sz w:val="28"/>
          <w:szCs w:val="28"/>
        </w:rPr>
        <w:t>№ </w:t>
      </w:r>
      <w:r w:rsidRPr="005E58C6">
        <w:rPr>
          <w:rFonts w:ascii="Times New Roman" w:hAnsi="Times New Roman" w:cs="Times New Roman"/>
          <w:sz w:val="28"/>
          <w:szCs w:val="28"/>
        </w:rPr>
        <w:t>3053-р утвержден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и перечень медицинских изделий, отпускаемых по рецептам на медицинские изделия при предоставлении набора социальных услуг (далее соответственно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распоряжение, перечень медицинских изделий, имплантируемых в организм человека, перечень медицинских изделий, отпускаемых по рецептам).</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Перечень медицинских изделий, имплантируемых в организм человека, сформирован на основе перечня медицинских изделий, утвержденного распоряжением Правительства Российской Федерации от 22 октября 2016 г. </w:t>
      </w:r>
      <w:r>
        <w:rPr>
          <w:rFonts w:ascii="Times New Roman" w:hAnsi="Times New Roman" w:cs="Times New Roman"/>
          <w:sz w:val="28"/>
          <w:szCs w:val="28"/>
        </w:rPr>
        <w:t>№ </w:t>
      </w:r>
      <w:r w:rsidRPr="005E58C6">
        <w:rPr>
          <w:rFonts w:ascii="Times New Roman" w:hAnsi="Times New Roman" w:cs="Times New Roman"/>
          <w:sz w:val="28"/>
          <w:szCs w:val="28"/>
        </w:rPr>
        <w:t xml:space="preserve">2229-р, в который были внесены изменения, касающиеся: исключения некоторых позиций; внесения изменений в коды и наименования видов медицинских изделий в связи с проводимой работой по актуализации номенклатурной классификации медицинских изделий; отнесения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 медицинским изделиям, используемым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дополнения перечня позицией «Клипса для аневризмы, нестерильная &lt;*&gt; (код 335010)».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Перечень медицинских изделий, отпускаемых по рецептам на медицинские изделия при предоставлении набора социальных услуг (далее соответственно</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распоряжение, перечень медицинских изделий, отпускаемых по рецептам), утвержден в целях совершенствования организации оказания медицинской помощи гражданам, имеющим право на получение государственной социальной помощи, а также в соответствии с Правилами формирования перечней медицинских изделий, утвержденными постановлением Правительства Российской Федерации от 22 сентября 2014 г. </w:t>
      </w:r>
      <w:r>
        <w:rPr>
          <w:rFonts w:ascii="Times New Roman" w:hAnsi="Times New Roman" w:cs="Times New Roman"/>
          <w:sz w:val="28"/>
          <w:szCs w:val="28"/>
        </w:rPr>
        <w:t>№ </w:t>
      </w:r>
      <w:r w:rsidRPr="005E58C6">
        <w:rPr>
          <w:rFonts w:ascii="Times New Roman" w:hAnsi="Times New Roman" w:cs="Times New Roman"/>
          <w:sz w:val="28"/>
          <w:szCs w:val="28"/>
        </w:rPr>
        <w:t xml:space="preserve">968, и с учетом перечня изделий медицинского назначения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утвержденного приказом Минздравсоцразвития России от 9 января 2007  г. </w:t>
      </w:r>
      <w:r>
        <w:rPr>
          <w:rFonts w:ascii="Times New Roman" w:hAnsi="Times New Roman" w:cs="Times New Roman"/>
          <w:sz w:val="28"/>
          <w:szCs w:val="28"/>
        </w:rPr>
        <w:t>№ </w:t>
      </w:r>
      <w:r w:rsidRPr="005E58C6">
        <w:rPr>
          <w:rFonts w:ascii="Times New Roman" w:hAnsi="Times New Roman" w:cs="Times New Roman"/>
          <w:sz w:val="28"/>
          <w:szCs w:val="28"/>
        </w:rPr>
        <w:t>1.</w:t>
      </w:r>
    </w:p>
    <w:p w:rsidR="005E58C6" w:rsidRPr="005E58C6" w:rsidRDefault="005E58C6" w:rsidP="009E1FD8">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 xml:space="preserve">Перечень медицинских изделий, отпускаемых по рецептам, сформирован на основе перечня медицинских изделий, утвержденного распоряжением Правительства Российской Федерации от 22 октября 2016 г. </w:t>
      </w:r>
      <w:r>
        <w:rPr>
          <w:rFonts w:ascii="Times New Roman" w:hAnsi="Times New Roman" w:cs="Times New Roman"/>
          <w:sz w:val="28"/>
          <w:szCs w:val="28"/>
        </w:rPr>
        <w:t>№ </w:t>
      </w:r>
      <w:r w:rsidRPr="005E58C6">
        <w:rPr>
          <w:rFonts w:ascii="Times New Roman" w:hAnsi="Times New Roman" w:cs="Times New Roman"/>
          <w:sz w:val="28"/>
          <w:szCs w:val="28"/>
        </w:rPr>
        <w:t>2229-р, в который были внесены изменения в части исключения позиций; внесения изменений в коды и наименования видов медицинских изделий, в связи с проводимой работой по актуализации номенклатурной классификации медицинских изделий, а также дополнения перечня позициями «Набор для введения инсулина амбулаторный», «Резервуар для амбулаторной инсулиновой инфузионной помпы».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Установка инсулиновой помпы осуществляется в рамках программы государственных гарантий бесплатного оказания гражданам медицинской помощи </w:t>
      </w:r>
      <w:r w:rsidR="00173BFC">
        <w:rPr>
          <w:rFonts w:ascii="Times New Roman" w:hAnsi="Times New Roman" w:cs="Times New Roman"/>
          <w:sz w:val="28"/>
          <w:szCs w:val="28"/>
        </w:rPr>
        <w:t xml:space="preserve">при оказании высокотехнологичной медицинской помощи </w:t>
      </w:r>
      <w:r w:rsidRPr="005E58C6">
        <w:rPr>
          <w:rFonts w:ascii="Times New Roman" w:hAnsi="Times New Roman" w:cs="Times New Roman"/>
          <w:sz w:val="28"/>
          <w:szCs w:val="28"/>
        </w:rPr>
        <w:t>методами «комплексное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 и «комплексное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Федерального фонда обязательного медицинского страхования, наблюдается среднегодовой прирост пациентов с установленной инсулиновой помпой в количестве примерно 4,3 тыс. пациентов.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Включение в перечень медицинских изделий, отпускаемых по рецептам позиций «Набор для введения инсулина к инсулиновой инфузионной помпе (код 351940)» и «Резервуар для амбулаторной инсулиновой инфузионной помпы (код 207670)» потребует дополнительного выделения средств федерального бюджета бюджетам субъектов Российской Федерации в ценах 2018 года: в 2019 году  в объеме 2,183 млрд рублей; в 2020 году в объеме 2,766 млрд рублей; в 2021 году в объеме 3,371 млрд рублей.</w:t>
      </w:r>
    </w:p>
    <w:p w:rsidR="005E58C6" w:rsidRPr="002378E6" w:rsidRDefault="005E58C6" w:rsidP="005E58C6">
      <w:pPr>
        <w:widowControl w:val="0"/>
        <w:spacing w:after="0" w:line="312" w:lineRule="auto"/>
        <w:ind w:firstLine="709"/>
        <w:jc w:val="both"/>
        <w:rPr>
          <w:rFonts w:ascii="Times New Roman" w:hAnsi="Times New Roman" w:cs="Times New Roman"/>
          <w:i/>
          <w:sz w:val="28"/>
          <w:szCs w:val="28"/>
        </w:rPr>
      </w:pPr>
      <w:r w:rsidRPr="002378E6">
        <w:rPr>
          <w:rFonts w:ascii="Times New Roman" w:hAnsi="Times New Roman" w:cs="Times New Roman"/>
          <w:i/>
          <w:sz w:val="28"/>
          <w:szCs w:val="28"/>
        </w:rPr>
        <w:t>Совершенствование системы стандартизации в области обеспечения и контроля качества лекарственных средств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Совершенствование системы стандартизации в области обеспечения и </w:t>
      </w:r>
      <w:r w:rsidRPr="005E58C6">
        <w:rPr>
          <w:rFonts w:ascii="Times New Roman" w:hAnsi="Times New Roman" w:cs="Times New Roman"/>
          <w:sz w:val="28"/>
          <w:szCs w:val="28"/>
        </w:rPr>
        <w:lastRenderedPageBreak/>
        <w:t>контроля качества лекарственных средств направлено на обеспечение безопасности, эффективности и качества лекарственных препаратов для медицинского применения.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Отечественная система стандартизации лекарственных средств</w:t>
      </w:r>
      <w:r w:rsidR="00173BFC">
        <w:rPr>
          <w:rFonts w:ascii="Times New Roman" w:hAnsi="Times New Roman" w:cs="Times New Roman"/>
          <w:sz w:val="28"/>
          <w:szCs w:val="28"/>
        </w:rPr>
        <w:t xml:space="preserve"> базируется на Государственной ф</w:t>
      </w:r>
      <w:r w:rsidRPr="005E58C6">
        <w:rPr>
          <w:rFonts w:ascii="Times New Roman" w:hAnsi="Times New Roman" w:cs="Times New Roman"/>
          <w:sz w:val="28"/>
          <w:szCs w:val="28"/>
        </w:rPr>
        <w:t>армакопее Российской Федерации, включающей в себя общие фармакопейные статьи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ОФС)  и фармакопейные статьи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ФС).</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Приказом Минздрава России от 31 октября 2018 г. </w:t>
      </w:r>
      <w:r>
        <w:rPr>
          <w:rFonts w:ascii="Times New Roman" w:hAnsi="Times New Roman" w:cs="Times New Roman"/>
          <w:sz w:val="28"/>
          <w:szCs w:val="28"/>
        </w:rPr>
        <w:t>№ </w:t>
      </w:r>
      <w:r w:rsidRPr="005E58C6">
        <w:rPr>
          <w:rFonts w:ascii="Times New Roman" w:hAnsi="Times New Roman" w:cs="Times New Roman"/>
          <w:sz w:val="28"/>
          <w:szCs w:val="28"/>
        </w:rPr>
        <w:t xml:space="preserve">749 «Об утверждении общих фармакопейных статей и фармакопейных статей и признании утратившими силу некоторых приказов Минздравмедпрома России, Минздравсоцразвития России и Минздрава России» введены в действие общие фармакопейные статьи и фармакопейные статьи, включенные в Государственную фармакопею XIV издания, с 1 декабря 2018 года. </w:t>
      </w:r>
    </w:p>
    <w:p w:rsidR="005E58C6" w:rsidRPr="005E58C6" w:rsidRDefault="00173BFC" w:rsidP="005E58C6">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XIV издание Государственной ф</w:t>
      </w:r>
      <w:r w:rsidR="005E58C6" w:rsidRPr="005E58C6">
        <w:rPr>
          <w:rFonts w:ascii="Times New Roman" w:hAnsi="Times New Roman" w:cs="Times New Roman"/>
          <w:sz w:val="28"/>
          <w:szCs w:val="28"/>
        </w:rPr>
        <w:t xml:space="preserve">армакопеи Российской Федерации вошли 319 общих фармакопейных статей и 661 фармакопейная статья.  </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Впервые введены 72 ОФС, среди которых 5 ОФС регламентируют общие положения, 16 описывают методы анализа, 18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лекарственные формы, 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методы определения фармацевтико-технологических показателей лекарственных форм, 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метод анализа лекарственного растительного сырья и фармацевтических субстанций растительного происхождения, 21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группы биологических лекарственных средств и методы их анализа (включая лекарственные препараты, полученные из крови и плазмы крови человека),</w:t>
      </w:r>
      <w:r w:rsidR="002378E6">
        <w:rPr>
          <w:rFonts w:ascii="Times New Roman" w:hAnsi="Times New Roman" w:cs="Times New Roman"/>
          <w:sz w:val="28"/>
          <w:szCs w:val="28"/>
        </w:rPr>
        <w:t xml:space="preserve">    </w:t>
      </w:r>
      <w:r w:rsidRPr="005E58C6">
        <w:rPr>
          <w:rFonts w:ascii="Times New Roman" w:hAnsi="Times New Roman" w:cs="Times New Roman"/>
          <w:sz w:val="28"/>
          <w:szCs w:val="28"/>
        </w:rPr>
        <w:t xml:space="preserve"> 1</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генотерапевтические лекарственные препараты, 3</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лекарственное сырье различного происхождения, используемое в гомеопатической практике,</w:t>
      </w:r>
      <w:r w:rsidR="002378E6">
        <w:rPr>
          <w:rFonts w:ascii="Times New Roman" w:hAnsi="Times New Roman" w:cs="Times New Roman"/>
          <w:sz w:val="28"/>
          <w:szCs w:val="28"/>
        </w:rPr>
        <w:t xml:space="preserve"> </w:t>
      </w:r>
      <w:r w:rsidRPr="005E58C6">
        <w:rPr>
          <w:rFonts w:ascii="Times New Roman" w:hAnsi="Times New Roman" w:cs="Times New Roman"/>
          <w:sz w:val="28"/>
          <w:szCs w:val="28"/>
        </w:rPr>
        <w:t>и 6 –лекарственные формы, в которых применяются гомеопатические лекарственные препараты.</w:t>
      </w:r>
    </w:p>
    <w:p w:rsidR="009E1FD8" w:rsidRPr="002E2828" w:rsidRDefault="005E58C6" w:rsidP="00377BBB">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Впервые в Государственну</w:t>
      </w:r>
      <w:r w:rsidR="00173BFC">
        <w:rPr>
          <w:rFonts w:ascii="Times New Roman" w:hAnsi="Times New Roman" w:cs="Times New Roman"/>
          <w:sz w:val="28"/>
          <w:szCs w:val="28"/>
        </w:rPr>
        <w:t>ю ф</w:t>
      </w:r>
      <w:r w:rsidRPr="005E58C6">
        <w:rPr>
          <w:rFonts w:ascii="Times New Roman" w:hAnsi="Times New Roman" w:cs="Times New Roman"/>
          <w:sz w:val="28"/>
          <w:szCs w:val="28"/>
        </w:rPr>
        <w:t>армакопею Российской Федерации</w:t>
      </w:r>
      <w:r w:rsidR="00173BFC">
        <w:rPr>
          <w:rFonts w:ascii="Times New Roman" w:hAnsi="Times New Roman" w:cs="Times New Roman"/>
          <w:sz w:val="28"/>
          <w:szCs w:val="28"/>
        </w:rPr>
        <w:t xml:space="preserve"> </w:t>
      </w:r>
      <w:r w:rsidR="00173BFC">
        <w:rPr>
          <w:rFonts w:ascii="Times New Roman" w:hAnsi="Times New Roman" w:cs="Times New Roman"/>
          <w:sz w:val="28"/>
          <w:szCs w:val="28"/>
        </w:rPr>
        <w:br/>
        <w:t xml:space="preserve">XIV </w:t>
      </w:r>
      <w:r w:rsidRPr="005E58C6">
        <w:rPr>
          <w:rFonts w:ascii="Times New Roman" w:hAnsi="Times New Roman" w:cs="Times New Roman"/>
          <w:sz w:val="28"/>
          <w:szCs w:val="28"/>
        </w:rPr>
        <w:t>издания введены 164 ФС, среди которых 40 ФС описывают фармацевтические субстанции синтетического и минерального происхождения, 75</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лекарственные препараты на  основе этих  субстанций, 8</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биологические лекарственные препараты различного происхождения (в том числе получаемые из крови и плазмы крови человека), 41 –гомеопатические фармацевтические субстанции растительного и минерального происхождения.</w:t>
      </w:r>
    </w:p>
    <w:p w:rsidR="005E58C6" w:rsidRPr="002378E6" w:rsidRDefault="009D3014" w:rsidP="002378E6">
      <w:pPr>
        <w:widowControl w:val="0"/>
        <w:spacing w:after="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60741">
        <w:rPr>
          <w:rFonts w:ascii="Times New Roman" w:hAnsi="Times New Roman" w:cs="Times New Roman"/>
          <w:b/>
          <w:sz w:val="28"/>
          <w:szCs w:val="28"/>
        </w:rPr>
        <w:t xml:space="preserve">         </w:t>
      </w:r>
      <w:r w:rsidR="005E58C6" w:rsidRPr="002378E6">
        <w:rPr>
          <w:rFonts w:ascii="Times New Roman" w:hAnsi="Times New Roman" w:cs="Times New Roman"/>
          <w:b/>
          <w:sz w:val="28"/>
          <w:szCs w:val="28"/>
        </w:rPr>
        <w:t xml:space="preserve">Раздел </w:t>
      </w:r>
      <w:r w:rsidR="00150061" w:rsidRPr="00857874">
        <w:rPr>
          <w:rFonts w:ascii="Times New Roman" w:hAnsi="Times New Roman" w:cs="Times New Roman"/>
          <w:b/>
          <w:sz w:val="28"/>
          <w:szCs w:val="28"/>
        </w:rPr>
        <w:t>9</w:t>
      </w:r>
      <w:r w:rsidR="005E58C6" w:rsidRPr="002378E6">
        <w:rPr>
          <w:rFonts w:ascii="Times New Roman" w:hAnsi="Times New Roman" w:cs="Times New Roman"/>
          <w:b/>
          <w:sz w:val="28"/>
          <w:szCs w:val="28"/>
        </w:rPr>
        <w:t xml:space="preserve"> «Информатизация здравоохранения»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Важнейшим условием повышения эффективности функционирования и взаимодействия всех составляющих элементов системы здравоохранения является информационное обеспечение и использование цифровых технологий.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Постановлением Правительства Российской Федерации от 5 мая 2018 г. </w:t>
      </w:r>
      <w:r>
        <w:rPr>
          <w:rFonts w:ascii="Times New Roman" w:hAnsi="Times New Roman" w:cs="Times New Roman"/>
          <w:sz w:val="28"/>
          <w:szCs w:val="28"/>
        </w:rPr>
        <w:t>№ </w:t>
      </w:r>
      <w:r w:rsidRPr="005E58C6">
        <w:rPr>
          <w:rFonts w:ascii="Times New Roman" w:hAnsi="Times New Roman" w:cs="Times New Roman"/>
          <w:sz w:val="28"/>
          <w:szCs w:val="28"/>
        </w:rPr>
        <w:t xml:space="preserve">555 «О единой государственной информационной системе в сфере здравоохранения» закреплены правовые основы функционирования единой государственной информационной системы в сфере здравоохранения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ЕГИСЗ), ее технологическая архитектура, основные функции и перечень подсистем, определены порядок и сроки представления поставщиками информации в ЕГИСЗ, порядок доступа к информации и порядок обмена информацией с использованием ЕГИСЗ с целью создания единого цифрового контура в сфере охраны здоровья.</w:t>
      </w:r>
    </w:p>
    <w:p w:rsidR="005E58C6" w:rsidRPr="005E58C6" w:rsidRDefault="005E58C6" w:rsidP="002378E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конце 2018 года были подведены итоги реализации планов информатизации («дорожных карт») на период 2015–2018 гг. субъектов Российской Федерации. Результаты исполнения «дорожных карт» показали рост по всем составляющим информационно-коммуникационной инфраструктуры регионального здравоохранения: число медицинских организаций и их структурных подразделений, использующих медицинские информационные системы, увеличилось с 2,2 тыс. до 15,5 тыс., количество автоматизированных рабочих мест врачей, подключенных к медицинским информационным системам, увеличилось в 2 раза и составило около 600 тыс. Также внедрены и развиваются централизованные подсистемы государственных информационных систем субъектов Российской Федерации: число медицинских организаций, подключенных к центральным архивам медицинских диагностических исследований выросло с 800 до 5 500, к региональным телемедицинским системам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с 2 600 до 6 500.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все субъекты Российской Федерации завершили интеграцию с ЕГИСЗ. Реализованы сервисы для граждан за счет подключения к ЕГИСЗ территориальных фондов обязательного медицинского страхования: организовано предоставление информации о прикреплении к медицинской организации, о полисе ОМС и страховой медицинской организации, а также стали доступны сведения об оказанных медицинских услугах и их стоимости, реализована возможность подачи </w:t>
      </w:r>
      <w:r w:rsidRPr="005E58C6">
        <w:rPr>
          <w:rFonts w:ascii="Times New Roman" w:hAnsi="Times New Roman" w:cs="Times New Roman"/>
          <w:sz w:val="28"/>
          <w:szCs w:val="28"/>
        </w:rPr>
        <w:lastRenderedPageBreak/>
        <w:t xml:space="preserve">заявления на оформление полиса обязательного медицинского страхования и выбора страховой организации.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завершено подключение больниц и поликлиник к сети «Интернет». В результате масштабного строительства волоконно-оптических линий связи за счет средств федерального бюджета доступ к сети передачи данных обеспечен для 8,9 тыс. объектов.  В 2019–2021 гг. запланировано подключение к сети «Интернет» более 33 тыс. фельдшерских и фельдшерско-акушерских пунктов.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Развитие медицинских информационных систем обеспечило ведение в медицинских организациях электронных медицинских карт и обмен электронными медицинскими документами, в том числе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электронными рецептами и листками нетрудоспособности. Ведение электронных расписаний врачей в медицинских организациях, оказывающих первичную медико-санитарную помощь, обеспечило возможность дистанционной записи граждан на прием к врачу с использованием Единого портала государственных и муниципальных услуг (функций).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 2018 год более 4,2 млн граждан воспользовались услугами сервиса «Мое здоровье» Личного кабинета на Едином портале государственных и муниципальных услуг (функций).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Минздравом России реализуются мероприятия по построению Федеральной телемедицинской системы, предназначенной для обеспечения дистанционного взаимодействия национальных медицинских исследовательских центров Минздрава России с головными региональными медицинскими организациями по профилям оказания медицинской помощи: организация и проведение консультаций с  применением телемедицинских технологий при оказании медицинской помощи, врачебных консилиумов и конференций, а также иных мероприятий, связанных с  процессом трансляции знаний.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2018 году к Федеральной телемедицинской системе было подключено более 700 медицинских организаций субъектов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течение года 22 национальных медицинских исследовательских центра Минздрава России оказали более 4 тысяч телемедицинских консультаций.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 1 января 2018 г. в промышленном режиме функционирует </w:t>
      </w:r>
      <w:r w:rsidRPr="005E58C6">
        <w:rPr>
          <w:rFonts w:ascii="Times New Roman" w:hAnsi="Times New Roman" w:cs="Times New Roman"/>
          <w:sz w:val="28"/>
          <w:szCs w:val="28"/>
        </w:rPr>
        <w:lastRenderedPageBreak/>
        <w:t xml:space="preserve">информационно-аналитическая система мониторинга и контроля в сфере закупок лекарственных препаратов для обеспечения государственных и муниципальных нужд. Система интегрирована с единой информационной системой в сфере закупок, формируется массив данных о контрактах на закупку лекарственных препаратов с использованием единого структурированного справочника-каталога лекарственных препаратов для медицинского применения. С 1 июля 2018 г. осуществляется расчет средневзвешенных цен на закупаемые лекарственные препараты; на основе положительной практики их применения в 2019 году будет осуществляться поэтапный ввод референтных цен на лекарственные препараты, для которых определена взаимозаменяемость.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Также выполняются мероприятия по внедрению системы мониторинга движения лекарственных препаратов. В целях обеспечения эффективного контроля качества лекарственных препаратов, находящихся в обращении, и борьбы с их фальсификацией внесение сведений в систему мониторинга обеспечивается с использованием средств идентификации, нанесенных на упаковку лекарственных препаратов.</w:t>
      </w:r>
    </w:p>
    <w:p w:rsidR="005E58C6" w:rsidRPr="002E2828" w:rsidRDefault="00377BBB" w:rsidP="002378E6">
      <w:pPr>
        <w:widowControl w:val="0"/>
        <w:spacing w:after="0" w:line="312" w:lineRule="auto"/>
        <w:jc w:val="both"/>
        <w:rPr>
          <w:rFonts w:ascii="Times New Roman" w:hAnsi="Times New Roman" w:cs="Times New Roman"/>
          <w:sz w:val="28"/>
          <w:szCs w:val="28"/>
        </w:rPr>
      </w:pPr>
      <w:r w:rsidRPr="002E2828">
        <w:rPr>
          <w:rFonts w:ascii="Times New Roman" w:hAnsi="Times New Roman" w:cs="Times New Roman"/>
          <w:sz w:val="28"/>
          <w:szCs w:val="28"/>
        </w:rPr>
        <w:t xml:space="preserve">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2E2828" w:rsidRDefault="005E58C6"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377BBB" w:rsidRPr="002E2828" w:rsidRDefault="00377BBB"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2E2828" w:rsidRDefault="005E58C6" w:rsidP="00B45887">
      <w:pPr>
        <w:widowControl w:val="0"/>
        <w:spacing w:after="0" w:line="312" w:lineRule="auto"/>
        <w:jc w:val="both"/>
        <w:rPr>
          <w:rFonts w:ascii="Times New Roman" w:hAnsi="Times New Roman" w:cs="Times New Roman"/>
          <w:sz w:val="28"/>
          <w:szCs w:val="28"/>
        </w:rPr>
      </w:pPr>
    </w:p>
    <w:p w:rsidR="005E58C6" w:rsidRPr="002378E6" w:rsidRDefault="005E58C6" w:rsidP="005E58C6">
      <w:pPr>
        <w:widowControl w:val="0"/>
        <w:spacing w:after="0" w:line="312" w:lineRule="auto"/>
        <w:ind w:firstLine="709"/>
        <w:jc w:val="both"/>
        <w:rPr>
          <w:rFonts w:ascii="Times New Roman" w:hAnsi="Times New Roman" w:cs="Times New Roman"/>
          <w:b/>
          <w:sz w:val="28"/>
          <w:szCs w:val="28"/>
        </w:rPr>
      </w:pPr>
      <w:r w:rsidRPr="002378E6">
        <w:rPr>
          <w:rFonts w:ascii="Times New Roman" w:hAnsi="Times New Roman" w:cs="Times New Roman"/>
          <w:b/>
          <w:sz w:val="28"/>
          <w:szCs w:val="28"/>
        </w:rPr>
        <w:lastRenderedPageBreak/>
        <w:t>Раздел 10. Реализация государственной политики в сфере охраны здоровья, предусмотренной иными поручениями Президента Российской Федерации и Правительства Российской Федерации, а также реализация мероприятий иных федеральных целевых программ и государственных программ Российской Федерации, оказывающих влияние на достижение целей и задач государственной политики в сфере охраны здоровья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 </w:t>
      </w:r>
      <w:r w:rsidRPr="002378E6">
        <w:rPr>
          <w:rFonts w:ascii="Times New Roman" w:hAnsi="Times New Roman" w:cs="Times New Roman"/>
          <w:b/>
          <w:sz w:val="28"/>
          <w:szCs w:val="28"/>
        </w:rPr>
        <w:t>Деятельность Министерства здравоохранения Российской Федерации в 2018 году</w:t>
      </w:r>
      <w:r w:rsidRPr="005E58C6">
        <w:rPr>
          <w:rFonts w:ascii="Times New Roman" w:hAnsi="Times New Roman" w:cs="Times New Roman"/>
          <w:sz w:val="28"/>
          <w:szCs w:val="28"/>
        </w:rPr>
        <w:t xml:space="preserve">   была направлена на достижение национальных целей развития Российской Федерации, установленных Указом Президента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Российской Федерации от 7 мая 2018 года </w:t>
      </w:r>
      <w:r>
        <w:rPr>
          <w:rFonts w:ascii="Times New Roman" w:hAnsi="Times New Roman" w:cs="Times New Roman"/>
          <w:sz w:val="28"/>
          <w:szCs w:val="28"/>
        </w:rPr>
        <w:t>№ </w:t>
      </w:r>
      <w:r w:rsidRPr="005E58C6">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Указ </w:t>
      </w:r>
      <w:r>
        <w:rPr>
          <w:rFonts w:ascii="Times New Roman" w:hAnsi="Times New Roman" w:cs="Times New Roman"/>
          <w:sz w:val="28"/>
          <w:szCs w:val="28"/>
        </w:rPr>
        <w:t>№ </w:t>
      </w:r>
      <w:r w:rsidRPr="005E58C6">
        <w:rPr>
          <w:rFonts w:ascii="Times New Roman" w:hAnsi="Times New Roman" w:cs="Times New Roman"/>
          <w:sz w:val="28"/>
          <w:szCs w:val="28"/>
        </w:rPr>
        <w:t xml:space="preserve">204).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Достижение национальной цели - повышение ожидаемой продолжительности жизни до 78 лет (в 2030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до 80 лет) обеспечивалось реализацией государственной программы Российской  Федерации «Развитие здравоохранения» и входящих в нее  национальных проектов «Здравоохранение» и «Демография».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Национальный проект «Здравоохранение» включает 8 федеральных проектов, в составе которых содержатся 7 приоритетных проектов, реализуемых в 2018 году Министерством здравоохранения Российской Федерации в соответствии с решениями президиума Совета при Президенте Российской Федерации по стратегическому развитию и приоритетным проектам.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Приоритетный проект «Создание новой модели медицинской организации, оказывающей первичную медико-санитарную помощь».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данным, представленными региональными центрами организации первичной медико-санитарной помощи в 2018 году, в 33 субъектах Российской Федерации, участвующих в реализации приоритетного проекта, принципы бережливого производства внедрены в 1 070 поликлинических подразделениях, из них 578 взрослых и 492 детских.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Всего в 2018 г. указанный приоритетный проект реализовывался в                 52 субъектах Российской Федерации в 2,2 тыс. поликлинических подразделениях.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Реализация проекта позволила повысить доступность медицинской </w:t>
      </w:r>
      <w:r w:rsidRPr="005E58C6">
        <w:rPr>
          <w:rFonts w:ascii="Times New Roman" w:hAnsi="Times New Roman" w:cs="Times New Roman"/>
          <w:sz w:val="28"/>
          <w:szCs w:val="28"/>
        </w:rPr>
        <w:lastRenderedPageBreak/>
        <w:t>помощи  и удовлетворенность пациентов, особенно в республиках Бурятия, Северная Осетия</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Алания, Удмуртия, Алтайском и Пермском краях, Тульской и Тюменской областях.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Дальнейшая реализация проекта продолжится в рамках федерального проекта «Развитие системы оказания первичной медико-санитарной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 («Развитие санитарной авиации»).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итогам 2018 г. дополнительно выполнено 6 706 вылетов, что позволило эвакуировать 9 235 пациентов, в том числе 1 837 детей, из них                    724 ребенка в возрасте до 1 года.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указанные цели было выделено 3,234 млрд рублей из федерального бюджета.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Результатом реализации данного проекта является увеличение доли лиц, госпитализированных по экстренным показаниям в течение первых суток до 83,5</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Дальнейшая реализация проекта продолжится в рамках федерального проекта </w:t>
      </w:r>
      <w:r w:rsidRPr="003E59E0">
        <w:rPr>
          <w:rFonts w:ascii="Times New Roman" w:hAnsi="Times New Roman" w:cs="Times New Roman"/>
          <w:b/>
          <w:sz w:val="28"/>
          <w:szCs w:val="28"/>
        </w:rPr>
        <w:t xml:space="preserve">«Развитие системы оказания первичной медико-санитарной помощи», </w:t>
      </w:r>
      <w:r w:rsidRPr="005E58C6">
        <w:rPr>
          <w:rFonts w:ascii="Times New Roman" w:hAnsi="Times New Roman" w:cs="Times New Roman"/>
          <w:sz w:val="28"/>
          <w:szCs w:val="28"/>
        </w:rPr>
        <w:t>который направлен на повышение доступности и качества первичной медико-санитарной медицинской помощи всем гражданам Российской Федерации, в том числе в малонаселенных и труднодоступных районах, и включает:</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формирование сети медицинских организаций, создание более                           350 новых и замена более 1 200 аварийных ФАПов и врачебных амбулаторий, приобретение более 1 300 мобильных медицинских комплексов;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ввод в действие более 40 фельдшерско-акушерских пунктов и (или) офисов врачей общей практики в сельской местности в рамках реализации инвестиционных проектов в сфере агропромышленного комплекса;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охвата  граждан профилактическими осмотрами с 40 до 70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в 2024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организацию работы поликлиник на основе применения lean-технологий (открытая и вежливая регистратура, сокращение времени </w:t>
      </w:r>
      <w:r w:rsidRPr="005E58C6">
        <w:rPr>
          <w:rFonts w:ascii="Times New Roman" w:hAnsi="Times New Roman" w:cs="Times New Roman"/>
          <w:sz w:val="28"/>
          <w:szCs w:val="28"/>
        </w:rPr>
        <w:lastRenderedPageBreak/>
        <w:t>ожидания пациентом в очереди, упрощение записи на прием к врачу, уменьшение бумажной документации, комфортные условия для пациента в зонах ожидания);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создание региональных проектных офисов по внедрению «Новой модели медицинской организации, оказывающей первичную медико-санитарную помощь» во всех субъектах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завершение организации региональных систем диспетчеризации скорой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увеличение числа вылетов санитарной авиации при оказании экстренной медицинской помощи;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создание системы защиты прав пациентов. К 2024 году во всех субъектах Российской Федерации будут открыты офисы (представительство) по защите прав застрахованных лиц всеми страховыми медицинскими организациями.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F67512">
        <w:rPr>
          <w:rFonts w:ascii="Times New Roman" w:hAnsi="Times New Roman" w:cs="Times New Roman"/>
          <w:b/>
          <w:sz w:val="28"/>
          <w:szCs w:val="28"/>
        </w:rPr>
        <w:t>Федеральный проект «Борьба с сердечно-сосудистыми заболеваниями»</w:t>
      </w:r>
      <w:r w:rsidRPr="005E58C6">
        <w:rPr>
          <w:rFonts w:ascii="Times New Roman" w:hAnsi="Times New Roman" w:cs="Times New Roman"/>
          <w:sz w:val="28"/>
          <w:szCs w:val="28"/>
        </w:rPr>
        <w:t xml:space="preserve"> направлен на повышение доступности и качества медицинской помощи больным с сердечно-сосудистыми заболеваниями и снижение смертности от болезней системы кровообращения путем оснащения медицинским оборудованием региональных сосудистых центров и первичных сосудистых отделений; профилактики развития сердечно-сосудистых заболеваний и их осложнений; внедрения клинических рекомендаций и протоколов лечения больных с сердечно-сосудистыми заболеваниями, до 450 случаев на </w:t>
      </w:r>
      <w:r w:rsidR="00FA027B">
        <w:rPr>
          <w:rFonts w:ascii="Times New Roman" w:hAnsi="Times New Roman" w:cs="Times New Roman"/>
          <w:sz w:val="28"/>
          <w:szCs w:val="28"/>
        </w:rPr>
        <w:t xml:space="preserve">100 тыс. </w:t>
      </w:r>
      <w:r w:rsidRPr="005E58C6">
        <w:rPr>
          <w:rFonts w:ascii="Times New Roman" w:hAnsi="Times New Roman" w:cs="Times New Roman"/>
          <w:sz w:val="28"/>
          <w:szCs w:val="28"/>
        </w:rPr>
        <w:t xml:space="preserve">населения к 2024 году.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F67512">
        <w:rPr>
          <w:rFonts w:ascii="Times New Roman" w:hAnsi="Times New Roman" w:cs="Times New Roman"/>
          <w:b/>
          <w:sz w:val="28"/>
          <w:szCs w:val="28"/>
        </w:rPr>
        <w:t>Федеральный проект «Борьба с онкологическими заболеваниями»</w:t>
      </w:r>
      <w:r w:rsidRPr="005E58C6">
        <w:rPr>
          <w:rFonts w:ascii="Times New Roman" w:hAnsi="Times New Roman" w:cs="Times New Roman"/>
          <w:sz w:val="28"/>
          <w:szCs w:val="28"/>
        </w:rPr>
        <w:t xml:space="preserve"> направлен на улучшение выявления и повышение качества медицинской помощи больным с онкологическими заболеваниями.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Будут реализованы следующие основные мероприятия: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создание сети центров амбулаторной онкологической помощи во всех субъектах Российской Федерации, обеспечивающих своевременность и комфортность прохождения диагностики, имеющие в своей структуре дневные стационары для проведения химиотерапии;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развитие сети федеральных медицинских организаций, имеющих в своей структуре онкологические подразделения, в том числе создание центров протонных терапии;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переоснащение медицинских организаций, оказывающих помощь </w:t>
      </w:r>
      <w:r w:rsidRPr="005E58C6">
        <w:rPr>
          <w:rFonts w:ascii="Times New Roman" w:hAnsi="Times New Roman" w:cs="Times New Roman"/>
          <w:sz w:val="28"/>
          <w:szCs w:val="28"/>
        </w:rPr>
        <w:lastRenderedPageBreak/>
        <w:t xml:space="preserve">больным онкологическими заболеваниями;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организованы референс-центры по иммуногистохимическим, патоморфологическим и лучевым методам исследований;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проведение информационно-коммуникационной кампании, направленной на ранее выявление онкологических заболеваний и повышение приверженности к лечению;</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внедрение региональной централизованной информационной системы «Организация оказания медицинской помощи больным с онкологическими заболеваниями»;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кадровое обеспечение онкологической службы;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строительство 8 онкологических диспансеров (корпусов) в  республиках Мордовия, Башкортостан, Хакасия, в Липецкой, Волгоградской, Костромской, Томской и Саратовской областях, а также реконструкция 2 объектов федерального подчинения: в г. Санкт-Петербург и в г. Обнинск.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Приоритетным проектом «Совершенствование организации медицинской помощи новорожденным и женщинам в период беременности и после родов, предусматривающее, в том числе развитие сети перинатальных центров в Российской Федерации» «Технологии и комфорт</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матерям и детям» предусмотрено строительство 32 перинатальных центров в 30 субъектах Российской Федерации и формирование трехуровневой системы организации медицинской помощи женщинам в период беременности и родов и новорожденным.</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введены в эксплуатацию и начали прием пациентов                       10 перинатальных центров в 10 субъектах Российской Федерации (республики Бурятия, Карелия, Саха (Якутия), Красноя</w:t>
      </w:r>
      <w:r w:rsidR="00D939E9">
        <w:rPr>
          <w:rFonts w:ascii="Times New Roman" w:hAnsi="Times New Roman" w:cs="Times New Roman"/>
          <w:sz w:val="28"/>
          <w:szCs w:val="28"/>
        </w:rPr>
        <w:t>рский край (г. </w:t>
      </w:r>
      <w:r w:rsidRPr="005E58C6">
        <w:rPr>
          <w:rFonts w:ascii="Times New Roman" w:hAnsi="Times New Roman" w:cs="Times New Roman"/>
          <w:sz w:val="28"/>
          <w:szCs w:val="28"/>
        </w:rPr>
        <w:t xml:space="preserve">Норильск), Архангельская, Ленинградская, Сахалинская, Смоленская, Тамбовская и Ульяновская области).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29 декабря 2018 г. получена лицензия на осуществление медицинской деятельности в ГБУЗ Псковской области «Псковский перинатальный центр». Прием пациентов для оказания медицинской помощи в амбулаторных условиях начат 10 января 2019 г., первые роды приняты 28 января 2019 г.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Краснодарском крае получено разрешение на ввод перинатального центра в эксплуатацию (1 этап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 ноября 2018 г., 2 этап</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 xml:space="preserve">30 ноября 2018 г.). Лицензия на осуществление медицинской деятельности при оказании медицинской помощи в амбулаторных условиях по отдельным видам работ </w:t>
      </w:r>
      <w:r w:rsidRPr="005E58C6">
        <w:rPr>
          <w:rFonts w:ascii="Times New Roman" w:hAnsi="Times New Roman" w:cs="Times New Roman"/>
          <w:sz w:val="28"/>
          <w:szCs w:val="28"/>
        </w:rPr>
        <w:lastRenderedPageBreak/>
        <w:t xml:space="preserve">(услуг) получена 7 декабря 2018 года.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за счет субсидий из федерального бюджета созданы обучающие симуляционные центры на базе федеральных государственных бюджетных образовательных учреждений  высшего образования  «Казанский государственный медицинский университет» Минздрава России  (г. Казань) и «Кубанский государственный медицинский университет» Минздрава России (г. Краснодар).</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Результатом реализации проекта является показатель младенческой смертности, который за 2018 год снизился по сравнению с  2017 годом на 8,9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и составил 5,1 на </w:t>
      </w:r>
      <w:r w:rsidR="00051685">
        <w:rPr>
          <w:rFonts w:ascii="Times New Roman" w:hAnsi="Times New Roman" w:cs="Times New Roman"/>
          <w:sz w:val="28"/>
          <w:szCs w:val="28"/>
        </w:rPr>
        <w:t>1 000</w:t>
      </w:r>
      <w:r w:rsidRPr="005E58C6">
        <w:rPr>
          <w:rFonts w:ascii="Times New Roman" w:hAnsi="Times New Roman" w:cs="Times New Roman"/>
          <w:sz w:val="28"/>
          <w:szCs w:val="28"/>
        </w:rPr>
        <w:t xml:space="preserve"> родившихся живыми.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Дальнейшая реализация проекта продолжится в </w:t>
      </w:r>
      <w:r w:rsidRPr="00D939E9">
        <w:rPr>
          <w:rFonts w:ascii="Times New Roman" w:hAnsi="Times New Roman" w:cs="Times New Roman"/>
          <w:b/>
          <w:sz w:val="28"/>
          <w:szCs w:val="28"/>
        </w:rPr>
        <w:t>рамках федерального проекта «Развитие детского здравоохранения, включая создание современной инфраструктуры оказания медицинской помощи детям»</w:t>
      </w:r>
      <w:r w:rsidRPr="005E58C6">
        <w:rPr>
          <w:rFonts w:ascii="Times New Roman" w:hAnsi="Times New Roman" w:cs="Times New Roman"/>
          <w:sz w:val="28"/>
          <w:szCs w:val="28"/>
        </w:rPr>
        <w:t xml:space="preserve">, который предусматривает дооснащение детских поликлиник медицинскими изделиями, созданию в них организационно-планировочных решений внутренних пространств, обеспечивающих комфортность пребывания детей и родителей, включая организацию крытой колясочной, отдельного входа для больных детей, открытой регистратуры с инфоматом, электронного табло с расписанием приема врачей, колл-центра, игровой зоны, комнаты для кормления грудных детей и детей раннего возраста, кабинета неотложной помощи детям, системы навигации, оснащение входа автоматическими дверями, обеспечивая при этом повышение удовлетворенности населения медицинской помощью.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Реализация федерального проекта направлена на развитие профилактического направления педиатрической службы и внедрение стационарозамещающих технологий в амбулаторных условиях.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Строительство/реконструкция краевых, областных, республиканских детских больниц (корпусов) расширит возможности оказания специализированной, в том числе высокотехнологичной, медицинской помощи детям,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Одним из направлений федерального проекта является оказание медицинской помощи женщинам в период беременности, родов и в </w:t>
      </w:r>
      <w:r w:rsidRPr="005E58C6">
        <w:rPr>
          <w:rFonts w:ascii="Times New Roman" w:hAnsi="Times New Roman" w:cs="Times New Roman"/>
          <w:sz w:val="28"/>
          <w:szCs w:val="28"/>
        </w:rPr>
        <w:lastRenderedPageBreak/>
        <w:t xml:space="preserve">послеродовой период, в том числе за счет средств родовых сертификатов, а также обучение специалистов в области перинатологии, неонатологии и педиатрии в симуляционных центрах, что позволит улучшить качество оказания медицинской помощи женщинам и детям.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реализации приоритетного проекта «Обеспечение здравоохранения квалифицированными специалистами» («Новые кадры современного здравоохранения») осуществлялось внедрение системы непрерывного медицинского образования и принципиально новой системы оценки квалификации и допуска к профессиональной деятельности</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аккредитации специалистов, основанной на независимой оценке профессиональным сообществом уровня подготовки специалистов.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Результатом реализации данного проекта является увеличение: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доли специалистов, допущенных к профессиональной деятельности через процедуру аккредитации до 13,5</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(плановое значение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12,3</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доли врачей, получающих непрерывное дополнительное профессиональное образование с использованием интерактивных образовательных модулей до  40,3</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(плановое значение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40</w:t>
      </w:r>
      <w:r w:rsidR="00000709">
        <w:rPr>
          <w:rFonts w:ascii="Times New Roman" w:hAnsi="Times New Roman" w:cs="Times New Roman"/>
          <w:sz w:val="28"/>
          <w:szCs w:val="28"/>
        </w:rPr>
        <w:t> %</w:t>
      </w:r>
      <w:r w:rsidRPr="005E58C6">
        <w:rPr>
          <w:rFonts w:ascii="Times New Roman" w:hAnsi="Times New Roman" w:cs="Times New Roman"/>
          <w:sz w:val="28"/>
          <w:szCs w:val="28"/>
        </w:rPr>
        <w:t>);</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численности врачей участковой службы (укомплектование должностей врачей участковой службы (врачей-терапевтов участковых, врачей-педиатров участковых, врачей общей практики (семейных врачей)  до  89</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(плановое значение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89</w:t>
      </w:r>
      <w:r w:rsidR="00000709">
        <w:rPr>
          <w:rFonts w:ascii="Times New Roman" w:hAnsi="Times New Roman" w:cs="Times New Roman"/>
          <w:sz w:val="28"/>
          <w:szCs w:val="28"/>
        </w:rPr>
        <w:t> %</w:t>
      </w:r>
      <w:r w:rsidRPr="005E58C6">
        <w:rPr>
          <w:rFonts w:ascii="Times New Roman" w:hAnsi="Times New Roman" w:cs="Times New Roman"/>
          <w:sz w:val="28"/>
          <w:szCs w:val="28"/>
        </w:rPr>
        <w:t>), а также разработано 2 100 интерактивных образовательных модулей; актуализировано 58 образовательных стандартов подготовки медицинских кадров высшей квалификации по программам ординатуры с учетом требований профессиональных стандартов (плановое значение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Дальнейшая реализация проекта продолжится в рамках </w:t>
      </w:r>
      <w:r w:rsidRPr="00EB4018">
        <w:rPr>
          <w:rFonts w:ascii="Times New Roman" w:hAnsi="Times New Roman" w:cs="Times New Roman"/>
          <w:b/>
          <w:sz w:val="28"/>
          <w:szCs w:val="28"/>
        </w:rPr>
        <w:t>федерального проекта «Обеспечение медицинских организаций системы здравоохранения квалифицированными кадрами»</w:t>
      </w:r>
      <w:r w:rsidRPr="005E58C6">
        <w:rPr>
          <w:rFonts w:ascii="Times New Roman" w:hAnsi="Times New Roman" w:cs="Times New Roman"/>
          <w:sz w:val="28"/>
          <w:szCs w:val="28"/>
        </w:rPr>
        <w:t xml:space="preserve">, который направлен на устранение кадрового дефицита медицинских работников, оказывающих первичную медико-санитарную помощь, а также обеспечение необходимыми специалистами кардиологической, онкологической и педиатрической служб.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Планируется увеличить численность врачей в 2024 году по сравнению с 2017 годом, на 9,0</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598 тыс. специалистов, а медицинских работников со средним медицинским образованием</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соответственно, на 9,4</w:t>
      </w:r>
      <w:r w:rsidR="00000709">
        <w:rPr>
          <w:rFonts w:ascii="Times New Roman" w:hAnsi="Times New Roman" w:cs="Times New Roman"/>
          <w:sz w:val="28"/>
          <w:szCs w:val="28"/>
        </w:rPr>
        <w:t> %</w:t>
      </w:r>
      <w:r w:rsidRPr="005E58C6">
        <w:rPr>
          <w:rFonts w:ascii="Times New Roman" w:hAnsi="Times New Roman" w:cs="Times New Roman"/>
          <w:sz w:val="28"/>
          <w:szCs w:val="28"/>
        </w:rPr>
        <w:t xml:space="preserve"> до                      1,4  млн специалистов.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Будут реализованы следующие мероприятия: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дополнительная подготовка специалистов (увеличения числа обучающихся по программам ординатуры и программам среднего профессионального образования, профессиональной переподготовки);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совершенствование механизмов закрепления специалистов в отрасли здравоохранения (повышения эффективности трудоустройства выпускников, в том числе подготовленных в рамках целевого обучения);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расширение системы непрерывного профессионального образования врачей и медицинских работников со средним медицинским образованием с использованием дистанционных образовательных технологий (к 2024 году</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около 1,9 млн человек);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полное внедрение процедуры аккредитации, которую пройдут к 2024  году более 2,0 млн специалистов.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реализации приоритетного проекта «Совершенствование процессов организации медицинской помощи на основе внедрения информационных технологий» («Электронное здравоохранение») изданы нормативные правовые акты, закрепляющие правовые основы функционирования единой государственной информационной системы в сфере здравоохранения, порядок ее взаимодействия с иными информационными  системами, предназначенными для сбора, хранения, обработки и предоставления информации, касающейся деятельности медицинских организаций и предоставляемых ими услуг, а также предусматривающие возможность использования унифицированных форм медицинской документации в форме электронных документов.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более 4 тыс. медицинских организаций (обособленных структурных подразделений) субъектов Российской Федерации внедрили медицинские информационные системы; более 15 тыс. медицинских организаций  используют информационные системы при оказании медицинской помощи, ведут электронные медицинские карты; более 70 тыс. автоматизированных рабочих мест медицинских работников подключено к медицинским информационным системам  (их общее количество составляет более 600 тысяч). В Личном кабинете пациента «Мое здоровье» на Едином портале государственных и муниципальных услуг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ЕПГУ) реализовано 10 услуг (сервисов) в сфере охраны здоровья. Число пользователей услугами и сервисами Личного кабинета пациента на ЕПГУ в 2018  году составило 4,2 млн  человек. В целях создания информационно-</w:t>
      </w:r>
      <w:r w:rsidRPr="005E58C6">
        <w:rPr>
          <w:rFonts w:ascii="Times New Roman" w:hAnsi="Times New Roman" w:cs="Times New Roman"/>
          <w:sz w:val="28"/>
          <w:szCs w:val="28"/>
        </w:rPr>
        <w:lastRenderedPageBreak/>
        <w:t>телекоммуникационной инфраструктуры за счет средств федерального бюджета в 2018 году обеспечены возможностью доступа к сети «Интернет»    5 819 медицинских организаций государственной и муниципальной систем здравоохранения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Федеральной телемедицинской системе Минздрава России реализовано информационное взаимодействие ведущих национальных медицинских исследовательских центров Минздрава России               с головными медицинскими организациями субъектов Российской Федерации, подключено более 700 медицинских организаций, проведено                     3 539 телемедицинских консультаций.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Дальнейшая реализация проекта продолжится в рамках </w:t>
      </w:r>
      <w:r w:rsidRPr="00A01911">
        <w:rPr>
          <w:rFonts w:ascii="Times New Roman" w:hAnsi="Times New Roman" w:cs="Times New Roman"/>
          <w:b/>
          <w:sz w:val="28"/>
          <w:szCs w:val="28"/>
        </w:rPr>
        <w:t>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5E58C6">
        <w:rPr>
          <w:rFonts w:ascii="Times New Roman" w:hAnsi="Times New Roman" w:cs="Times New Roman"/>
          <w:sz w:val="28"/>
          <w:szCs w:val="28"/>
        </w:rPr>
        <w:t>, который включает реализацию мер, направленных 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внедрение и развитие медицинских информационных систем во всех медицинских организациях;</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создание электронного медицинского документооборота между всеми медицинскими организациями, органами управления здравоохранением.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 2022 году в 85 субъектах Российской Федерации будет завершено внедрение государственных информационных систем в сфере здравоохранения, соответствующих установленным требованиям, и подключение к ним всех медицинских организаций регионов.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Будут созданы централизованные сервисы, которые обеспечат преемственность медицинской помощи, маршрутизацию пациентов и мониторинг оказания медицинской помощи по отдельным профилям заболеваний, а также организацию телемедицинских консультаций.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Подключение к ЕГИСЗ медицинских информационных систем медицинских организаций и государственных информационных систем в сфере здравоохранения субъектов Российской Федерации обеспечит для граждан услуги (сервисы) в личном кабинете пациента «Мое здоровье».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002C04">
        <w:rPr>
          <w:rFonts w:ascii="Times New Roman" w:hAnsi="Times New Roman" w:cs="Times New Roman"/>
          <w:b/>
          <w:sz w:val="28"/>
          <w:szCs w:val="28"/>
        </w:rPr>
        <w:t>Федер</w:t>
      </w:r>
      <w:r w:rsidR="007A5972">
        <w:rPr>
          <w:rFonts w:ascii="Times New Roman" w:hAnsi="Times New Roman" w:cs="Times New Roman"/>
          <w:b/>
          <w:sz w:val="28"/>
          <w:szCs w:val="28"/>
        </w:rPr>
        <w:t>альный проект «Развитие сети н</w:t>
      </w:r>
      <w:r w:rsidRPr="00002C04">
        <w:rPr>
          <w:rFonts w:ascii="Times New Roman" w:hAnsi="Times New Roman" w:cs="Times New Roman"/>
          <w:b/>
          <w:sz w:val="28"/>
          <w:szCs w:val="28"/>
        </w:rPr>
        <w:t>ациональных медицинских исследовательских центров, внедрение инновационных медицинских технологий»</w:t>
      </w:r>
      <w:r w:rsidRPr="005E58C6">
        <w:rPr>
          <w:rFonts w:ascii="Times New Roman" w:hAnsi="Times New Roman" w:cs="Times New Roman"/>
          <w:sz w:val="28"/>
          <w:szCs w:val="28"/>
        </w:rPr>
        <w:t xml:space="preserve"> включает завершение формирования сети национальных медицинских исследовательских центров и внедрение инновационных </w:t>
      </w:r>
      <w:r w:rsidRPr="005E58C6">
        <w:rPr>
          <w:rFonts w:ascii="Times New Roman" w:hAnsi="Times New Roman" w:cs="Times New Roman"/>
          <w:sz w:val="28"/>
          <w:szCs w:val="28"/>
        </w:rPr>
        <w:lastRenderedPageBreak/>
        <w:t>медицинских технологий, включая формирование системы ранней диагностики и дистанционного мониторинга состояния здоровья пациентов и клинических рекомендаций.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Будут реализованы следующие мероприятия: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методическое руководство региональными медицинскими организациями третьего уровня для повышения эффективности и качества оказания медицинской помощи (к 2024 году во всех 750 региональных медицинских организациях третьего уровня);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дополнительная подготовка и профессиональная переподготовка медицинских кадров;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тиражирование современных методов диагностики и лечения в практическое здравоохранение.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E40B90">
        <w:rPr>
          <w:rFonts w:ascii="Times New Roman" w:hAnsi="Times New Roman" w:cs="Times New Roman"/>
          <w:b/>
          <w:sz w:val="28"/>
          <w:szCs w:val="28"/>
        </w:rPr>
        <w:t>Федеральный проект «Развитие экспорта медицинских услуг»</w:t>
      </w:r>
      <w:r w:rsidRPr="005E58C6">
        <w:rPr>
          <w:rFonts w:ascii="Times New Roman" w:hAnsi="Times New Roman" w:cs="Times New Roman"/>
          <w:sz w:val="28"/>
          <w:szCs w:val="28"/>
        </w:rPr>
        <w:t xml:space="preserve"> направлен на создание и развитие на территории Российской Федерации механизмов и условий, обеспечивающих рост экспорта медицинских услуг, и тем самым создание дополнительных источников финансирования системы здравоохранения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рамках реализации проекта предусматриваются:</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разработка и внедрение программы коммуникационных мероприятий по повышению уровня информированности иностранных граждан о медицинских услугах, оказываемых на территории Российской Федерации;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оказание медицинских услуг иностранным гражданам медицинскими организациями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привлечение компетенций и инвестиций в отрасль здравоохранения Российской Федерации.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71 субъект Российской Федерации представил в Минздрав России паспорт регионального проекта «Развитие экспорта медицинских услуг»,              в 14 регионах отсутствуют возможности его реализации (г. Севастополь, республики Крым, Ингушетия, Кабардино-Балкария, Карачаево-Черкессия, Хакасия, Калмыкия, Удмуртия, Чечня, Ненецкий автономный округ, Сахалинская и Магаданская области, Забайкальский край, Еврейская автономная область).</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DD0DA3">
        <w:rPr>
          <w:rFonts w:ascii="Times New Roman" w:hAnsi="Times New Roman" w:cs="Times New Roman"/>
          <w:b/>
          <w:sz w:val="28"/>
          <w:szCs w:val="28"/>
        </w:rPr>
        <w:t>Минздрав России принимает участие в реализации национального проекта «Демография», включающего федеральный проект «Укрепление общественного здоровья»,</w:t>
      </w:r>
      <w:r w:rsidRPr="005E58C6">
        <w:rPr>
          <w:rFonts w:ascii="Times New Roman" w:hAnsi="Times New Roman" w:cs="Times New Roman"/>
          <w:sz w:val="28"/>
          <w:szCs w:val="28"/>
        </w:rPr>
        <w:t xml:space="preserve"> в котором будут продолжены </w:t>
      </w:r>
      <w:r w:rsidRPr="005E58C6">
        <w:rPr>
          <w:rFonts w:ascii="Times New Roman" w:hAnsi="Times New Roman" w:cs="Times New Roman"/>
          <w:sz w:val="28"/>
          <w:szCs w:val="28"/>
        </w:rPr>
        <w:lastRenderedPageBreak/>
        <w:t>мероприятия приоритетного проекта «Формирование здорового образа жизни», направленные на увеличение ожидаемой продолжительности здоровой жизни, доли граждан, ведущих здоровый образ жизни, доли граждан, систематически занимающихся физической культурой и спортом, формирование системы мотивации граждан к здоровому образу жизни, включая здоровое питание и отказ от вредных привычек.</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Реализация федерального проекта направлена на: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совершенствование функционала центров медицинской профилактики и центров здоровья, формирование на их основе региональных и муниципальных центров по общественному здоровью;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проведение широкомасштабной коммуникационной кампании, в рамках которой за 6 лет будет обеспечено не менее 32,5 миллионов демонстраций (передач) 30 уникальных рекламно-информационных материалов по телевидению, радио и в сети Интернет в целях повышения  обращаемости в медицинские организации по вопросам здорового образа жизни в 1,8 раза с 1,67 млн человек до почти 3 млн  человек в 2024 году.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Кроме того, </w:t>
      </w:r>
      <w:r w:rsidRPr="00D83D72">
        <w:rPr>
          <w:rFonts w:ascii="Times New Roman" w:hAnsi="Times New Roman" w:cs="Times New Roman"/>
          <w:sz w:val="28"/>
          <w:szCs w:val="28"/>
        </w:rPr>
        <w:t>Минздрав России участвует в  реализации</w:t>
      </w:r>
      <w:r w:rsidRPr="0059566B">
        <w:rPr>
          <w:rFonts w:ascii="Times New Roman" w:hAnsi="Times New Roman" w:cs="Times New Roman"/>
          <w:b/>
          <w:sz w:val="28"/>
          <w:szCs w:val="28"/>
        </w:rPr>
        <w:t xml:space="preserve"> федерального проекта «Разработка и реализация программы системной поддержки и повышения качества жизни граждан старшего поколения» («Старшее поколение»)</w:t>
      </w:r>
      <w:r w:rsidRPr="005E58C6">
        <w:rPr>
          <w:rFonts w:ascii="Times New Roman" w:hAnsi="Times New Roman" w:cs="Times New Roman"/>
          <w:sz w:val="28"/>
          <w:szCs w:val="28"/>
        </w:rPr>
        <w:t xml:space="preserve"> в части совершенствования медицинской помощи гражданам старшего поколения.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 ходе реализации данного проекта планируется, в том числе: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охватить к концу 2024 года профилактическими осмотрами, включая диспансеризацию, не менее 70 процентов лиц старше трудоспособного возраста и диспансерным наблюдением не менее 90 процентов лиц старше трудоспособного возраста, у которых выявлены заболевания и патологические состояния;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создать во всех субъектах Российской Федерации региональные гериатрические центры и геронтологические отделений, в которых медицинскую помощь получат не менее 160,0 тыс. граждан старше трудоспособного возраста в 2024 году;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разработать и внедрить в практику клинические рекомендации по ведению 6 наиболее распространенных заболеваний, связанных с возрастом к 2020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провести дополнительный скрининг лиц старше 65 лет, проживающих </w:t>
      </w:r>
      <w:r w:rsidRPr="005E58C6">
        <w:rPr>
          <w:rFonts w:ascii="Times New Roman" w:hAnsi="Times New Roman" w:cs="Times New Roman"/>
          <w:sz w:val="28"/>
          <w:szCs w:val="28"/>
        </w:rPr>
        <w:lastRenderedPageBreak/>
        <w:t>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начался второй этап добровольного эксперимента по маркировке контрольными (идентификационными) знаками и мониторингу за оборотом отдельных видов лекарственных препаратов для медицинского применения в рамках приоритетного проекта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система мониторинга).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С 1 января 2018 г. вступил в силу Федеральный закон от 28 декабря 2017 г. </w:t>
      </w:r>
      <w:r>
        <w:rPr>
          <w:rFonts w:ascii="Times New Roman" w:hAnsi="Times New Roman" w:cs="Times New Roman"/>
          <w:sz w:val="28"/>
          <w:szCs w:val="28"/>
        </w:rPr>
        <w:t>№ </w:t>
      </w:r>
      <w:r w:rsidRPr="005E58C6">
        <w:rPr>
          <w:rFonts w:ascii="Times New Roman" w:hAnsi="Times New Roman" w:cs="Times New Roman"/>
          <w:sz w:val="28"/>
          <w:szCs w:val="28"/>
        </w:rPr>
        <w:t>425-ФЗ «О внесении изменений в Федеральный закон «Об обращении лекарственных средств», предусматривающий введение обязательной маркировки средствами идентификации всех лекарственных препаратов, выпускаемых в обращение, с 1 января 2020 года.</w:t>
      </w:r>
    </w:p>
    <w:p w:rsidR="005E58C6" w:rsidRPr="002E2828" w:rsidRDefault="005E58C6" w:rsidP="002E2828">
      <w:pPr>
        <w:widowControl w:val="0"/>
        <w:spacing w:after="0" w:line="312" w:lineRule="auto"/>
        <w:ind w:firstLine="709"/>
        <w:jc w:val="both"/>
        <w:rPr>
          <w:rFonts w:ascii="Times New Roman" w:hAnsi="Times New Roman" w:cs="Times New Roman"/>
          <w:sz w:val="28"/>
          <w:szCs w:val="28"/>
          <w:lang w:val="en-US"/>
        </w:rPr>
      </w:pPr>
      <w:r w:rsidRPr="005E58C6">
        <w:rPr>
          <w:rFonts w:ascii="Times New Roman" w:hAnsi="Times New Roman" w:cs="Times New Roman"/>
          <w:sz w:val="28"/>
          <w:szCs w:val="28"/>
        </w:rPr>
        <w:t xml:space="preserve">Распоряжением  Правительства  Российской Федерации от 28 апреля 2018 г. </w:t>
      </w:r>
      <w:r>
        <w:rPr>
          <w:rFonts w:ascii="Times New Roman" w:hAnsi="Times New Roman" w:cs="Times New Roman"/>
          <w:sz w:val="28"/>
          <w:szCs w:val="28"/>
        </w:rPr>
        <w:t>№ </w:t>
      </w:r>
      <w:r w:rsidRPr="005E58C6">
        <w:rPr>
          <w:rFonts w:ascii="Times New Roman" w:hAnsi="Times New Roman" w:cs="Times New Roman"/>
          <w:sz w:val="28"/>
          <w:szCs w:val="28"/>
        </w:rPr>
        <w:t xml:space="preserve">791-р утверждена Модель функционирования системы маркировки товаров средствами идентификации, в том числе  криптозащита кода маркировки  и централизованное формирование кода маркировки оператором системы.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Система мониторинга движения лекарственных препаратов для медицинского применения продемонстрировала объективную возможность противодействия незаконному производству, незаконному ввозу и незаконному обороту лекарственных препаратов на территории Российской Федерации.</w:t>
      </w:r>
    </w:p>
    <w:p w:rsidR="005E58C6" w:rsidRPr="000F4F72" w:rsidRDefault="009C1556" w:rsidP="009C1556">
      <w:pPr>
        <w:widowControl w:val="0"/>
        <w:spacing w:after="0" w:line="312" w:lineRule="auto"/>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005E58C6" w:rsidRPr="000F4F72">
        <w:rPr>
          <w:rFonts w:ascii="Times New Roman" w:hAnsi="Times New Roman" w:cs="Times New Roman"/>
          <w:b/>
          <w:sz w:val="28"/>
          <w:szCs w:val="28"/>
        </w:rPr>
        <w:t>Развитие государственно-частного партнерства</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Министерство здравоохранения Российской Федерации в рамках реализации плана мероприятий («дорожной карты») «Поддержка доступа негосударственных организаций к представлению услуг в социальной сфере», осуществляет деятельность по развитию и внедрению механизмов государственно-частного партнерства (далее</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ГЧП) в здравоохранение страны.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lastRenderedPageBreak/>
        <w:t>Совершенствование организационных, правовых и экономических условий для практического использования механизмов ГЧП является приоритетной задачей создания пациентоориентированной системы здравоохранения, объединяющей все медицинские мощности страны независимо от форм собственности и ведомственной принадлежности на основе единых требований доступности, качества медицинской помощи и квалификации медицинских работников.</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Здравоохранение является лидером по количеству инициированных и реализуемых инвестиционных проектов на принципах ГЧП в социальной сфере.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По результатам мониторинга Минздрава России в 2018 году</w:t>
      </w:r>
      <w:r w:rsidR="007A5972">
        <w:rPr>
          <w:rFonts w:ascii="Times New Roman" w:hAnsi="Times New Roman" w:cs="Times New Roman"/>
          <w:sz w:val="28"/>
          <w:szCs w:val="28"/>
        </w:rPr>
        <w:t>,</w:t>
      </w:r>
      <w:r w:rsidRPr="005E58C6">
        <w:rPr>
          <w:rFonts w:ascii="Times New Roman" w:hAnsi="Times New Roman" w:cs="Times New Roman"/>
          <w:sz w:val="28"/>
          <w:szCs w:val="28"/>
        </w:rPr>
        <w:t xml:space="preserve"> на различных этапах, от инициирования до эксплуатации, находилось 178 инфраструктурных проектов на принципах ГЧП, предусматривающих создание, (реконструкцию, капитальный ремонт) и последующую эксплуатацию объектов здравоохранения (из них 67 проектов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стадии эксплуатации, 52</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инвестиционной стадии, 59</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на прединвестиционной стадии).</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2018 году в сфере здравоохранения были заключены концессионные соглашения и соглашения о ГЧП, в том числе:</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концессионное соглашение от 29 июня 2018 г., предусматривающее реконструкцию и эксплуатацию лабораторного комплекса по проведению лабораторных исследований на территории Волгоградской области (срок реализации проекта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 лет, общий объем инвестиций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740,85 млн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концессионное соглашение от 18 июля 2018 г., предусматривающее реконструкцию объекта для осуществления деятельности в области здравоохранения и социально-культурного назначения в г. Череповце, Вологодской области (срок реализации проекта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49 лет, общий объем инвестиций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25  млн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концессионное соглашение от 13 июля 2018 г. по созданию и эксплуатации здания радиологического корпуса Восточно-Сибирского онкологического центра в г. Иркутске (срок реализации проекта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15  лет, общий объем инвестиций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5 194, 698 млн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концессионное соглашение от 13 февраля 2018 г. по созданию и эксплуатации объекта здравоохранения для осуществления судебно-медицинской экспертизы в г.о. Тольятти Самарской области (срок </w:t>
      </w:r>
      <w:r w:rsidRPr="005E58C6">
        <w:rPr>
          <w:rFonts w:ascii="Times New Roman" w:hAnsi="Times New Roman" w:cs="Times New Roman"/>
          <w:sz w:val="28"/>
          <w:szCs w:val="28"/>
        </w:rPr>
        <w:lastRenderedPageBreak/>
        <w:t>реализации проекта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  лет, общий объем инвестиций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230 млн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концессионное соглашение от 14 сентября 2018 г. в отношении создания и эксплуатации межмуниципального комплекса по обработке и захоронению твердых коммунальных отходов</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экотехнопарк Лысьвенского городского округа Пермского края (срок реализации проекта</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30 лет, общий объем инвестиций</w:t>
      </w:r>
      <w:r w:rsidR="00051685">
        <w:rPr>
          <w:rFonts w:ascii="Times New Roman" w:hAnsi="Times New Roman" w:cs="Times New Roman"/>
          <w:sz w:val="28"/>
          <w:szCs w:val="28"/>
        </w:rPr>
        <w:t xml:space="preserve"> – </w:t>
      </w:r>
      <w:r w:rsidRPr="005E58C6">
        <w:rPr>
          <w:rFonts w:ascii="Times New Roman" w:hAnsi="Times New Roman" w:cs="Times New Roman"/>
          <w:sz w:val="28"/>
          <w:szCs w:val="28"/>
        </w:rPr>
        <w:t>426 млн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На различных этапах подготовки и реализации в Минздраве России и подведомственных Минздраву России учреждениях находятся более 20  инвестиционных проектов с использованием различных механизмов привлечения внебюджетных инвестиций с планируемым объемом инвестиций более 10 млрд рублей.</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 целях создания благоприятного климата для развития государственно-частного партнерства в сфере охраны здоровья в 2018 году приняты:</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Федеральный закон от 3 апреля 2018 г. </w:t>
      </w:r>
      <w:r>
        <w:rPr>
          <w:rFonts w:ascii="Times New Roman" w:hAnsi="Times New Roman" w:cs="Times New Roman"/>
          <w:sz w:val="28"/>
          <w:szCs w:val="28"/>
        </w:rPr>
        <w:t>№ </w:t>
      </w:r>
      <w:r w:rsidRPr="005E58C6">
        <w:rPr>
          <w:rFonts w:ascii="Times New Roman" w:hAnsi="Times New Roman" w:cs="Times New Roman"/>
          <w:sz w:val="28"/>
          <w:szCs w:val="28"/>
        </w:rPr>
        <w:t xml:space="preserve">63-ФЗ «О внесении изменений в статьи 5 и 8 Федерального закона «О концессионных соглашениях», разработанный Минздравом России, в соответствии с которым </w:t>
      </w:r>
      <w:r w:rsidR="007A5972">
        <w:rPr>
          <w:rFonts w:ascii="Times New Roman" w:hAnsi="Times New Roman" w:cs="Times New Roman"/>
          <w:sz w:val="28"/>
          <w:szCs w:val="28"/>
        </w:rPr>
        <w:t>федеральным государственным бюджетным учреждениям</w:t>
      </w:r>
      <w:r w:rsidRPr="005E58C6">
        <w:rPr>
          <w:rFonts w:ascii="Times New Roman" w:hAnsi="Times New Roman" w:cs="Times New Roman"/>
          <w:sz w:val="28"/>
          <w:szCs w:val="28"/>
        </w:rPr>
        <w:t>, которым принадлежат на праве оперативного управления объекты здравоохранения, предоставляется право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по контролю за исполнением концессионером обязательств по концессионному соглашению;</w:t>
      </w:r>
    </w:p>
    <w:p w:rsidR="005E58C6" w:rsidRPr="005E58C6" w:rsidRDefault="005E58C6" w:rsidP="003B1C62">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постановление Правительства Российской Федерации от 16 марта </w:t>
      </w:r>
      <w:r w:rsidR="003B1C62">
        <w:rPr>
          <w:rFonts w:ascii="Times New Roman" w:hAnsi="Times New Roman" w:cs="Times New Roman"/>
          <w:sz w:val="28"/>
          <w:szCs w:val="28"/>
        </w:rPr>
        <w:t>2018 </w:t>
      </w:r>
      <w:r w:rsidRPr="005E58C6">
        <w:rPr>
          <w:rFonts w:ascii="Times New Roman" w:hAnsi="Times New Roman" w:cs="Times New Roman"/>
          <w:sz w:val="28"/>
          <w:szCs w:val="28"/>
        </w:rPr>
        <w:t xml:space="preserve">г. </w:t>
      </w:r>
      <w:r>
        <w:rPr>
          <w:rFonts w:ascii="Times New Roman" w:hAnsi="Times New Roman" w:cs="Times New Roman"/>
          <w:sz w:val="28"/>
          <w:szCs w:val="28"/>
        </w:rPr>
        <w:t>№ </w:t>
      </w:r>
      <w:r w:rsidRPr="005E58C6">
        <w:rPr>
          <w:rFonts w:ascii="Times New Roman" w:hAnsi="Times New Roman" w:cs="Times New Roman"/>
          <w:sz w:val="28"/>
          <w:szCs w:val="28"/>
        </w:rPr>
        <w:t xml:space="preserve">287 «О внесении изменения в Положение о Министерстве здравоохранения Российской Федерации» в части наделения Минздрава России правом рассматривать предложения о заключении концессионных соглашений в отношении объектов здравоохранения, в том числе объектов, предназначенных для санаторно-курортного лечения, а также проведения переговоров с инициатором заключения такого концессионного соглашения.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 xml:space="preserve">Во исполнение Плана действий по ускорению темпов роста инвестиций в основной капитал и повышению до 25 процентов их доли в валовом внутреннем продукте, одобренном на заседании Правительства Российской Федерации 12 июля 2018 г. (протокол </w:t>
      </w:r>
      <w:r>
        <w:rPr>
          <w:rFonts w:ascii="Times New Roman" w:hAnsi="Times New Roman" w:cs="Times New Roman"/>
          <w:sz w:val="28"/>
          <w:szCs w:val="28"/>
        </w:rPr>
        <w:t>№ </w:t>
      </w:r>
      <w:r w:rsidR="007A5972">
        <w:rPr>
          <w:rFonts w:ascii="Times New Roman" w:hAnsi="Times New Roman" w:cs="Times New Roman"/>
          <w:sz w:val="28"/>
          <w:szCs w:val="28"/>
        </w:rPr>
        <w:t>20, раздел I), и п</w:t>
      </w:r>
      <w:r w:rsidRPr="005E58C6">
        <w:rPr>
          <w:rFonts w:ascii="Times New Roman" w:hAnsi="Times New Roman" w:cs="Times New Roman"/>
          <w:sz w:val="28"/>
          <w:szCs w:val="28"/>
        </w:rPr>
        <w:t xml:space="preserve">лана мероприятий </w:t>
      </w:r>
      <w:r w:rsidRPr="005E58C6">
        <w:rPr>
          <w:rFonts w:ascii="Times New Roman" w:hAnsi="Times New Roman" w:cs="Times New Roman"/>
          <w:sz w:val="28"/>
          <w:szCs w:val="28"/>
        </w:rPr>
        <w:lastRenderedPageBreak/>
        <w:t>(«дорожной карты») по развитию инструментария ГЧП</w:t>
      </w:r>
      <w:r w:rsidR="007A5972">
        <w:rPr>
          <w:rFonts w:ascii="Times New Roman" w:hAnsi="Times New Roman" w:cs="Times New Roman"/>
          <w:sz w:val="28"/>
          <w:szCs w:val="28"/>
        </w:rPr>
        <w:t xml:space="preserve"> </w:t>
      </w:r>
      <w:r w:rsidRPr="005E58C6">
        <w:rPr>
          <w:rFonts w:ascii="Times New Roman" w:hAnsi="Times New Roman" w:cs="Times New Roman"/>
          <w:sz w:val="28"/>
          <w:szCs w:val="28"/>
        </w:rPr>
        <w:t xml:space="preserve"> Минздравом России подготовлены и представлены предложения в разрабатываемый Минэкономразвития России законопроект, направленный на совершенствование регулирования в сфере ГЧП и концессий при реализации долгосрочных инфраструктурных проектов, а также предложения по актуализации Рекомендаций по реализации проектов государственно-частного партнерства. </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Также в 2018 году Минздравом России была продолжена работа по тиражированию успешных практик в сфере ГЧП.</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r w:rsidRPr="005E58C6">
        <w:rPr>
          <w:rFonts w:ascii="Times New Roman" w:hAnsi="Times New Roman" w:cs="Times New Roman"/>
          <w:sz w:val="28"/>
          <w:szCs w:val="28"/>
        </w:rPr>
        <w:t>Впервые победители проводимого Минздравом России ежегодного Всероссийского конкурса «Лучший проект государственно-частного взаимодействия в здравоохранении» по итогам 2018 года были награждены на площадке Российского инвестиционного форума в г. Сочи в 2019 году.</w:t>
      </w:r>
    </w:p>
    <w:p w:rsidR="005E58C6" w:rsidRPr="005E58C6" w:rsidRDefault="005E58C6" w:rsidP="005E58C6">
      <w:pPr>
        <w:widowControl w:val="0"/>
        <w:spacing w:after="0" w:line="312" w:lineRule="auto"/>
        <w:ind w:firstLine="709"/>
        <w:jc w:val="both"/>
        <w:rPr>
          <w:rFonts w:ascii="Times New Roman" w:hAnsi="Times New Roman" w:cs="Times New Roman"/>
          <w:sz w:val="28"/>
          <w:szCs w:val="28"/>
        </w:rPr>
      </w:pPr>
    </w:p>
    <w:p w:rsidR="005E58C6" w:rsidRPr="000A7B50" w:rsidRDefault="005E58C6"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Default="000A7B50" w:rsidP="005E58C6">
      <w:pPr>
        <w:widowControl w:val="0"/>
        <w:spacing w:after="0" w:line="312" w:lineRule="auto"/>
        <w:ind w:firstLine="709"/>
        <w:jc w:val="both"/>
        <w:rPr>
          <w:rFonts w:ascii="Times New Roman" w:hAnsi="Times New Roman" w:cs="Times New Roman"/>
          <w:sz w:val="28"/>
          <w:szCs w:val="28"/>
        </w:rPr>
      </w:pPr>
    </w:p>
    <w:p w:rsidR="000A7B50" w:rsidRPr="000A7B50"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Default="000A7B50" w:rsidP="005E58C6">
      <w:pPr>
        <w:widowControl w:val="0"/>
        <w:spacing w:after="0" w:line="312" w:lineRule="auto"/>
        <w:ind w:firstLine="709"/>
        <w:jc w:val="both"/>
        <w:rPr>
          <w:rFonts w:ascii="Times New Roman" w:hAnsi="Times New Roman" w:cs="Times New Roman"/>
          <w:sz w:val="28"/>
          <w:szCs w:val="28"/>
          <w:lang w:val="en-US"/>
        </w:rPr>
      </w:pPr>
    </w:p>
    <w:p w:rsid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9C1556" w:rsidRPr="009C1556" w:rsidRDefault="009C1556" w:rsidP="005E58C6">
      <w:pPr>
        <w:widowControl w:val="0"/>
        <w:spacing w:after="0" w:line="312" w:lineRule="auto"/>
        <w:ind w:firstLine="709"/>
        <w:jc w:val="both"/>
        <w:rPr>
          <w:rFonts w:ascii="Times New Roman" w:hAnsi="Times New Roman" w:cs="Times New Roman"/>
          <w:sz w:val="28"/>
          <w:szCs w:val="28"/>
          <w:lang w:val="en-US"/>
        </w:rPr>
      </w:pPr>
    </w:p>
    <w:p w:rsidR="000A7B50" w:rsidRPr="001A540C" w:rsidRDefault="000A7B50" w:rsidP="005E58C6">
      <w:pPr>
        <w:widowControl w:val="0"/>
        <w:spacing w:after="0" w:line="312" w:lineRule="auto"/>
        <w:ind w:firstLine="709"/>
        <w:jc w:val="both"/>
        <w:rPr>
          <w:rFonts w:ascii="Times New Roman" w:hAnsi="Times New Roman" w:cs="Times New Roman"/>
          <w:sz w:val="28"/>
          <w:szCs w:val="28"/>
        </w:rPr>
      </w:pPr>
    </w:p>
    <w:p w:rsidR="000A7B50" w:rsidRDefault="000A7B50" w:rsidP="000A7B50">
      <w:pPr>
        <w:widowControl w:val="0"/>
        <w:spacing w:after="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A7B50">
        <w:rPr>
          <w:rFonts w:ascii="Times New Roman" w:hAnsi="Times New Roman" w:cs="Times New Roman"/>
          <w:b/>
          <w:sz w:val="28"/>
          <w:szCs w:val="28"/>
        </w:rPr>
        <w:t>ЗАКЛЮЧЕНИЕ</w:t>
      </w:r>
    </w:p>
    <w:p w:rsidR="000A7B50" w:rsidRPr="00FD7515" w:rsidRDefault="000A7B50" w:rsidP="000A7B50">
      <w:pPr>
        <w:spacing w:after="0" w:line="312" w:lineRule="auto"/>
        <w:ind w:firstLine="709"/>
        <w:jc w:val="both"/>
        <w:rPr>
          <w:rFonts w:ascii="Times New Roman" w:hAnsi="Times New Roman"/>
          <w:sz w:val="28"/>
          <w:szCs w:val="28"/>
        </w:rPr>
      </w:pPr>
      <w:r w:rsidRPr="00FD7515">
        <w:rPr>
          <w:rFonts w:ascii="Times New Roman" w:hAnsi="Times New Roman"/>
          <w:sz w:val="28"/>
          <w:szCs w:val="28"/>
        </w:rPr>
        <w:t>В докладе содержится анализ текущей ситуации в сфере охраны здоровья, отмечены как достижения, так и существующие проблемы, отражены приоритетные направления отрасли здравоохранения.</w:t>
      </w:r>
    </w:p>
    <w:p w:rsidR="000A7B50" w:rsidRPr="00FD7515" w:rsidRDefault="000A7B50" w:rsidP="000A7B50">
      <w:pPr>
        <w:spacing w:after="0" w:line="312" w:lineRule="auto"/>
        <w:ind w:firstLine="709"/>
        <w:jc w:val="both"/>
        <w:rPr>
          <w:rFonts w:ascii="Times New Roman" w:hAnsi="Times New Roman"/>
          <w:sz w:val="28"/>
          <w:szCs w:val="28"/>
        </w:rPr>
      </w:pPr>
      <w:r w:rsidRPr="00FD7515">
        <w:rPr>
          <w:rFonts w:ascii="Times New Roman" w:hAnsi="Times New Roman"/>
          <w:sz w:val="28"/>
          <w:szCs w:val="28"/>
        </w:rPr>
        <w:t xml:space="preserve">Доклад предоставляет лицам, принимающим управленческие решения в области политики здравоохранения на всех уровнях государственного управления, и специалистам по организации здравоохранения аналитическую </w:t>
      </w:r>
      <w:r>
        <w:rPr>
          <w:rFonts w:ascii="Times New Roman" w:hAnsi="Times New Roman"/>
          <w:sz w:val="28"/>
          <w:szCs w:val="28"/>
        </w:rPr>
        <w:t xml:space="preserve"> информацию</w:t>
      </w:r>
      <w:r w:rsidRPr="00FD7515">
        <w:rPr>
          <w:rFonts w:ascii="Times New Roman" w:hAnsi="Times New Roman"/>
          <w:sz w:val="28"/>
          <w:szCs w:val="28"/>
        </w:rPr>
        <w:t>, на основании которой могут определяться стратегические цели, целевые ориентиры и приоритеты развития здравоохранения России. Использование данной информации  позволит эффективно определять потребности и разрабатывать необходимые организационные мероприятия для обеспечения соответствующего уровня общественного здоровья и совершенствования здравоохранения.</w:t>
      </w:r>
    </w:p>
    <w:p w:rsidR="000A7B50" w:rsidRPr="00FD7515" w:rsidRDefault="000A7B50" w:rsidP="000A7B50">
      <w:pPr>
        <w:spacing w:after="0" w:line="312" w:lineRule="auto"/>
        <w:ind w:firstLine="709"/>
        <w:jc w:val="both"/>
        <w:rPr>
          <w:rFonts w:ascii="Times New Roman" w:hAnsi="Times New Roman"/>
          <w:sz w:val="28"/>
          <w:szCs w:val="28"/>
        </w:rPr>
      </w:pPr>
      <w:r w:rsidRPr="00FD7515">
        <w:rPr>
          <w:rFonts w:ascii="Times New Roman" w:hAnsi="Times New Roman"/>
          <w:sz w:val="28"/>
          <w:szCs w:val="28"/>
        </w:rPr>
        <w:t>201</w:t>
      </w:r>
      <w:r>
        <w:rPr>
          <w:rFonts w:ascii="Times New Roman" w:hAnsi="Times New Roman"/>
          <w:sz w:val="28"/>
          <w:szCs w:val="28"/>
        </w:rPr>
        <w:t>8</w:t>
      </w:r>
      <w:r w:rsidRPr="00FD7515">
        <w:rPr>
          <w:rFonts w:ascii="Times New Roman" w:hAnsi="Times New Roman"/>
          <w:sz w:val="28"/>
          <w:szCs w:val="28"/>
        </w:rPr>
        <w:t xml:space="preserve"> год стал еще одним шагом в направлении улучшения здоровья россиян, увеличения продолжительности их жизни, совершенствования российского здравоохранения.</w:t>
      </w:r>
    </w:p>
    <w:p w:rsidR="000A7B50" w:rsidRDefault="000A7B50" w:rsidP="000A7B50">
      <w:pPr>
        <w:spacing w:after="0" w:line="312" w:lineRule="auto"/>
        <w:ind w:firstLine="709"/>
        <w:jc w:val="both"/>
        <w:rPr>
          <w:rFonts w:ascii="Times New Roman" w:hAnsi="Times New Roman"/>
          <w:sz w:val="28"/>
          <w:szCs w:val="28"/>
        </w:rPr>
      </w:pPr>
      <w:r w:rsidRPr="00FD7515">
        <w:rPr>
          <w:rFonts w:ascii="Times New Roman" w:hAnsi="Times New Roman"/>
          <w:sz w:val="28"/>
          <w:szCs w:val="28"/>
        </w:rPr>
        <w:t xml:space="preserve"> Сократилась смертность от </w:t>
      </w:r>
      <w:r w:rsidR="00336BD0" w:rsidRPr="00336BD0">
        <w:rPr>
          <w:rFonts w:ascii="Times New Roman" w:hAnsi="Times New Roman"/>
          <w:sz w:val="28"/>
          <w:szCs w:val="28"/>
        </w:rPr>
        <w:t xml:space="preserve"> </w:t>
      </w:r>
      <w:r w:rsidRPr="00FD7515">
        <w:rPr>
          <w:rFonts w:ascii="Times New Roman" w:hAnsi="Times New Roman"/>
          <w:sz w:val="28"/>
          <w:szCs w:val="28"/>
        </w:rPr>
        <w:t xml:space="preserve">основных причин смертности, младенческая смертность. Значительно увеличилась активная выявляемость онкологических заболеваний на ранних, излечимых стадиях. Во многом это стало возможным за счет расширения </w:t>
      </w:r>
      <w:r>
        <w:rPr>
          <w:rFonts w:ascii="Times New Roman" w:hAnsi="Times New Roman"/>
          <w:sz w:val="28"/>
          <w:szCs w:val="28"/>
        </w:rPr>
        <w:t>таких мероприятий, как   профилактика, повышение объемов</w:t>
      </w:r>
      <w:r w:rsidRPr="00FD7515">
        <w:rPr>
          <w:rFonts w:ascii="Times New Roman" w:hAnsi="Times New Roman"/>
          <w:sz w:val="28"/>
          <w:szCs w:val="28"/>
        </w:rPr>
        <w:t xml:space="preserve"> высокотехнологичной медицинской помощи и продолжения работы по формированию здорового образа жизни.</w:t>
      </w:r>
    </w:p>
    <w:p w:rsidR="000A7B50" w:rsidRDefault="000A7B50" w:rsidP="000A7B50">
      <w:pPr>
        <w:spacing w:after="0" w:line="312" w:lineRule="auto"/>
        <w:ind w:firstLine="709"/>
        <w:jc w:val="both"/>
        <w:rPr>
          <w:rFonts w:ascii="Times New Roman" w:hAnsi="Times New Roman"/>
          <w:sz w:val="28"/>
          <w:szCs w:val="28"/>
        </w:rPr>
      </w:pPr>
      <w:r w:rsidRPr="00B86B36">
        <w:rPr>
          <w:rFonts w:ascii="Times New Roman" w:hAnsi="Times New Roman"/>
          <w:sz w:val="28"/>
          <w:szCs w:val="28"/>
        </w:rPr>
        <w:t>По оценкам ВОЗ, наша страна устойчиво входит в число  мировых лидеров по эффективности мер, направленных на борьбу с неинфекционными заболеваниями.</w:t>
      </w:r>
    </w:p>
    <w:p w:rsidR="0098487C" w:rsidRDefault="0098487C" w:rsidP="000A7B50">
      <w:pPr>
        <w:spacing w:after="0" w:line="312" w:lineRule="auto"/>
        <w:ind w:firstLine="709"/>
        <w:jc w:val="both"/>
        <w:rPr>
          <w:rFonts w:ascii="Times New Roman" w:hAnsi="Times New Roman"/>
          <w:sz w:val="28"/>
          <w:szCs w:val="28"/>
        </w:rPr>
      </w:pPr>
      <w:r>
        <w:rPr>
          <w:rFonts w:ascii="Times New Roman" w:hAnsi="Times New Roman"/>
          <w:sz w:val="28"/>
          <w:szCs w:val="28"/>
        </w:rPr>
        <w:t>Разработан</w:t>
      </w:r>
      <w:r w:rsidRPr="00336BD0">
        <w:rPr>
          <w:rFonts w:ascii="Times New Roman" w:hAnsi="Times New Roman"/>
          <w:sz w:val="28"/>
          <w:szCs w:val="28"/>
        </w:rPr>
        <w:t xml:space="preserve"> </w:t>
      </w:r>
      <w:r w:rsidRPr="001A540C">
        <w:rPr>
          <w:rFonts w:ascii="Times New Roman" w:hAnsi="Times New Roman"/>
          <w:sz w:val="28"/>
          <w:szCs w:val="28"/>
        </w:rPr>
        <w:t xml:space="preserve"> </w:t>
      </w:r>
      <w:r>
        <w:rPr>
          <w:rFonts w:ascii="Times New Roman" w:hAnsi="Times New Roman"/>
          <w:sz w:val="28"/>
          <w:szCs w:val="28"/>
        </w:rPr>
        <w:t xml:space="preserve"> национальный проект «Здравоохранение»,  включающий   8 федеральных проектов. Реализуются</w:t>
      </w:r>
      <w:r w:rsidRPr="00FD7515">
        <w:rPr>
          <w:rFonts w:ascii="Times New Roman" w:hAnsi="Times New Roman"/>
          <w:sz w:val="28"/>
          <w:szCs w:val="28"/>
        </w:rPr>
        <w:t xml:space="preserve"> приоритетные</w:t>
      </w:r>
      <w:r>
        <w:rPr>
          <w:rFonts w:ascii="Times New Roman" w:hAnsi="Times New Roman"/>
          <w:sz w:val="28"/>
          <w:szCs w:val="28"/>
        </w:rPr>
        <w:t xml:space="preserve"> и ведомственные</w:t>
      </w:r>
      <w:r w:rsidRPr="00FD7515">
        <w:rPr>
          <w:rFonts w:ascii="Times New Roman" w:hAnsi="Times New Roman"/>
          <w:sz w:val="28"/>
          <w:szCs w:val="28"/>
        </w:rPr>
        <w:t xml:space="preserve"> проекты в сфере здравоохранения, направленные на повышение доступности и качества оказания медицинской помощи.</w:t>
      </w:r>
    </w:p>
    <w:p w:rsidR="0098487C" w:rsidRPr="00336BD0" w:rsidRDefault="0098487C" w:rsidP="0098487C">
      <w:pPr>
        <w:spacing w:after="0" w:line="312" w:lineRule="auto"/>
        <w:ind w:firstLine="709"/>
        <w:jc w:val="both"/>
        <w:rPr>
          <w:rFonts w:ascii="Times New Roman" w:hAnsi="Times New Roman"/>
          <w:sz w:val="28"/>
          <w:szCs w:val="28"/>
        </w:rPr>
      </w:pPr>
      <w:r>
        <w:rPr>
          <w:rFonts w:ascii="Times New Roman" w:hAnsi="Times New Roman"/>
          <w:sz w:val="28"/>
          <w:szCs w:val="28"/>
        </w:rPr>
        <w:t>В рамках национального проекта «Демография» разработан федеральный проект «Формирование системы мотивации граждан к здоровому образу жизни, включая здоровое питан</w:t>
      </w:r>
      <w:r w:rsidR="00F13D95">
        <w:rPr>
          <w:rFonts w:ascii="Times New Roman" w:hAnsi="Times New Roman"/>
          <w:sz w:val="28"/>
          <w:szCs w:val="28"/>
        </w:rPr>
        <w:t>ие и отказ от вредных привычек (</w:t>
      </w:r>
      <w:r>
        <w:rPr>
          <w:rFonts w:ascii="Times New Roman" w:hAnsi="Times New Roman"/>
          <w:sz w:val="28"/>
          <w:szCs w:val="28"/>
        </w:rPr>
        <w:t>Укрепление общественного здоровья</w:t>
      </w:r>
      <w:r w:rsidR="00F13D95">
        <w:rPr>
          <w:rFonts w:ascii="Times New Roman" w:hAnsi="Times New Roman"/>
          <w:sz w:val="28"/>
          <w:szCs w:val="28"/>
        </w:rPr>
        <w:t>)</w:t>
      </w:r>
      <w:r>
        <w:rPr>
          <w:rFonts w:ascii="Times New Roman" w:hAnsi="Times New Roman"/>
          <w:sz w:val="28"/>
          <w:szCs w:val="28"/>
        </w:rPr>
        <w:t>».</w:t>
      </w:r>
    </w:p>
    <w:p w:rsidR="0098487C" w:rsidRDefault="0098487C" w:rsidP="000A7B50">
      <w:pPr>
        <w:spacing w:after="0" w:line="312" w:lineRule="auto"/>
        <w:ind w:firstLine="709"/>
        <w:jc w:val="both"/>
        <w:rPr>
          <w:rFonts w:ascii="Times New Roman" w:hAnsi="Times New Roman"/>
          <w:sz w:val="28"/>
          <w:szCs w:val="28"/>
        </w:rPr>
      </w:pPr>
    </w:p>
    <w:p w:rsidR="000A7B50" w:rsidRPr="002644E3" w:rsidRDefault="000A7B50" w:rsidP="00266A8C">
      <w:pPr>
        <w:spacing w:after="0" w:line="312" w:lineRule="auto"/>
        <w:ind w:firstLine="709"/>
        <w:jc w:val="both"/>
        <w:rPr>
          <w:rFonts w:ascii="Times New Roman" w:hAnsi="Times New Roman"/>
          <w:sz w:val="28"/>
          <w:szCs w:val="28"/>
        </w:rPr>
      </w:pPr>
      <w:r w:rsidRPr="00B86B36">
        <w:rPr>
          <w:rFonts w:ascii="Times New Roman" w:hAnsi="Times New Roman"/>
          <w:sz w:val="28"/>
          <w:szCs w:val="28"/>
        </w:rPr>
        <w:lastRenderedPageBreak/>
        <w:t xml:space="preserve">В ходе </w:t>
      </w:r>
      <w:r w:rsidR="00B163AB">
        <w:rPr>
          <w:rFonts w:ascii="Times New Roman" w:hAnsi="Times New Roman"/>
          <w:sz w:val="28"/>
          <w:szCs w:val="28"/>
        </w:rPr>
        <w:t>68</w:t>
      </w:r>
      <w:r w:rsidRPr="00B86B36">
        <w:rPr>
          <w:rFonts w:ascii="Times New Roman" w:hAnsi="Times New Roman"/>
          <w:sz w:val="28"/>
          <w:szCs w:val="28"/>
        </w:rPr>
        <w:t xml:space="preserve">-й сессии </w:t>
      </w:r>
      <w:r w:rsidR="00B163AB">
        <w:rPr>
          <w:rFonts w:ascii="Times New Roman" w:hAnsi="Times New Roman"/>
          <w:sz w:val="28"/>
          <w:szCs w:val="28"/>
        </w:rPr>
        <w:t xml:space="preserve">Европейского регионального комитета </w:t>
      </w:r>
      <w:r w:rsidRPr="00B86B36">
        <w:rPr>
          <w:rFonts w:ascii="Times New Roman" w:hAnsi="Times New Roman"/>
          <w:sz w:val="28"/>
          <w:szCs w:val="28"/>
        </w:rPr>
        <w:t xml:space="preserve">Всемирной </w:t>
      </w:r>
      <w:r w:rsidR="00B163AB">
        <w:rPr>
          <w:rFonts w:ascii="Times New Roman" w:hAnsi="Times New Roman"/>
          <w:sz w:val="28"/>
          <w:szCs w:val="28"/>
        </w:rPr>
        <w:t>организации</w:t>
      </w:r>
      <w:r>
        <w:rPr>
          <w:rFonts w:ascii="Times New Roman" w:hAnsi="Times New Roman"/>
          <w:sz w:val="28"/>
          <w:szCs w:val="28"/>
        </w:rPr>
        <w:t xml:space="preserve"> здравоохранения </w:t>
      </w:r>
      <w:r w:rsidR="00B163AB">
        <w:rPr>
          <w:rFonts w:ascii="Times New Roman" w:hAnsi="Times New Roman"/>
          <w:sz w:val="28"/>
          <w:szCs w:val="28"/>
        </w:rPr>
        <w:t xml:space="preserve">Российская Федерация  в лице Министра здравоохранения Российской Федерации В.И. Скворцовой была избрана в состав Постоянного комитета регионального комитета ВОЗ.  </w:t>
      </w:r>
    </w:p>
    <w:p w:rsidR="000A7B50" w:rsidRPr="00FD7515" w:rsidRDefault="00550FF4" w:rsidP="000A7B50">
      <w:pPr>
        <w:spacing w:after="0" w:line="31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550FF4">
        <w:rPr>
          <w:rFonts w:ascii="Times New Roman" w:hAnsi="Times New Roman" w:cs="Times New Roman"/>
          <w:sz w:val="28"/>
          <w:szCs w:val="28"/>
        </w:rPr>
        <w:t xml:space="preserve"> </w:t>
      </w:r>
      <w:r>
        <w:rPr>
          <w:rFonts w:ascii="Times New Roman" w:hAnsi="Times New Roman" w:cs="Times New Roman"/>
          <w:sz w:val="28"/>
          <w:szCs w:val="28"/>
        </w:rPr>
        <w:t>Успешно завершены испытания «сухой» векторной вакцины от лихорадки Эбола в Гвинейской Республике.</w:t>
      </w:r>
    </w:p>
    <w:p w:rsidR="00FD5DE6" w:rsidRDefault="00FD5DE6" w:rsidP="000A7B50">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Проведено медицинское обеспечение чемпионата мира по футболу </w:t>
      </w:r>
      <w:r>
        <w:rPr>
          <w:rFonts w:ascii="Times New Roman" w:hAnsi="Times New Roman"/>
          <w:sz w:val="28"/>
          <w:szCs w:val="28"/>
          <w:lang w:val="en-US"/>
        </w:rPr>
        <w:t>FIFA</w:t>
      </w:r>
      <w:r>
        <w:rPr>
          <w:rFonts w:ascii="Times New Roman" w:hAnsi="Times New Roman"/>
          <w:sz w:val="28"/>
          <w:szCs w:val="28"/>
        </w:rPr>
        <w:t xml:space="preserve"> 2018 года. </w:t>
      </w:r>
    </w:p>
    <w:p w:rsidR="0098487C" w:rsidRDefault="00951F59" w:rsidP="0098487C">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Продолжена работа по развитию </w:t>
      </w:r>
      <w:r w:rsidR="004E6981" w:rsidRPr="00F14DEB">
        <w:rPr>
          <w:rFonts w:ascii="Times New Roman" w:hAnsi="Times New Roman" w:cs="Times New Roman"/>
          <w:sz w:val="28"/>
          <w:szCs w:val="28"/>
        </w:rPr>
        <w:t>медицинских организаций первичного звена здравоохранения</w:t>
      </w:r>
      <w:r w:rsidR="004E6981">
        <w:rPr>
          <w:rFonts w:ascii="Times New Roman" w:hAnsi="Times New Roman"/>
          <w:sz w:val="28"/>
          <w:szCs w:val="28"/>
        </w:rPr>
        <w:t xml:space="preserve">  </w:t>
      </w:r>
      <w:r w:rsidR="00DC1262">
        <w:rPr>
          <w:rFonts w:ascii="Times New Roman" w:hAnsi="Times New Roman"/>
          <w:sz w:val="28"/>
          <w:szCs w:val="28"/>
        </w:rPr>
        <w:t xml:space="preserve"> (строительство фельдшерско-акушерских пунктов и оснащение медицинских организаций передвижными мобильными комплексами).</w:t>
      </w:r>
      <w:r w:rsidR="00336BD0" w:rsidRPr="00336BD0">
        <w:rPr>
          <w:rFonts w:ascii="Times New Roman" w:hAnsi="Times New Roman"/>
          <w:sz w:val="28"/>
          <w:szCs w:val="28"/>
        </w:rPr>
        <w:t xml:space="preserve"> </w:t>
      </w:r>
      <w:r w:rsidR="0098487C" w:rsidRPr="00FD7515">
        <w:rPr>
          <w:rFonts w:ascii="Times New Roman" w:hAnsi="Times New Roman"/>
          <w:sz w:val="28"/>
          <w:szCs w:val="28"/>
        </w:rPr>
        <w:t>В удаленных и труднодоступных районах активно развивается санитарная авиация.</w:t>
      </w:r>
    </w:p>
    <w:p w:rsidR="000A7B50" w:rsidRPr="00FD7515" w:rsidRDefault="00DC1262" w:rsidP="000A7B50">
      <w:pPr>
        <w:spacing w:after="0" w:line="312" w:lineRule="auto"/>
        <w:ind w:firstLine="709"/>
        <w:jc w:val="both"/>
        <w:rPr>
          <w:rFonts w:ascii="Times New Roman" w:hAnsi="Times New Roman"/>
          <w:sz w:val="28"/>
          <w:szCs w:val="28"/>
        </w:rPr>
      </w:pPr>
      <w:r>
        <w:rPr>
          <w:rFonts w:ascii="Times New Roman" w:hAnsi="Times New Roman"/>
          <w:sz w:val="28"/>
          <w:szCs w:val="28"/>
        </w:rPr>
        <w:t>С</w:t>
      </w:r>
      <w:r w:rsidR="00465E47">
        <w:rPr>
          <w:rFonts w:ascii="Times New Roman" w:hAnsi="Times New Roman"/>
          <w:sz w:val="28"/>
          <w:szCs w:val="28"/>
        </w:rPr>
        <w:t>оздана  ф</w:t>
      </w:r>
      <w:r w:rsidR="000A7B50" w:rsidRPr="00FD7515">
        <w:rPr>
          <w:rFonts w:ascii="Times New Roman" w:hAnsi="Times New Roman"/>
          <w:sz w:val="28"/>
          <w:szCs w:val="28"/>
        </w:rPr>
        <w:t>едеральная государственная информационная система мониторинга движения лекарственных препаратов от производителя до конечного потребителя на основе маркировки идентифи</w:t>
      </w:r>
      <w:r w:rsidR="000A7B50">
        <w:rPr>
          <w:rFonts w:ascii="Times New Roman" w:hAnsi="Times New Roman"/>
          <w:sz w:val="28"/>
          <w:szCs w:val="28"/>
        </w:rPr>
        <w:t>кационными знаками для   исключ</w:t>
      </w:r>
      <w:r w:rsidR="000A7B50" w:rsidRPr="00FD7515">
        <w:rPr>
          <w:rFonts w:ascii="Times New Roman" w:hAnsi="Times New Roman"/>
          <w:sz w:val="28"/>
          <w:szCs w:val="28"/>
        </w:rPr>
        <w:t>ения фальсификатов и контрафактов лекарст</w:t>
      </w:r>
      <w:r w:rsidR="000A7B50">
        <w:rPr>
          <w:rFonts w:ascii="Times New Roman" w:hAnsi="Times New Roman"/>
          <w:sz w:val="28"/>
          <w:szCs w:val="28"/>
        </w:rPr>
        <w:t>венных</w:t>
      </w:r>
      <w:r w:rsidR="000A7B50" w:rsidRPr="00FD7515">
        <w:rPr>
          <w:rFonts w:ascii="Times New Roman" w:hAnsi="Times New Roman"/>
          <w:sz w:val="28"/>
          <w:szCs w:val="28"/>
        </w:rPr>
        <w:t xml:space="preserve"> </w:t>
      </w:r>
      <w:r w:rsidR="000A7B50">
        <w:rPr>
          <w:rFonts w:ascii="Times New Roman" w:hAnsi="Times New Roman"/>
          <w:sz w:val="28"/>
          <w:szCs w:val="28"/>
        </w:rPr>
        <w:t>препаратов</w:t>
      </w:r>
      <w:r w:rsidR="000A7B50" w:rsidRPr="00FD7515">
        <w:rPr>
          <w:rFonts w:ascii="Times New Roman" w:hAnsi="Times New Roman"/>
          <w:sz w:val="28"/>
          <w:szCs w:val="28"/>
        </w:rPr>
        <w:t>.</w:t>
      </w:r>
    </w:p>
    <w:p w:rsidR="00550FF4" w:rsidRPr="00942AE8" w:rsidRDefault="00550FF4" w:rsidP="0098487C">
      <w:pPr>
        <w:spacing w:after="0" w:line="312" w:lineRule="auto"/>
        <w:ind w:firstLine="709"/>
        <w:jc w:val="both"/>
        <w:rPr>
          <w:rFonts w:ascii="Times New Roman" w:hAnsi="Times New Roman"/>
          <w:sz w:val="28"/>
          <w:szCs w:val="28"/>
        </w:rPr>
      </w:pPr>
      <w:r w:rsidRPr="0098487C">
        <w:rPr>
          <w:rFonts w:ascii="Times New Roman" w:hAnsi="Times New Roman"/>
          <w:sz w:val="28"/>
          <w:szCs w:val="28"/>
        </w:rPr>
        <w:t xml:space="preserve">В 2018 году утверждены Правила </w:t>
      </w:r>
      <w:r w:rsidRPr="00942AE8">
        <w:rPr>
          <w:rFonts w:ascii="Times New Roman" w:hAnsi="Times New Roman"/>
          <w:sz w:val="28"/>
          <w:szCs w:val="28"/>
        </w:rPr>
        <w:t>надлежащей практики по работе с биомедицинскими клеточными продуктами,</w:t>
      </w:r>
      <w:r w:rsidR="00942AE8">
        <w:rPr>
          <w:rFonts w:ascii="Times New Roman" w:hAnsi="Times New Roman"/>
          <w:sz w:val="28"/>
          <w:szCs w:val="28"/>
        </w:rPr>
        <w:t xml:space="preserve"> </w:t>
      </w:r>
      <w:r w:rsidR="00942AE8" w:rsidRPr="00942AE8">
        <w:rPr>
          <w:rFonts w:ascii="Times New Roman" w:hAnsi="Times New Roman"/>
          <w:sz w:val="28"/>
          <w:szCs w:val="28"/>
        </w:rPr>
        <w:t>позволяющие осуществлять разработку, применение биомедицинских клеточных продуктов для оказания медицинской помощи</w:t>
      </w:r>
      <w:r w:rsidR="00942AE8">
        <w:rPr>
          <w:rFonts w:ascii="Times New Roman" w:hAnsi="Times New Roman"/>
          <w:sz w:val="28"/>
          <w:szCs w:val="28"/>
        </w:rPr>
        <w:t>.</w:t>
      </w:r>
    </w:p>
    <w:p w:rsidR="000A7B50" w:rsidRDefault="000A7B50" w:rsidP="000A7B50">
      <w:pPr>
        <w:spacing w:after="0" w:line="312" w:lineRule="auto"/>
        <w:ind w:firstLine="709"/>
        <w:jc w:val="both"/>
        <w:rPr>
          <w:rFonts w:ascii="Times New Roman" w:hAnsi="Times New Roman"/>
          <w:sz w:val="28"/>
          <w:szCs w:val="28"/>
        </w:rPr>
      </w:pPr>
      <w:r w:rsidRPr="00FD7515">
        <w:rPr>
          <w:rFonts w:ascii="Times New Roman" w:hAnsi="Times New Roman"/>
          <w:sz w:val="28"/>
          <w:szCs w:val="28"/>
        </w:rPr>
        <w:t xml:space="preserve"> Особое внимание уделено совершенствованию кадровой политике, направленной на сокращение дефицита кадров. Внедрена система непрерывного медицинского образования, новая система оценки квалификации и допуска к профессиональной деятельности – аккредитация специалистов, основанная на независимой оценке профессиональным сообществом уровня подготовки специалистов. Создан единый образовательный портал для дистанционного обучения и выбора очных образовательных и тренинговых программ.  </w:t>
      </w:r>
    </w:p>
    <w:p w:rsidR="001A540C" w:rsidRDefault="001A540C" w:rsidP="000A7B50">
      <w:pPr>
        <w:spacing w:after="0" w:line="312" w:lineRule="auto"/>
        <w:ind w:firstLine="709"/>
        <w:jc w:val="both"/>
        <w:rPr>
          <w:rFonts w:ascii="Times New Roman" w:hAnsi="Times New Roman"/>
          <w:sz w:val="28"/>
          <w:szCs w:val="28"/>
        </w:rPr>
      </w:pPr>
      <w:r>
        <w:rPr>
          <w:rFonts w:ascii="Times New Roman" w:hAnsi="Times New Roman"/>
          <w:sz w:val="28"/>
          <w:szCs w:val="28"/>
        </w:rPr>
        <w:t>Утверждена распоряжением Правительства Российской Федерации</w:t>
      </w:r>
      <w:r w:rsidR="00465E47">
        <w:rPr>
          <w:rFonts w:ascii="Times New Roman" w:hAnsi="Times New Roman"/>
          <w:sz w:val="28"/>
          <w:szCs w:val="28"/>
        </w:rPr>
        <w:t xml:space="preserve"> от 26 ноября 2018 г. № 2581-р С</w:t>
      </w:r>
      <w:r>
        <w:rPr>
          <w:rFonts w:ascii="Times New Roman" w:hAnsi="Times New Roman"/>
          <w:sz w:val="28"/>
          <w:szCs w:val="28"/>
        </w:rPr>
        <w:t>тратегия развития санаторно-курортного комплекса Российской Федерации.</w:t>
      </w:r>
    </w:p>
    <w:p w:rsidR="000A7B50" w:rsidRPr="00B86B36" w:rsidRDefault="000A7B50" w:rsidP="005C6878">
      <w:pPr>
        <w:spacing w:after="0" w:line="312" w:lineRule="auto"/>
        <w:ind w:firstLine="709"/>
        <w:jc w:val="both"/>
        <w:rPr>
          <w:rFonts w:ascii="Times New Roman" w:hAnsi="Times New Roman"/>
          <w:sz w:val="28"/>
          <w:szCs w:val="28"/>
        </w:rPr>
      </w:pPr>
      <w:r w:rsidRPr="00FD7515">
        <w:rPr>
          <w:rFonts w:ascii="Times New Roman" w:hAnsi="Times New Roman"/>
          <w:sz w:val="28"/>
          <w:szCs w:val="28"/>
        </w:rPr>
        <w:t xml:space="preserve">В </w:t>
      </w:r>
      <w:r>
        <w:rPr>
          <w:rFonts w:ascii="Times New Roman" w:hAnsi="Times New Roman"/>
          <w:sz w:val="28"/>
          <w:szCs w:val="28"/>
        </w:rPr>
        <w:t>медицинских организациях</w:t>
      </w:r>
      <w:r w:rsidRPr="00FD7515">
        <w:rPr>
          <w:rFonts w:ascii="Times New Roman" w:hAnsi="Times New Roman"/>
          <w:sz w:val="28"/>
          <w:szCs w:val="28"/>
        </w:rPr>
        <w:t xml:space="preserve"> страны в целом сформирована информационно-телекоммуникационная инфраструктура.</w:t>
      </w:r>
    </w:p>
    <w:p w:rsidR="000A7B50" w:rsidRDefault="000A7B50" w:rsidP="000A7B50">
      <w:pPr>
        <w:spacing w:after="0" w:line="312" w:lineRule="auto"/>
        <w:ind w:firstLine="709"/>
        <w:jc w:val="both"/>
        <w:rPr>
          <w:rFonts w:ascii="Times New Roman" w:hAnsi="Times New Roman"/>
          <w:sz w:val="28"/>
          <w:szCs w:val="28"/>
        </w:rPr>
      </w:pPr>
      <w:r w:rsidRPr="00FD7515">
        <w:rPr>
          <w:rFonts w:ascii="Times New Roman" w:hAnsi="Times New Roman"/>
          <w:sz w:val="28"/>
          <w:szCs w:val="28"/>
        </w:rPr>
        <w:lastRenderedPageBreak/>
        <w:t>Согласованное взаимодействие всех уровней власти позволит существенно укрепить здоровье населения страны и выполнить задачи, определенные стратегическими документами, в первую очередь – указами Президента Российской Федерации.</w:t>
      </w:r>
    </w:p>
    <w:p w:rsidR="000A7B50" w:rsidRPr="002644E3" w:rsidRDefault="000A7B50" w:rsidP="000A7B50">
      <w:pPr>
        <w:spacing w:after="0" w:line="31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0A7B50" w:rsidRPr="002644E3" w:rsidRDefault="000A7B50" w:rsidP="000A7B50">
      <w:pPr>
        <w:spacing w:after="0" w:line="31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0A7B50" w:rsidRPr="000A7B50" w:rsidRDefault="000A7B50" w:rsidP="000A7B50">
      <w:pPr>
        <w:widowControl w:val="0"/>
        <w:spacing w:after="0" w:line="312" w:lineRule="auto"/>
        <w:jc w:val="both"/>
        <w:rPr>
          <w:rFonts w:ascii="Times New Roman" w:hAnsi="Times New Roman" w:cs="Times New Roman"/>
          <w:b/>
          <w:sz w:val="28"/>
          <w:szCs w:val="28"/>
        </w:rPr>
      </w:pPr>
    </w:p>
    <w:sectPr w:rsidR="000A7B50" w:rsidRPr="000A7B50" w:rsidSect="00FA027B">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9D4" w:rsidRDefault="006069D4" w:rsidP="005E58C6">
      <w:pPr>
        <w:spacing w:after="0" w:line="240" w:lineRule="auto"/>
      </w:pPr>
      <w:r>
        <w:separator/>
      </w:r>
    </w:p>
  </w:endnote>
  <w:endnote w:type="continuationSeparator" w:id="0">
    <w:p w:rsidR="006069D4" w:rsidRDefault="006069D4" w:rsidP="005E5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9D4" w:rsidRDefault="006069D4" w:rsidP="005E58C6">
      <w:pPr>
        <w:spacing w:after="0" w:line="240" w:lineRule="auto"/>
      </w:pPr>
      <w:r>
        <w:separator/>
      </w:r>
    </w:p>
  </w:footnote>
  <w:footnote w:type="continuationSeparator" w:id="0">
    <w:p w:rsidR="006069D4" w:rsidRDefault="006069D4" w:rsidP="005E5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604545"/>
      <w:docPartObj>
        <w:docPartGallery w:val="Page Numbers (Top of Page)"/>
        <w:docPartUnique/>
      </w:docPartObj>
    </w:sdtPr>
    <w:sdtContent>
      <w:p w:rsidR="000A2E63" w:rsidRPr="005E58C6" w:rsidRDefault="000A2E63" w:rsidP="005E58C6">
        <w:pPr>
          <w:pStyle w:val="a3"/>
          <w:tabs>
            <w:tab w:val="left" w:pos="4157"/>
          </w:tabs>
          <w:rPr>
            <w:rFonts w:ascii="Times New Roman" w:hAnsi="Times New Roman" w:cs="Times New Roman"/>
            <w:sz w:val="24"/>
            <w:szCs w:val="24"/>
          </w:rPr>
        </w:pPr>
        <w:r w:rsidRPr="005E58C6">
          <w:rPr>
            <w:rFonts w:ascii="Times New Roman" w:hAnsi="Times New Roman" w:cs="Times New Roman"/>
            <w:sz w:val="24"/>
            <w:szCs w:val="24"/>
          </w:rPr>
          <w:tab/>
        </w:r>
        <w:r w:rsidRPr="005E58C6">
          <w:rPr>
            <w:rFonts w:ascii="Times New Roman" w:hAnsi="Times New Roman" w:cs="Times New Roman"/>
            <w:sz w:val="24"/>
            <w:szCs w:val="24"/>
          </w:rPr>
          <w:tab/>
        </w:r>
        <w:r w:rsidRPr="005E58C6">
          <w:rPr>
            <w:rFonts w:ascii="Times New Roman" w:hAnsi="Times New Roman" w:cs="Times New Roman"/>
            <w:sz w:val="24"/>
            <w:szCs w:val="24"/>
          </w:rPr>
          <w:fldChar w:fldCharType="begin"/>
        </w:r>
        <w:r w:rsidRPr="005E58C6">
          <w:rPr>
            <w:rFonts w:ascii="Times New Roman" w:hAnsi="Times New Roman" w:cs="Times New Roman"/>
            <w:sz w:val="24"/>
            <w:szCs w:val="24"/>
          </w:rPr>
          <w:instrText xml:space="preserve"> PAGE   \* MERGEFORMAT </w:instrText>
        </w:r>
        <w:r w:rsidRPr="005E58C6">
          <w:rPr>
            <w:rFonts w:ascii="Times New Roman" w:hAnsi="Times New Roman" w:cs="Times New Roman"/>
            <w:sz w:val="24"/>
            <w:szCs w:val="24"/>
          </w:rPr>
          <w:fldChar w:fldCharType="separate"/>
        </w:r>
        <w:r w:rsidR="00825976">
          <w:rPr>
            <w:rFonts w:ascii="Times New Roman" w:hAnsi="Times New Roman" w:cs="Times New Roman"/>
            <w:noProof/>
            <w:sz w:val="24"/>
            <w:szCs w:val="24"/>
          </w:rPr>
          <w:t>171</w:t>
        </w:r>
        <w:r w:rsidRPr="005E58C6">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58C6"/>
    <w:rsid w:val="00000709"/>
    <w:rsid w:val="00002C04"/>
    <w:rsid w:val="00004FC4"/>
    <w:rsid w:val="000433E9"/>
    <w:rsid w:val="00051685"/>
    <w:rsid w:val="00094CDB"/>
    <w:rsid w:val="000A216A"/>
    <w:rsid w:val="000A2E63"/>
    <w:rsid w:val="000A7B50"/>
    <w:rsid w:val="000C095A"/>
    <w:rsid w:val="000C48BA"/>
    <w:rsid w:val="000C62C8"/>
    <w:rsid w:val="000E4B58"/>
    <w:rsid w:val="000F4F72"/>
    <w:rsid w:val="00116EE8"/>
    <w:rsid w:val="001419BB"/>
    <w:rsid w:val="00150061"/>
    <w:rsid w:val="00171D76"/>
    <w:rsid w:val="00173BFC"/>
    <w:rsid w:val="00174D50"/>
    <w:rsid w:val="00181E00"/>
    <w:rsid w:val="001849D6"/>
    <w:rsid w:val="001A1D30"/>
    <w:rsid w:val="001A540C"/>
    <w:rsid w:val="001C3F60"/>
    <w:rsid w:val="001C66D6"/>
    <w:rsid w:val="001E5458"/>
    <w:rsid w:val="001F07AB"/>
    <w:rsid w:val="002378E6"/>
    <w:rsid w:val="00257163"/>
    <w:rsid w:val="00266A8C"/>
    <w:rsid w:val="0027264D"/>
    <w:rsid w:val="002809C5"/>
    <w:rsid w:val="002958F6"/>
    <w:rsid w:val="002B3548"/>
    <w:rsid w:val="002E25BD"/>
    <w:rsid w:val="002E2828"/>
    <w:rsid w:val="00307E31"/>
    <w:rsid w:val="00336BD0"/>
    <w:rsid w:val="00367AAD"/>
    <w:rsid w:val="00377BBB"/>
    <w:rsid w:val="003A3A98"/>
    <w:rsid w:val="003A3EA4"/>
    <w:rsid w:val="003A5C65"/>
    <w:rsid w:val="003B1C62"/>
    <w:rsid w:val="003C119E"/>
    <w:rsid w:val="003E59E0"/>
    <w:rsid w:val="00423ECB"/>
    <w:rsid w:val="00431642"/>
    <w:rsid w:val="004332F6"/>
    <w:rsid w:val="00462679"/>
    <w:rsid w:val="00465E47"/>
    <w:rsid w:val="00466BF9"/>
    <w:rsid w:val="00476013"/>
    <w:rsid w:val="00483BE6"/>
    <w:rsid w:val="004B7C16"/>
    <w:rsid w:val="004E6981"/>
    <w:rsid w:val="00550572"/>
    <w:rsid w:val="00550FF4"/>
    <w:rsid w:val="00571B4E"/>
    <w:rsid w:val="00577959"/>
    <w:rsid w:val="0059566B"/>
    <w:rsid w:val="005C6878"/>
    <w:rsid w:val="005E58C6"/>
    <w:rsid w:val="005F2F28"/>
    <w:rsid w:val="006069D4"/>
    <w:rsid w:val="00664146"/>
    <w:rsid w:val="00677FBF"/>
    <w:rsid w:val="006A6610"/>
    <w:rsid w:val="007063AB"/>
    <w:rsid w:val="0071032D"/>
    <w:rsid w:val="007423A6"/>
    <w:rsid w:val="00745D21"/>
    <w:rsid w:val="00757202"/>
    <w:rsid w:val="00784811"/>
    <w:rsid w:val="00795B34"/>
    <w:rsid w:val="007A5972"/>
    <w:rsid w:val="007D3F54"/>
    <w:rsid w:val="007D641C"/>
    <w:rsid w:val="007F6597"/>
    <w:rsid w:val="0081736E"/>
    <w:rsid w:val="00825976"/>
    <w:rsid w:val="00857874"/>
    <w:rsid w:val="00870F66"/>
    <w:rsid w:val="00880C5F"/>
    <w:rsid w:val="008D5151"/>
    <w:rsid w:val="008E104E"/>
    <w:rsid w:val="008E7BBB"/>
    <w:rsid w:val="009270AE"/>
    <w:rsid w:val="00942AE8"/>
    <w:rsid w:val="00950D5A"/>
    <w:rsid w:val="00951F59"/>
    <w:rsid w:val="00976DEF"/>
    <w:rsid w:val="0098487C"/>
    <w:rsid w:val="009B11FC"/>
    <w:rsid w:val="009C1556"/>
    <w:rsid w:val="009C5CF7"/>
    <w:rsid w:val="009D3014"/>
    <w:rsid w:val="009E1FD8"/>
    <w:rsid w:val="00A01911"/>
    <w:rsid w:val="00A122FD"/>
    <w:rsid w:val="00A259A3"/>
    <w:rsid w:val="00A47285"/>
    <w:rsid w:val="00A60741"/>
    <w:rsid w:val="00A61108"/>
    <w:rsid w:val="00A70140"/>
    <w:rsid w:val="00AC491F"/>
    <w:rsid w:val="00AF0C02"/>
    <w:rsid w:val="00AF3AC4"/>
    <w:rsid w:val="00B010A8"/>
    <w:rsid w:val="00B163AB"/>
    <w:rsid w:val="00B45887"/>
    <w:rsid w:val="00B61399"/>
    <w:rsid w:val="00BE4913"/>
    <w:rsid w:val="00C25BE5"/>
    <w:rsid w:val="00C3133F"/>
    <w:rsid w:val="00C36466"/>
    <w:rsid w:val="00C54670"/>
    <w:rsid w:val="00C929AC"/>
    <w:rsid w:val="00C94451"/>
    <w:rsid w:val="00CA3BE5"/>
    <w:rsid w:val="00CB4BC3"/>
    <w:rsid w:val="00CC6E88"/>
    <w:rsid w:val="00CE6D5B"/>
    <w:rsid w:val="00D16889"/>
    <w:rsid w:val="00D57693"/>
    <w:rsid w:val="00D66230"/>
    <w:rsid w:val="00D83D72"/>
    <w:rsid w:val="00D939E9"/>
    <w:rsid w:val="00DB2AEB"/>
    <w:rsid w:val="00DC1262"/>
    <w:rsid w:val="00DD0DA3"/>
    <w:rsid w:val="00DF1213"/>
    <w:rsid w:val="00DF745D"/>
    <w:rsid w:val="00E25394"/>
    <w:rsid w:val="00E40B90"/>
    <w:rsid w:val="00E572D4"/>
    <w:rsid w:val="00E765C8"/>
    <w:rsid w:val="00E84091"/>
    <w:rsid w:val="00E96393"/>
    <w:rsid w:val="00EA519B"/>
    <w:rsid w:val="00EB4018"/>
    <w:rsid w:val="00EF5A93"/>
    <w:rsid w:val="00F13D95"/>
    <w:rsid w:val="00F200A0"/>
    <w:rsid w:val="00F26918"/>
    <w:rsid w:val="00F376F5"/>
    <w:rsid w:val="00F4492C"/>
    <w:rsid w:val="00F65174"/>
    <w:rsid w:val="00F67512"/>
    <w:rsid w:val="00F963C6"/>
    <w:rsid w:val="00FA027B"/>
    <w:rsid w:val="00FA5AE4"/>
    <w:rsid w:val="00FD5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8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8C6"/>
  </w:style>
  <w:style w:type="paragraph" w:styleId="a5">
    <w:name w:val="footer"/>
    <w:basedOn w:val="a"/>
    <w:link w:val="a6"/>
    <w:uiPriority w:val="99"/>
    <w:semiHidden/>
    <w:unhideWhenUsed/>
    <w:rsid w:val="005E58C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58C6"/>
  </w:style>
  <w:style w:type="paragraph" w:styleId="a7">
    <w:name w:val="Balloon Text"/>
    <w:basedOn w:val="a"/>
    <w:link w:val="a8"/>
    <w:uiPriority w:val="99"/>
    <w:semiHidden/>
    <w:unhideWhenUsed/>
    <w:rsid w:val="005E58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8C6"/>
    <w:rPr>
      <w:rFonts w:ascii="Tahoma" w:hAnsi="Tahoma" w:cs="Tahoma"/>
      <w:sz w:val="16"/>
      <w:szCs w:val="16"/>
    </w:rPr>
  </w:style>
  <w:style w:type="table" w:styleId="a9">
    <w:name w:val="Table Grid"/>
    <w:basedOn w:val="a1"/>
    <w:uiPriority w:val="99"/>
    <w:rsid w:val="00181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801148">
      <w:bodyDiv w:val="1"/>
      <w:marLeft w:val="0"/>
      <w:marRight w:val="0"/>
      <w:marTop w:val="0"/>
      <w:marBottom w:val="0"/>
      <w:divBdr>
        <w:top w:val="none" w:sz="0" w:space="0" w:color="auto"/>
        <w:left w:val="none" w:sz="0" w:space="0" w:color="auto"/>
        <w:bottom w:val="none" w:sz="0" w:space="0" w:color="auto"/>
        <w:right w:val="none" w:sz="0" w:space="0" w:color="auto"/>
      </w:divBdr>
    </w:div>
    <w:div w:id="20706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5.4345873432487604E-2"/>
          <c:y val="0.18942425466048277"/>
          <c:w val="0.90968927029628865"/>
          <c:h val="0.59217612372442485"/>
        </c:manualLayout>
      </c:layout>
      <c:lineChart>
        <c:grouping val="standard"/>
        <c:ser>
          <c:idx val="0"/>
          <c:order val="0"/>
          <c:tx>
            <c:strRef>
              <c:f>Лист1!$B$1</c:f>
              <c:strCache>
                <c:ptCount val="1"/>
                <c:pt idx="0">
                  <c:v>Рождаемость</c:v>
                </c:pt>
              </c:strCache>
            </c:strRef>
          </c:tx>
          <c:dLbls>
            <c:dLbl>
              <c:idx val="0"/>
              <c:layout>
                <c:manualLayout>
                  <c:x val="-3.7037037037037604E-2"/>
                  <c:y val="-4.700854700854713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6C9-4531-8FB5-20E8AC4057E0}"/>
                </c:ext>
              </c:extLst>
            </c:dLbl>
            <c:dLbl>
              <c:idx val="1"/>
              <c:layout>
                <c:manualLayout>
                  <c:x val="-3.1505986137366201E-2"/>
                  <c:y val="4.022988505747126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6C9-4531-8FB5-20E8AC4057E0}"/>
                </c:ext>
              </c:extLst>
            </c:dLbl>
            <c:dLbl>
              <c:idx val="2"/>
              <c:layout>
                <c:manualLayout>
                  <c:x val="-3.525640744659745E-2"/>
                  <c:y val="5.9968841835723902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6C9-4531-8FB5-20E8AC4057E0}"/>
                </c:ext>
              </c:extLst>
            </c:dLbl>
            <c:dLbl>
              <c:idx val="3"/>
              <c:layout>
                <c:manualLayout>
                  <c:x val="-2.5396762904636931E-2"/>
                  <c:y val="4.484319267783839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6C9-4531-8FB5-20E8AC4057E0}"/>
                </c:ext>
              </c:extLst>
            </c:dLbl>
            <c:dLbl>
              <c:idx val="4"/>
              <c:layout>
                <c:manualLayout>
                  <c:x val="-2.1707640711578297E-2"/>
                  <c:y val="4.258765731206703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76C9-4531-8FB5-20E8AC4057E0}"/>
                </c:ext>
              </c:extLst>
            </c:dLbl>
            <c:dLbl>
              <c:idx val="5"/>
              <c:layout>
                <c:manualLayout>
                  <c:x val="-3.0158792650918635E-2"/>
                  <c:y val="6.8759337775085819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6C9-4531-8FB5-20E8AC4057E0}"/>
                </c:ext>
              </c:extLst>
            </c:dLbl>
            <c:dLbl>
              <c:idx val="6"/>
              <c:layout>
                <c:manualLayout>
                  <c:x val="-3.0952318460192852E-2"/>
                  <c:y val="5.636045494313547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6C9-4531-8FB5-20E8AC4057E0}"/>
                </c:ext>
              </c:extLst>
            </c:dLbl>
            <c:dLbl>
              <c:idx val="7"/>
              <c:layout>
                <c:manualLayout>
                  <c:x val="-3.2275298920970176E-2"/>
                  <c:y val="4.9959620432062132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6C9-4531-8FB5-20E8AC4057E0}"/>
                </c:ext>
              </c:extLst>
            </c:dLbl>
            <c:dLbl>
              <c:idx val="8"/>
              <c:layout>
                <c:manualLayout>
                  <c:x val="-2.9100466608340623E-2"/>
                  <c:y val="5.764452520358030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6C9-4531-8FB5-20E8AC4057E0}"/>
                </c:ext>
              </c:extLst>
            </c:dLbl>
            <c:dLbl>
              <c:idx val="9"/>
              <c:layout>
                <c:manualLayout>
                  <c:x val="-2.9552639253426643E-2"/>
                  <c:y val="4.435594589137896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6C9-4531-8FB5-20E8AC4057E0}"/>
                </c:ext>
              </c:extLst>
            </c:dLbl>
            <c:dLbl>
              <c:idx val="10"/>
              <c:layout>
                <c:manualLayout>
                  <c:x val="-3.022120151647837E-2"/>
                  <c:y val="5.437680866814731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76C9-4531-8FB5-20E8AC4057E0}"/>
                </c:ext>
              </c:extLst>
            </c:dLbl>
            <c:dLbl>
              <c:idx val="11"/>
              <c:layout>
                <c:manualLayout>
                  <c:x val="-2.7109215514729244E-2"/>
                  <c:y val="5.717645871189182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6C9-4531-8FB5-20E8AC4057E0}"/>
                </c:ext>
              </c:extLst>
            </c:dLbl>
            <c:dLbl>
              <c:idx val="12"/>
              <c:layout>
                <c:manualLayout>
                  <c:x val="-1.7181248177311138E-2"/>
                  <c:y val="4.774547412342799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76C9-4531-8FB5-20E8AC4057E0}"/>
                </c:ext>
              </c:extLst>
            </c:dLbl>
            <c:dLbl>
              <c:idx val="13"/>
              <c:layout>
                <c:manualLayout>
                  <c:x val="-2.8369349664625749E-2"/>
                  <c:y val="8.001783430917304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76C9-4531-8FB5-20E8AC4057E0}"/>
                </c:ext>
              </c:extLst>
            </c:dLbl>
            <c:dLbl>
              <c:idx val="14"/>
              <c:layout>
                <c:manualLayout>
                  <c:x val="-3.1481627296588002E-2"/>
                  <c:y val="3.4924961302914059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76C9-4531-8FB5-20E8AC4057E0}"/>
                </c:ext>
              </c:extLst>
            </c:dLbl>
            <c:dLbl>
              <c:idx val="15"/>
              <c:layout>
                <c:manualLayout>
                  <c:x val="-2.9552785068533111E-2"/>
                  <c:y val="4.435594589137896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76C9-4531-8FB5-20E8AC4057E0}"/>
                </c:ext>
              </c:extLst>
            </c:dLbl>
            <c:dLbl>
              <c:idx val="16"/>
              <c:layout>
                <c:manualLayout>
                  <c:x val="-2.584893554972463E-2"/>
                  <c:y val="3.345110707315586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76C9-4531-8FB5-20E8AC4057E0}"/>
                </c:ext>
              </c:extLst>
            </c:dLbl>
            <c:dLbl>
              <c:idx val="17"/>
              <c:layout>
                <c:manualLayout>
                  <c:x val="-2.9552639253426643E-2"/>
                  <c:y val="5.2460798169459588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76C9-4531-8FB5-20E8AC4057E0}"/>
                </c:ext>
              </c:extLst>
            </c:dLbl>
            <c:dLbl>
              <c:idx val="18"/>
              <c:layout>
                <c:manualLayout>
                  <c:x val="-2.3997083697871111E-2"/>
                  <c:y val="8.4291338582682812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76C9-4531-8FB5-20E8AC4057E0}"/>
                </c:ext>
              </c:extLst>
            </c:dLbl>
            <c:dLbl>
              <c:idx val="19"/>
              <c:layout>
                <c:manualLayout>
                  <c:x val="-2.9557742782152691E-2"/>
                  <c:y val="4.991486641092940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76C9-4531-8FB5-20E8AC4057E0}"/>
                </c:ext>
              </c:extLst>
            </c:dLbl>
            <c:dLbl>
              <c:idx val="20"/>
              <c:layout>
                <c:manualLayout>
                  <c:x val="-3.1481481481481492E-2"/>
                  <c:y val="4.818729389595543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76C9-4531-8FB5-20E8AC4057E0}"/>
                </c:ext>
              </c:extLst>
            </c:dLbl>
            <c:dLbl>
              <c:idx val="21"/>
              <c:layout>
                <c:manualLayout>
                  <c:x val="-3.7037037037037604E-2"/>
                  <c:y val="4.3999932700720105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76C9-4531-8FB5-20E8AC4057E0}"/>
                </c:ext>
              </c:extLst>
            </c:dLbl>
            <c:dLbl>
              <c:idx val="22"/>
              <c:layout>
                <c:manualLayout>
                  <c:x val="-3.6368474773986588E-2"/>
                  <c:y val="4.3619355272898355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76C9-4531-8FB5-20E8AC4057E0}"/>
                </c:ext>
              </c:extLst>
            </c:dLbl>
            <c:dLbl>
              <c:idx val="23"/>
              <c:layout>
                <c:manualLayout>
                  <c:x val="-2.9629629629630005E-2"/>
                  <c:y val="7.544955918971671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76C9-4531-8FB5-20E8AC4057E0}"/>
                </c:ext>
              </c:extLst>
            </c:dLbl>
            <c:dLbl>
              <c:idx val="24"/>
              <c:layout>
                <c:manualLayout>
                  <c:x val="-3.5185185185185416E-2"/>
                  <c:y val="5.791338582677296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76C9-4531-8FB5-20E8AC4057E0}"/>
                </c:ext>
              </c:extLst>
            </c:dLbl>
            <c:dLbl>
              <c:idx val="25"/>
              <c:layout>
                <c:manualLayout>
                  <c:x val="-3.644546515019001E-2"/>
                  <c:y val="6.174473383135029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76C9-4531-8FB5-20E8AC4057E0}"/>
                </c:ext>
              </c:extLst>
            </c:dLbl>
            <c:dLbl>
              <c:idx val="26"/>
              <c:layout>
                <c:manualLayout>
                  <c:x val="-3.2818751822688834E-2"/>
                  <c:y val="5.1429436705027316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76C9-4531-8FB5-20E8AC4057E0}"/>
                </c:ext>
              </c:extLst>
            </c:dLbl>
            <c:dLbl>
              <c:idx val="27"/>
              <c:layout>
                <c:manualLayout>
                  <c:x val="-3.3990084572761745E-2"/>
                  <c:y val="5.5886331516252934E-2"/>
                </c:manualLayout>
              </c:layout>
              <c:tx>
                <c:rich>
                  <a:bodyPr/>
                  <a:lstStyle/>
                  <a:p>
                    <a:r>
                      <a:rPr lang="en-US" sz="747"/>
                      <a:t>11,5</a:t>
                    </a:r>
                    <a:endParaRPr lang="en-US"/>
                  </a:p>
                </c:rich>
              </c:tx>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76C9-4531-8FB5-20E8AC4057E0}"/>
                </c:ext>
              </c:extLst>
            </c:dLbl>
            <c:spPr>
              <a:noFill/>
              <a:ln>
                <a:noFill/>
              </a:ln>
              <a:effectLst/>
            </c:spPr>
            <c:txPr>
              <a:bodyPr/>
              <a:lstStyle/>
              <a:p>
                <a:pPr>
                  <a:defRPr sz="747" i="1">
                    <a:solidFill>
                      <a:schemeClr val="tx2"/>
                    </a:solidFill>
                  </a:defRPr>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Лист1!$A$2:$A$30</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Лист1!$B$2:$B$30</c:f>
              <c:numCache>
                <c:formatCode>General</c:formatCode>
                <c:ptCount val="29"/>
                <c:pt idx="0" formatCode="0.0">
                  <c:v>13.4</c:v>
                </c:pt>
                <c:pt idx="1">
                  <c:v>11.4</c:v>
                </c:pt>
                <c:pt idx="2">
                  <c:v>10.7</c:v>
                </c:pt>
                <c:pt idx="3">
                  <c:v>9.4</c:v>
                </c:pt>
                <c:pt idx="4">
                  <c:v>9.6</c:v>
                </c:pt>
                <c:pt idx="5">
                  <c:v>9.3000000000000007</c:v>
                </c:pt>
                <c:pt idx="6">
                  <c:v>8.9</c:v>
                </c:pt>
                <c:pt idx="7">
                  <c:v>8.6</c:v>
                </c:pt>
                <c:pt idx="8">
                  <c:v>8.8000000000000007</c:v>
                </c:pt>
                <c:pt idx="9">
                  <c:v>8.3000000000000007</c:v>
                </c:pt>
                <c:pt idx="10" formatCode="0.0">
                  <c:v>8.7000000000000011</c:v>
                </c:pt>
                <c:pt idx="11" formatCode="0.0">
                  <c:v>9</c:v>
                </c:pt>
                <c:pt idx="12" formatCode="0.0">
                  <c:v>9.7000000000000011</c:v>
                </c:pt>
                <c:pt idx="13" formatCode="0.0">
                  <c:v>10.200000000000001</c:v>
                </c:pt>
                <c:pt idx="14" formatCode="0.0">
                  <c:v>10.4</c:v>
                </c:pt>
                <c:pt idx="15" formatCode="0.0">
                  <c:v>10.200000000000001</c:v>
                </c:pt>
                <c:pt idx="16" formatCode="0.0">
                  <c:v>10.3</c:v>
                </c:pt>
                <c:pt idx="17" formatCode="0.0">
                  <c:v>11.3</c:v>
                </c:pt>
                <c:pt idx="18" formatCode="0.0">
                  <c:v>12</c:v>
                </c:pt>
                <c:pt idx="19" formatCode="0.0">
                  <c:v>12.3</c:v>
                </c:pt>
                <c:pt idx="20" formatCode="0.0">
                  <c:v>12.5</c:v>
                </c:pt>
                <c:pt idx="21" formatCode="0.0">
                  <c:v>12.6</c:v>
                </c:pt>
                <c:pt idx="22" formatCode="0.0">
                  <c:v>13.3</c:v>
                </c:pt>
                <c:pt idx="23" formatCode="0.0">
                  <c:v>13.2</c:v>
                </c:pt>
                <c:pt idx="24" formatCode="0.0">
                  <c:v>13.3</c:v>
                </c:pt>
                <c:pt idx="25" formatCode="0.0">
                  <c:v>13.3</c:v>
                </c:pt>
                <c:pt idx="26" formatCode="0.0">
                  <c:v>12.9</c:v>
                </c:pt>
                <c:pt idx="27" formatCode="0.0">
                  <c:v>11.5</c:v>
                </c:pt>
                <c:pt idx="28" formatCode="0.0">
                  <c:v>10.9</c:v>
                </c:pt>
              </c:numCache>
            </c:numRef>
          </c:val>
          <c:extLst xmlns:c16r2="http://schemas.microsoft.com/office/drawing/2015/06/chart">
            <c:ext xmlns:c16="http://schemas.microsoft.com/office/drawing/2014/chart" uri="{C3380CC4-5D6E-409C-BE32-E72D297353CC}">
              <c16:uniqueId val="{0000001C-76C9-4531-8FB5-20E8AC4057E0}"/>
            </c:ext>
          </c:extLst>
        </c:ser>
        <c:ser>
          <c:idx val="1"/>
          <c:order val="1"/>
          <c:tx>
            <c:strRef>
              <c:f>Лист1!$C$1</c:f>
              <c:strCache>
                <c:ptCount val="1"/>
                <c:pt idx="0">
                  <c:v>Смертность </c:v>
                </c:pt>
              </c:strCache>
            </c:strRef>
          </c:tx>
          <c:dLbls>
            <c:dLbl>
              <c:idx val="0"/>
              <c:layout>
                <c:manualLayout>
                  <c:x val="-3.4074511519394203E-2"/>
                  <c:y val="5.044282926172691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76C9-4531-8FB5-20E8AC4057E0}"/>
                </c:ext>
              </c:extLst>
            </c:dLbl>
            <c:dLbl>
              <c:idx val="1"/>
              <c:layout>
                <c:manualLayout>
                  <c:x val="-2.7854768153980802E-2"/>
                  <c:y val="-5.8208493169123132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E-76C9-4531-8FB5-20E8AC4057E0}"/>
                </c:ext>
              </c:extLst>
            </c:dLbl>
            <c:dLbl>
              <c:idx val="2"/>
              <c:layout>
                <c:manualLayout>
                  <c:x val="0"/>
                  <c:y val="-3.9173336640067985E-17"/>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F-76C9-4531-8FB5-20E8AC4057E0}"/>
                </c:ext>
              </c:extLst>
            </c:dLbl>
            <c:dLbl>
              <c:idx val="3"/>
              <c:layout>
                <c:manualLayout>
                  <c:x val="-3.5055701370662051E-2"/>
                  <c:y val="-5.437680866814731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0-76C9-4531-8FB5-20E8AC4057E0}"/>
                </c:ext>
              </c:extLst>
            </c:dLbl>
            <c:dLbl>
              <c:idx val="4"/>
              <c:layout>
                <c:manualLayout>
                  <c:x val="-3.5031204432780523E-2"/>
                  <c:y val="-4.8776835587859155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1-76C9-4531-8FB5-20E8AC4057E0}"/>
                </c:ext>
              </c:extLst>
            </c:dLbl>
            <c:dLbl>
              <c:idx val="5"/>
              <c:layout>
                <c:manualLayout>
                  <c:x val="-2.9552639253426643E-2"/>
                  <c:y val="-5.629248267043542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2-76C9-4531-8FB5-20E8AC4057E0}"/>
                </c:ext>
              </c:extLst>
            </c:dLbl>
            <c:dLbl>
              <c:idx val="6"/>
              <c:layout>
                <c:manualLayout>
                  <c:x val="-3.5185185185185416E-2"/>
                  <c:y val="-4.3029813580994246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3-76C9-4531-8FB5-20E8AC4057E0}"/>
                </c:ext>
              </c:extLst>
            </c:dLbl>
            <c:dLbl>
              <c:idx val="7"/>
              <c:layout>
                <c:manualLayout>
                  <c:x val="-3.7114245100701576E-2"/>
                  <c:y val="-0.10803774009576604"/>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4-76C9-4531-8FB5-20E8AC4057E0}"/>
                </c:ext>
              </c:extLst>
            </c:dLbl>
            <c:dLbl>
              <c:idx val="8"/>
              <c:layout>
                <c:manualLayout>
                  <c:x val="-3.756620005832649E-2"/>
                  <c:y val="-6.021232922807752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5-76C9-4531-8FB5-20E8AC4057E0}"/>
                </c:ext>
              </c:extLst>
            </c:dLbl>
            <c:dLbl>
              <c:idx val="9"/>
              <c:layout>
                <c:manualLayout>
                  <c:x val="-1.851851851851884E-2"/>
                  <c:y val="5.597718554411468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6-76C9-4531-8FB5-20E8AC4057E0}"/>
                </c:ext>
              </c:extLst>
            </c:dLbl>
            <c:dLbl>
              <c:idx val="10"/>
              <c:layout>
                <c:manualLayout>
                  <c:x val="-3.4920676582094051E-2"/>
                  <c:y val="-6.151557978329629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7-76C9-4531-8FB5-20E8AC4057E0}"/>
                </c:ext>
              </c:extLst>
            </c:dLbl>
            <c:dLbl>
              <c:idx val="11"/>
              <c:layout>
                <c:manualLayout>
                  <c:x val="-3.163546223388744E-2"/>
                  <c:y val="-4.022982704085067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8-76C9-4531-8FB5-20E8AC4057E0}"/>
                </c:ext>
              </c:extLst>
            </c:dLbl>
            <c:dLbl>
              <c:idx val="12"/>
              <c:layout>
                <c:manualLayout>
                  <c:x val="-3.5185185185185416E-2"/>
                  <c:y val="-6.8670839222020302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9-76C9-4531-8FB5-20E8AC4057E0}"/>
                </c:ext>
              </c:extLst>
            </c:dLbl>
            <c:dLbl>
              <c:idx val="13"/>
              <c:layout>
                <c:manualLayout>
                  <c:x val="-2.5334499854184869E-2"/>
                  <c:y val="-5.57029409785341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A-76C9-4531-8FB5-20E8AC4057E0}"/>
                </c:ext>
              </c:extLst>
            </c:dLbl>
            <c:dLbl>
              <c:idx val="14"/>
              <c:layout>
                <c:manualLayout>
                  <c:x val="-2.9629775444736384E-2"/>
                  <c:y val="-5.629248267043542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B-76C9-4531-8FB5-20E8AC4057E0}"/>
                </c:ext>
              </c:extLst>
            </c:dLbl>
            <c:dLbl>
              <c:idx val="15"/>
              <c:layout>
                <c:manualLayout>
                  <c:x val="-3.3333333333333291E-2"/>
                  <c:y val="-9.0038360589546992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C-76C9-4531-8FB5-20E8AC4057E0}"/>
                </c:ext>
              </c:extLst>
            </c:dLbl>
            <c:dLbl>
              <c:idx val="16"/>
              <c:layout>
                <c:manualLayout>
                  <c:x val="-2.9629629629630005E-2"/>
                  <c:y val="-5.157682212800323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D-76C9-4531-8FB5-20E8AC4057E0}"/>
                </c:ext>
              </c:extLst>
            </c:dLbl>
            <c:dLbl>
              <c:idx val="17"/>
              <c:layout>
                <c:manualLayout>
                  <c:x val="-3.0812919218431052E-2"/>
                  <c:y val="-6.2039504677299948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E-76C9-4531-8FB5-20E8AC4057E0}"/>
                </c:ext>
              </c:extLst>
            </c:dLbl>
            <c:dLbl>
              <c:idx val="18"/>
              <c:layout>
                <c:manualLayout>
                  <c:x val="-2.7777777777779965E-2"/>
                  <c:y val="-4.0671983309778587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F-76C9-4531-8FB5-20E8AC4057E0}"/>
                </c:ext>
              </c:extLst>
            </c:dLbl>
            <c:dLbl>
              <c:idx val="19"/>
              <c:layout>
                <c:manualLayout>
                  <c:x val="-2.5334354039078438E-2"/>
                  <c:y val="-3.4924961302914059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0-76C9-4531-8FB5-20E8AC4057E0}"/>
                </c:ext>
              </c:extLst>
            </c:dLbl>
            <c:dLbl>
              <c:idx val="20"/>
              <c:layout>
                <c:manualLayout>
                  <c:x val="-2.7777777777779965E-2"/>
                  <c:y val="-6.366175381923415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1-76C9-4531-8FB5-20E8AC4057E0}"/>
                </c:ext>
              </c:extLst>
            </c:dLbl>
            <c:dLbl>
              <c:idx val="21"/>
              <c:layout>
                <c:manualLayout>
                  <c:x val="-2.7263196267133607E-2"/>
                  <c:y val="-7.1470825762163695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2-76C9-4531-8FB5-20E8AC4057E0}"/>
                </c:ext>
              </c:extLst>
            </c:dLbl>
            <c:dLbl>
              <c:idx val="22"/>
              <c:layout>
                <c:manualLayout>
                  <c:x val="-2.7762321376494599E-2"/>
                  <c:y val="-5.3811494717008176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3-76C9-4531-8FB5-20E8AC4057E0}"/>
                </c:ext>
              </c:extLst>
            </c:dLbl>
            <c:dLbl>
              <c:idx val="23"/>
              <c:layout>
                <c:manualLayout>
                  <c:x val="-2.9624526100904047E-2"/>
                  <c:y val="-0.10852412679184623"/>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4-76C9-4531-8FB5-20E8AC4057E0}"/>
                </c:ext>
              </c:extLst>
            </c:dLbl>
            <c:dLbl>
              <c:idx val="24"/>
              <c:layout>
                <c:manualLayout>
                  <c:x val="-2.6594488188976396E-2"/>
                  <c:y val="-4.5976849047715186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5-76C9-4531-8FB5-20E8AC4057E0}"/>
                </c:ext>
              </c:extLst>
            </c:dLbl>
            <c:dLbl>
              <c:idx val="25"/>
              <c:layout>
                <c:manualLayout>
                  <c:x val="-2.5925925925926352E-2"/>
                  <c:y val="-5.1724207550979333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6-76C9-4531-8FB5-20E8AC4057E0}"/>
                </c:ext>
              </c:extLst>
            </c:dLbl>
            <c:dLbl>
              <c:idx val="26"/>
              <c:layout>
                <c:manualLayout>
                  <c:x val="-1.6666666666666923E-2"/>
                  <c:y val="-5.4376808668147224E-2"/>
                </c:manualLayout>
              </c:layout>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7-76C9-4531-8FB5-20E8AC4057E0}"/>
                </c:ext>
              </c:extLst>
            </c:dLbl>
            <c:dLbl>
              <c:idx val="27"/>
              <c:layout>
                <c:manualLayout>
                  <c:x val="-5.4785651793528194E-3"/>
                  <c:y val="-3.4703210175651991E-2"/>
                </c:manualLayout>
              </c:layout>
              <c:tx>
                <c:rich>
                  <a:bodyPr/>
                  <a:lstStyle/>
                  <a:p>
                    <a:r>
                      <a:rPr lang="en-US" sz="747"/>
                      <a:t>12,4</a:t>
                    </a:r>
                    <a:endParaRPr lang="en-US"/>
                  </a:p>
                </c:rich>
              </c:tx>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8-76C9-4531-8FB5-20E8AC4057E0}"/>
                </c:ext>
              </c:extLst>
            </c:dLbl>
            <c:spPr>
              <a:noFill/>
              <a:ln>
                <a:noFill/>
              </a:ln>
              <a:effectLst/>
            </c:spPr>
            <c:txPr>
              <a:bodyPr/>
              <a:lstStyle/>
              <a:p>
                <a:pPr>
                  <a:defRPr sz="747">
                    <a:solidFill>
                      <a:srgbClr val="FF0000"/>
                    </a:solidFill>
                  </a:defRPr>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Лист1!$A$2:$A$30</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Лист1!$C$2:$C$30</c:f>
              <c:numCache>
                <c:formatCode>General</c:formatCode>
                <c:ptCount val="29"/>
                <c:pt idx="0" formatCode="0.0">
                  <c:v>11.2</c:v>
                </c:pt>
                <c:pt idx="1">
                  <c:v>12.1</c:v>
                </c:pt>
                <c:pt idx="2">
                  <c:v>12.2</c:v>
                </c:pt>
                <c:pt idx="3">
                  <c:v>14.5</c:v>
                </c:pt>
                <c:pt idx="4">
                  <c:v>15.7</c:v>
                </c:pt>
                <c:pt idx="5">
                  <c:v>15</c:v>
                </c:pt>
                <c:pt idx="6">
                  <c:v>14.2</c:v>
                </c:pt>
                <c:pt idx="7">
                  <c:v>13.7</c:v>
                </c:pt>
                <c:pt idx="8">
                  <c:v>13.6</c:v>
                </c:pt>
                <c:pt idx="9">
                  <c:v>14.7</c:v>
                </c:pt>
                <c:pt idx="10" formatCode="0.0">
                  <c:v>15.3</c:v>
                </c:pt>
                <c:pt idx="11" formatCode="0.0">
                  <c:v>15.6</c:v>
                </c:pt>
                <c:pt idx="12" formatCode="0.0">
                  <c:v>16.2</c:v>
                </c:pt>
                <c:pt idx="13">
                  <c:v>16.399999999999999</c:v>
                </c:pt>
                <c:pt idx="14">
                  <c:v>15.9</c:v>
                </c:pt>
                <c:pt idx="15">
                  <c:v>16.100000000000001</c:v>
                </c:pt>
                <c:pt idx="16">
                  <c:v>15.1</c:v>
                </c:pt>
                <c:pt idx="17">
                  <c:v>14.6</c:v>
                </c:pt>
                <c:pt idx="18">
                  <c:v>14.5</c:v>
                </c:pt>
                <c:pt idx="19">
                  <c:v>14.1</c:v>
                </c:pt>
                <c:pt idx="20">
                  <c:v>14.2</c:v>
                </c:pt>
                <c:pt idx="21" formatCode="0.0">
                  <c:v>13.5</c:v>
                </c:pt>
                <c:pt idx="22" formatCode="0.0">
                  <c:v>13.3</c:v>
                </c:pt>
                <c:pt idx="23" formatCode="0.0">
                  <c:v>13</c:v>
                </c:pt>
                <c:pt idx="24" formatCode="0.0">
                  <c:v>13.1</c:v>
                </c:pt>
                <c:pt idx="25" formatCode="0.0">
                  <c:v>13</c:v>
                </c:pt>
                <c:pt idx="26" formatCode="0.0">
                  <c:v>12.9</c:v>
                </c:pt>
                <c:pt idx="27" formatCode="0.0">
                  <c:v>12.4</c:v>
                </c:pt>
                <c:pt idx="28" formatCode="0.0">
                  <c:v>12.4</c:v>
                </c:pt>
              </c:numCache>
            </c:numRef>
          </c:val>
          <c:extLst xmlns:c16r2="http://schemas.microsoft.com/office/drawing/2015/06/chart">
            <c:ext xmlns:c16="http://schemas.microsoft.com/office/drawing/2014/chart" uri="{C3380CC4-5D6E-409C-BE32-E72D297353CC}">
              <c16:uniqueId val="{00000039-76C9-4531-8FB5-20E8AC4057E0}"/>
            </c:ext>
          </c:extLst>
        </c:ser>
        <c:marker val="1"/>
        <c:axId val="116632576"/>
        <c:axId val="122299520"/>
      </c:lineChart>
      <c:catAx>
        <c:axId val="116632576"/>
        <c:scaling>
          <c:orientation val="minMax"/>
        </c:scaling>
        <c:axPos val="b"/>
        <c:numFmt formatCode="General" sourceLinked="1"/>
        <c:majorTickMark val="none"/>
        <c:tickLblPos val="nextTo"/>
        <c:txPr>
          <a:bodyPr rot="60000"/>
          <a:lstStyle/>
          <a:p>
            <a:pPr>
              <a:defRPr sz="795" baseline="30000">
                <a:latin typeface="Times New Roman" panose="02020603050405020304" pitchFamily="18" charset="0"/>
                <a:cs typeface="Times New Roman" panose="02020603050405020304" pitchFamily="18" charset="0"/>
              </a:defRPr>
            </a:pPr>
            <a:endParaRPr lang="ru-RU"/>
          </a:p>
        </c:txPr>
        <c:crossAx val="122299520"/>
        <c:crosses val="autoZero"/>
        <c:auto val="1"/>
        <c:lblAlgn val="ctr"/>
        <c:lblOffset val="100"/>
      </c:catAx>
      <c:valAx>
        <c:axId val="122299520"/>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0" sourceLinked="1"/>
        <c:majorTickMark val="none"/>
        <c:tickLblPos val="nextTo"/>
        <c:spPr>
          <a:ln w="9491">
            <a:noFill/>
          </a:ln>
        </c:spPr>
        <c:txPr>
          <a:bodyPr/>
          <a:lstStyle/>
          <a:p>
            <a:pPr>
              <a:defRPr sz="795">
                <a:latin typeface="Times New Roman" panose="02020603050405020304" pitchFamily="18" charset="0"/>
                <a:cs typeface="Times New Roman" panose="02020603050405020304" pitchFamily="18" charset="0"/>
              </a:defRPr>
            </a:pPr>
            <a:endParaRPr lang="ru-RU"/>
          </a:p>
        </c:txPr>
        <c:crossAx val="116632576"/>
        <c:crosses val="autoZero"/>
        <c:crossBetween val="between"/>
      </c:valAx>
    </c:plotArea>
    <c:legend>
      <c:legendPos val="b"/>
      <c:txPr>
        <a:bodyPr/>
        <a:lstStyle/>
        <a:p>
          <a:pPr>
            <a:defRPr sz="1099">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4.1612373190086732E-2"/>
          <c:y val="5.5072661371874027E-2"/>
          <c:w val="0.89713446116023599"/>
          <c:h val="0.65633044312275035"/>
        </c:manualLayout>
      </c:layout>
      <c:lineChart>
        <c:grouping val="stacked"/>
        <c:ser>
          <c:idx val="1"/>
          <c:order val="0"/>
          <c:tx>
            <c:strRef>
              <c:f>Лист1!$D$2</c:f>
              <c:strCache>
                <c:ptCount val="1"/>
                <c:pt idx="0">
                  <c:v>Общая заболеваемость</c:v>
                </c:pt>
              </c:strCache>
            </c:strRef>
          </c:tx>
          <c:marker>
            <c:symbol val="square"/>
            <c:size val="2"/>
          </c:marker>
          <c:dLbls>
            <c:spPr>
              <a:noFill/>
              <a:ln w="24685">
                <a:noFill/>
              </a:ln>
            </c:spPr>
            <c:txPr>
              <a:bodyPr/>
              <a:lstStyle/>
              <a:p>
                <a:pPr>
                  <a:defRPr sz="495" b="0" i="0" u="none" strike="noStrike" baseline="0">
                    <a:solidFill>
                      <a:srgbClr val="000000"/>
                    </a:solidFill>
                    <a:latin typeface="Times New Roman"/>
                    <a:ea typeface="Times New Roman"/>
                    <a:cs typeface="Times New Roman"/>
                  </a:defRPr>
                </a:pPr>
                <a:endParaRPr lang="ru-RU"/>
              </a:p>
            </c:txPr>
            <c:dLblPos val="t"/>
            <c:showVal val="1"/>
            <c:extLst xmlns:c16r2="http://schemas.microsoft.com/office/drawing/2015/06/chart">
              <c:ext xmlns:c15="http://schemas.microsoft.com/office/drawing/2012/chart" uri="{CE6537A1-D6FC-4f65-9D91-7224C49458BB}">
                <c15:layout/>
                <c15:showLeaderLines val="0"/>
              </c:ext>
            </c:extLst>
          </c:dLbls>
          <c:cat>
            <c:numRef>
              <c:f>Лист1!$C$3:$C$29</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Лист1!$D$3:$D$29</c:f>
              <c:numCache>
                <c:formatCode>General</c:formatCode>
                <c:ptCount val="27"/>
                <c:pt idx="0">
                  <c:v>1046.2</c:v>
                </c:pt>
                <c:pt idx="1">
                  <c:v>1094.2</c:v>
                </c:pt>
                <c:pt idx="2">
                  <c:v>1112.9000000000001</c:v>
                </c:pt>
                <c:pt idx="3">
                  <c:v>1151.5999999999999</c:v>
                </c:pt>
                <c:pt idx="4">
                  <c:v>1141</c:v>
                </c:pt>
                <c:pt idx="5">
                  <c:v>1178.7</c:v>
                </c:pt>
                <c:pt idx="6">
                  <c:v>1198.9000000000001</c:v>
                </c:pt>
                <c:pt idx="7">
                  <c:v>1270.9000000000001</c:v>
                </c:pt>
                <c:pt idx="8">
                  <c:v>1323.9</c:v>
                </c:pt>
                <c:pt idx="9">
                  <c:v>1338.3</c:v>
                </c:pt>
                <c:pt idx="10">
                  <c:v>1379.7</c:v>
                </c:pt>
                <c:pt idx="11">
                  <c:v>1401.7</c:v>
                </c:pt>
                <c:pt idx="12">
                  <c:v>1431.1</c:v>
                </c:pt>
                <c:pt idx="13">
                  <c:v>1463.5</c:v>
                </c:pt>
                <c:pt idx="14">
                  <c:v>1517.4</c:v>
                </c:pt>
                <c:pt idx="15">
                  <c:v>1544.2</c:v>
                </c:pt>
                <c:pt idx="16">
                  <c:v>1561.5</c:v>
                </c:pt>
                <c:pt idx="17">
                  <c:v>1607.2</c:v>
                </c:pt>
                <c:pt idx="18">
                  <c:v>1588.3</c:v>
                </c:pt>
                <c:pt idx="19">
                  <c:v>1602.9</c:v>
                </c:pt>
                <c:pt idx="20">
                  <c:v>1604.2</c:v>
                </c:pt>
                <c:pt idx="21">
                  <c:v>1610.6</c:v>
                </c:pt>
                <c:pt idx="22">
                  <c:v>1606.7</c:v>
                </c:pt>
                <c:pt idx="23">
                  <c:v>1600.5</c:v>
                </c:pt>
                <c:pt idx="24">
                  <c:v>1617.6</c:v>
                </c:pt>
                <c:pt idx="25">
                  <c:v>1617.7</c:v>
                </c:pt>
                <c:pt idx="26">
                  <c:v>1634.3</c:v>
                </c:pt>
              </c:numCache>
            </c:numRef>
          </c:val>
          <c:extLst xmlns:c16r2="http://schemas.microsoft.com/office/drawing/2015/06/chart">
            <c:ext xmlns:c16="http://schemas.microsoft.com/office/drawing/2014/chart" uri="{C3380CC4-5D6E-409C-BE32-E72D297353CC}">
              <c16:uniqueId val="{00000000-7489-4001-8B99-9CBC08CDC30D}"/>
            </c:ext>
          </c:extLst>
        </c:ser>
        <c:marker val="1"/>
        <c:axId val="49588864"/>
        <c:axId val="82604416"/>
      </c:lineChart>
      <c:lineChart>
        <c:grouping val="stacked"/>
        <c:ser>
          <c:idx val="2"/>
          <c:order val="1"/>
          <c:tx>
            <c:strRef>
              <c:f>Лист1!$E$2</c:f>
              <c:strCache>
                <c:ptCount val="1"/>
                <c:pt idx="0">
                  <c:v>Первичная заболеваемость</c:v>
                </c:pt>
              </c:strCache>
            </c:strRef>
          </c:tx>
          <c:marker>
            <c:symbol val="triangle"/>
            <c:size val="2"/>
          </c:marker>
          <c:dLbls>
            <c:spPr>
              <a:noFill/>
              <a:ln w="24685">
                <a:noFill/>
              </a:ln>
            </c:spPr>
            <c:txPr>
              <a:bodyPr/>
              <a:lstStyle/>
              <a:p>
                <a:pPr>
                  <a:defRPr sz="495" b="0" i="0" u="none" strike="noStrike" baseline="0">
                    <a:solidFill>
                      <a:srgbClr val="000000"/>
                    </a:solidFill>
                    <a:latin typeface="Times New Roman"/>
                    <a:ea typeface="Times New Roman"/>
                    <a:cs typeface="Times New Roman"/>
                  </a:defRPr>
                </a:pPr>
                <a:endParaRPr lang="ru-RU"/>
              </a:p>
            </c:txPr>
            <c:dLblPos val="b"/>
            <c:showVal val="1"/>
            <c:extLst xmlns:c16r2="http://schemas.microsoft.com/office/drawing/2015/06/chart">
              <c:ext xmlns:c15="http://schemas.microsoft.com/office/drawing/2012/chart" uri="{CE6537A1-D6FC-4f65-9D91-7224C49458BB}">
                <c15:layout/>
                <c15:showLeaderLines val="0"/>
              </c:ext>
            </c:extLst>
          </c:dLbls>
          <c:val>
            <c:numRef>
              <c:f>Лист1!$E$3:$E$29</c:f>
              <c:numCache>
                <c:formatCode>General</c:formatCode>
                <c:ptCount val="27"/>
                <c:pt idx="0">
                  <c:v>615.6</c:v>
                </c:pt>
                <c:pt idx="1">
                  <c:v>656.5</c:v>
                </c:pt>
                <c:pt idx="2">
                  <c:v>653</c:v>
                </c:pt>
                <c:pt idx="3">
                  <c:v>678.8</c:v>
                </c:pt>
                <c:pt idx="4">
                  <c:v>648.4</c:v>
                </c:pt>
                <c:pt idx="5">
                  <c:v>674.2</c:v>
                </c:pt>
                <c:pt idx="6">
                  <c:v>670.4</c:v>
                </c:pt>
                <c:pt idx="7">
                  <c:v>710</c:v>
                </c:pt>
                <c:pt idx="8">
                  <c:v>735.8</c:v>
                </c:pt>
                <c:pt idx="9">
                  <c:v>725.6</c:v>
                </c:pt>
                <c:pt idx="10">
                  <c:v>743.4</c:v>
                </c:pt>
                <c:pt idx="11">
                  <c:v>748.6</c:v>
                </c:pt>
                <c:pt idx="12">
                  <c:v>744.9</c:v>
                </c:pt>
                <c:pt idx="13">
                  <c:v>745.9</c:v>
                </c:pt>
                <c:pt idx="14">
                  <c:v>763.9</c:v>
                </c:pt>
                <c:pt idx="15">
                  <c:v>771</c:v>
                </c:pt>
                <c:pt idx="16">
                  <c:v>772</c:v>
                </c:pt>
                <c:pt idx="17">
                  <c:v>802.5</c:v>
                </c:pt>
                <c:pt idx="18">
                  <c:v>782.6</c:v>
                </c:pt>
                <c:pt idx="19">
                  <c:v>796.9</c:v>
                </c:pt>
                <c:pt idx="20">
                  <c:v>793.9</c:v>
                </c:pt>
                <c:pt idx="21">
                  <c:v>799.4</c:v>
                </c:pt>
                <c:pt idx="22">
                  <c:v>786.2</c:v>
                </c:pt>
                <c:pt idx="23">
                  <c:v>778.1</c:v>
                </c:pt>
                <c:pt idx="24">
                  <c:v>785.3</c:v>
                </c:pt>
                <c:pt idx="25">
                  <c:v>779.1</c:v>
                </c:pt>
                <c:pt idx="26">
                  <c:v>781.9</c:v>
                </c:pt>
              </c:numCache>
            </c:numRef>
          </c:val>
          <c:extLst xmlns:c16r2="http://schemas.microsoft.com/office/drawing/2015/06/chart">
            <c:ext xmlns:c16="http://schemas.microsoft.com/office/drawing/2014/chart" uri="{C3380CC4-5D6E-409C-BE32-E72D297353CC}">
              <c16:uniqueId val="{00000001-7489-4001-8B99-9CBC08CDC30D}"/>
            </c:ext>
          </c:extLst>
        </c:ser>
        <c:marker val="1"/>
        <c:axId val="82605952"/>
        <c:axId val="82607488"/>
      </c:lineChart>
      <c:catAx>
        <c:axId val="49588864"/>
        <c:scaling>
          <c:orientation val="minMax"/>
        </c:scaling>
        <c:axPos val="b"/>
        <c:numFmt formatCode="General" sourceLinked="1"/>
        <c:tickLblPos val="nextTo"/>
        <c:txPr>
          <a:bodyPr rot="0" vert="horz"/>
          <a:lstStyle/>
          <a:p>
            <a:pPr>
              <a:defRPr sz="695" b="0" i="0" u="none" strike="noStrike" baseline="0">
                <a:solidFill>
                  <a:srgbClr val="000000"/>
                </a:solidFill>
                <a:latin typeface="Times New Roman"/>
                <a:ea typeface="Times New Roman"/>
                <a:cs typeface="Times New Roman"/>
              </a:defRPr>
            </a:pPr>
            <a:endParaRPr lang="ru-RU"/>
          </a:p>
        </c:txPr>
        <c:crossAx val="82604416"/>
        <c:crosses val="autoZero"/>
        <c:auto val="1"/>
        <c:lblAlgn val="ctr"/>
        <c:lblOffset val="100"/>
      </c:catAx>
      <c:valAx>
        <c:axId val="82604416"/>
        <c:scaling>
          <c:orientation val="minMax"/>
          <c:min val="400"/>
        </c:scaling>
        <c:axPos val="l"/>
        <c:majorGridlines/>
        <c:numFmt formatCode="General" sourceLinked="1"/>
        <c:tickLblPos val="nextTo"/>
        <c:txPr>
          <a:bodyPr rot="0" vert="horz"/>
          <a:lstStyle/>
          <a:p>
            <a:pPr>
              <a:defRPr sz="695" b="0" i="0" u="none" strike="noStrike" baseline="0">
                <a:solidFill>
                  <a:srgbClr val="000000"/>
                </a:solidFill>
                <a:latin typeface="Times New Roman"/>
                <a:ea typeface="Times New Roman"/>
                <a:cs typeface="Times New Roman"/>
              </a:defRPr>
            </a:pPr>
            <a:endParaRPr lang="ru-RU"/>
          </a:p>
        </c:txPr>
        <c:crossAx val="49588864"/>
        <c:crosses val="autoZero"/>
        <c:crossBetween val="between"/>
      </c:valAx>
      <c:catAx>
        <c:axId val="82605952"/>
        <c:scaling>
          <c:orientation val="minMax"/>
        </c:scaling>
        <c:delete val="1"/>
        <c:axPos val="b"/>
        <c:tickLblPos val="none"/>
        <c:crossAx val="82607488"/>
        <c:crosses val="autoZero"/>
        <c:auto val="1"/>
        <c:lblAlgn val="ctr"/>
        <c:lblOffset val="100"/>
      </c:catAx>
      <c:valAx>
        <c:axId val="82607488"/>
        <c:scaling>
          <c:orientation val="minMax"/>
          <c:min val="600"/>
        </c:scaling>
        <c:axPos val="r"/>
        <c:numFmt formatCode="General" sourceLinked="1"/>
        <c:tickLblPos val="nextTo"/>
        <c:txPr>
          <a:bodyPr rot="0" vert="horz"/>
          <a:lstStyle/>
          <a:p>
            <a:pPr>
              <a:defRPr sz="695" b="0" i="0" u="none" strike="noStrike" baseline="0">
                <a:solidFill>
                  <a:srgbClr val="000000"/>
                </a:solidFill>
                <a:latin typeface="Times New Roman"/>
                <a:ea typeface="Times New Roman"/>
                <a:cs typeface="Times New Roman"/>
              </a:defRPr>
            </a:pPr>
            <a:endParaRPr lang="ru-RU"/>
          </a:p>
        </c:txPr>
        <c:crossAx val="82605952"/>
        <c:crosses val="max"/>
        <c:crossBetween val="between"/>
      </c:valAx>
    </c:plotArea>
    <c:legend>
      <c:legendPos val="b"/>
      <c:txPr>
        <a:bodyPr/>
        <a:lstStyle/>
        <a:p>
          <a:pPr>
            <a:defRPr sz="998" b="0" i="0" u="none" strike="noStrike" baseline="0">
              <a:solidFill>
                <a:srgbClr val="000000"/>
              </a:solidFill>
              <a:latin typeface="Times New Roman"/>
              <a:ea typeface="Times New Roman"/>
              <a:cs typeface="Times New Roman"/>
            </a:defRPr>
          </a:pPr>
          <a:endParaRPr lang="ru-RU"/>
        </a:p>
      </c:txPr>
    </c:legend>
    <c:plotVisOnly val="1"/>
    <c:dispBlanksAs val="zero"/>
  </c:chart>
  <c:txPr>
    <a:bodyPr/>
    <a:lstStyle/>
    <a:p>
      <a:pPr>
        <a:defRPr sz="695" b="0" i="0" u="none" strike="noStrike" baseline="0">
          <a:solidFill>
            <a:srgbClr val="000000"/>
          </a:solidFill>
          <a:latin typeface="Times New Roman"/>
          <a:ea typeface="Times New Roman"/>
          <a:cs typeface="Times New Roman"/>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433</TotalTime>
  <Pages>197</Pages>
  <Words>56448</Words>
  <Characters>321757</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TarasenkoMA</dc:creator>
  <cp:lastModifiedBy>IvashovaNA</cp:lastModifiedBy>
  <cp:revision>78</cp:revision>
  <cp:lastPrinted>2019-05-31T15:12:00Z</cp:lastPrinted>
  <dcterms:created xsi:type="dcterms:W3CDTF">2019-05-28T11:22:00Z</dcterms:created>
  <dcterms:modified xsi:type="dcterms:W3CDTF">2019-05-31T15:13:00Z</dcterms:modified>
</cp:coreProperties>
</file>