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D2" w:rsidRPr="00FA134B" w:rsidRDefault="005B09D2" w:rsidP="005B09D2">
      <w:pPr>
        <w:pStyle w:val="3"/>
        <w:pBdr>
          <w:bottom w:val="single" w:sz="6" w:space="1" w:color="auto"/>
        </w:pBd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B09D2" w:rsidRPr="00FA134B" w:rsidRDefault="005B09D2" w:rsidP="00C53DA2">
      <w:pPr>
        <w:shd w:val="clear" w:color="auto" w:fill="FFFFFF"/>
        <w:spacing w:line="360" w:lineRule="auto"/>
        <w:rPr>
          <w:b/>
          <w:sz w:val="28"/>
          <w:szCs w:val="28"/>
        </w:rPr>
      </w:pPr>
      <w:proofErr w:type="spellStart"/>
      <w:r w:rsidRPr="00FA134B">
        <w:rPr>
          <w:b/>
          <w:sz w:val="28"/>
          <w:szCs w:val="28"/>
        </w:rPr>
        <w:t>Вольтаметрическое</w:t>
      </w:r>
      <w:proofErr w:type="spellEnd"/>
      <w:r w:rsidRPr="00FA134B">
        <w:rPr>
          <w:sz w:val="28"/>
          <w:szCs w:val="28"/>
        </w:rPr>
        <w:t xml:space="preserve"> </w:t>
      </w:r>
      <w:r w:rsidRPr="00FA134B">
        <w:rPr>
          <w:sz w:val="28"/>
          <w:szCs w:val="28"/>
        </w:rPr>
        <w:tab/>
      </w:r>
      <w:r w:rsidRPr="00FA134B">
        <w:rPr>
          <w:sz w:val="28"/>
          <w:szCs w:val="28"/>
        </w:rPr>
        <w:tab/>
      </w:r>
      <w:r w:rsidRPr="00FA134B">
        <w:rPr>
          <w:sz w:val="28"/>
          <w:szCs w:val="28"/>
        </w:rPr>
        <w:tab/>
      </w:r>
      <w:r w:rsidRPr="00FA134B">
        <w:rPr>
          <w:sz w:val="28"/>
          <w:szCs w:val="28"/>
        </w:rPr>
        <w:tab/>
      </w:r>
      <w:r w:rsidR="00A36468" w:rsidRPr="00FA134B">
        <w:rPr>
          <w:sz w:val="28"/>
          <w:szCs w:val="28"/>
        </w:rPr>
        <w:tab/>
      </w:r>
      <w:r w:rsidR="009474CD">
        <w:rPr>
          <w:sz w:val="28"/>
          <w:szCs w:val="28"/>
        </w:rPr>
        <w:tab/>
      </w:r>
      <w:r w:rsidRPr="00FA134B">
        <w:rPr>
          <w:b/>
          <w:sz w:val="28"/>
          <w:szCs w:val="28"/>
        </w:rPr>
        <w:t>ОФС</w:t>
      </w:r>
    </w:p>
    <w:p w:rsidR="00A36468" w:rsidRPr="00FA134B" w:rsidRDefault="005B09D2" w:rsidP="00A36468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FA134B">
        <w:rPr>
          <w:b/>
          <w:sz w:val="28"/>
          <w:szCs w:val="28"/>
        </w:rPr>
        <w:t>титрование</w:t>
      </w:r>
      <w:proofErr w:type="gramStart"/>
      <w:r w:rsidRPr="00FA134B">
        <w:rPr>
          <w:b/>
          <w:sz w:val="28"/>
          <w:szCs w:val="28"/>
        </w:rPr>
        <w:t xml:space="preserve">   </w:t>
      </w:r>
      <w:r w:rsidRPr="00FA134B">
        <w:rPr>
          <w:b/>
          <w:sz w:val="28"/>
          <w:szCs w:val="28"/>
        </w:rPr>
        <w:tab/>
      </w:r>
      <w:r w:rsidRPr="00FA134B">
        <w:rPr>
          <w:b/>
          <w:sz w:val="28"/>
          <w:szCs w:val="28"/>
        </w:rPr>
        <w:tab/>
      </w:r>
      <w:r w:rsidRPr="00FA134B">
        <w:rPr>
          <w:b/>
          <w:sz w:val="28"/>
          <w:szCs w:val="28"/>
        </w:rPr>
        <w:tab/>
      </w:r>
      <w:r w:rsidRPr="00FA134B">
        <w:rPr>
          <w:b/>
          <w:sz w:val="28"/>
          <w:szCs w:val="28"/>
        </w:rPr>
        <w:tab/>
      </w:r>
      <w:r w:rsidRPr="00FA134B">
        <w:rPr>
          <w:b/>
          <w:sz w:val="28"/>
          <w:szCs w:val="28"/>
        </w:rPr>
        <w:tab/>
      </w:r>
      <w:r w:rsidR="00A36468" w:rsidRPr="00FA134B">
        <w:rPr>
          <w:b/>
          <w:sz w:val="28"/>
          <w:szCs w:val="28"/>
        </w:rPr>
        <w:tab/>
      </w:r>
      <w:r w:rsidR="009474CD">
        <w:rPr>
          <w:b/>
          <w:sz w:val="28"/>
          <w:szCs w:val="28"/>
        </w:rPr>
        <w:tab/>
      </w:r>
      <w:r w:rsidRPr="00FA134B">
        <w:rPr>
          <w:b/>
          <w:sz w:val="28"/>
          <w:szCs w:val="28"/>
        </w:rPr>
        <w:t>В</w:t>
      </w:r>
      <w:proofErr w:type="gramEnd"/>
      <w:r w:rsidRPr="00FA134B">
        <w:rPr>
          <w:b/>
          <w:sz w:val="28"/>
          <w:szCs w:val="28"/>
        </w:rPr>
        <w:t xml:space="preserve">водится </w:t>
      </w:r>
      <w:r w:rsidR="00A36468" w:rsidRPr="00FA134B">
        <w:rPr>
          <w:b/>
          <w:sz w:val="28"/>
          <w:szCs w:val="28"/>
        </w:rPr>
        <w:t>в</w:t>
      </w:r>
      <w:r w:rsidRPr="00FA134B">
        <w:rPr>
          <w:b/>
          <w:sz w:val="28"/>
          <w:szCs w:val="28"/>
        </w:rPr>
        <w:t>первые</w:t>
      </w:r>
    </w:p>
    <w:p w:rsidR="005B09D2" w:rsidRPr="00FA134B" w:rsidRDefault="005B09D2" w:rsidP="00A36468">
      <w:pPr>
        <w:shd w:val="clear" w:color="auto" w:fill="FFFFFF"/>
        <w:spacing w:line="360" w:lineRule="auto"/>
        <w:rPr>
          <w:sz w:val="28"/>
          <w:szCs w:val="28"/>
        </w:rPr>
      </w:pPr>
      <w:r w:rsidRPr="00FA134B">
        <w:rPr>
          <w:sz w:val="28"/>
          <w:szCs w:val="28"/>
        </w:rPr>
        <w:t>______________________________________</w:t>
      </w:r>
      <w:r w:rsidR="00A36468" w:rsidRPr="00FA134B">
        <w:rPr>
          <w:sz w:val="28"/>
          <w:szCs w:val="28"/>
        </w:rPr>
        <w:t>____________________________</w:t>
      </w:r>
    </w:p>
    <w:p w:rsidR="005B09D2" w:rsidRPr="00FA134B" w:rsidRDefault="005B09D2" w:rsidP="005B09D2">
      <w:pPr>
        <w:pStyle w:val="2"/>
        <w:shd w:val="clear" w:color="auto" w:fill="FFFFFF"/>
        <w:tabs>
          <w:tab w:val="left" w:pos="4395"/>
        </w:tabs>
        <w:ind w:right="-4820" w:firstLine="0"/>
        <w:jc w:val="left"/>
        <w:rPr>
          <w:sz w:val="28"/>
          <w:szCs w:val="28"/>
        </w:rPr>
      </w:pPr>
    </w:p>
    <w:p w:rsidR="00FF3A3A" w:rsidRPr="00FA134B" w:rsidRDefault="00FF3A3A" w:rsidP="005B09D2">
      <w:pPr>
        <w:pStyle w:val="2"/>
        <w:shd w:val="clear" w:color="auto" w:fill="FFFFFF"/>
        <w:tabs>
          <w:tab w:val="left" w:pos="4395"/>
        </w:tabs>
        <w:ind w:right="-4820" w:firstLine="0"/>
        <w:jc w:val="left"/>
        <w:rPr>
          <w:sz w:val="28"/>
          <w:szCs w:val="28"/>
        </w:rPr>
      </w:pPr>
    </w:p>
    <w:p w:rsidR="005B09D2" w:rsidRPr="00FA134B" w:rsidRDefault="005B09D2" w:rsidP="005B09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134B">
        <w:rPr>
          <w:sz w:val="28"/>
          <w:szCs w:val="28"/>
        </w:rPr>
        <w:t>Настоящая общая фармакопейная статья распространяется на метод вольтаметрического титрования</w:t>
      </w:r>
      <w:r w:rsidR="0080651C" w:rsidRPr="00FA134B">
        <w:rPr>
          <w:sz w:val="28"/>
          <w:szCs w:val="28"/>
        </w:rPr>
        <w:t>, используемый для обнаружения, идентификации и количественного определения различных неорганических и органических веществ в виде катионов и анионов в лекарственных препаратах.</w:t>
      </w:r>
    </w:p>
    <w:p w:rsidR="005B09D2" w:rsidRPr="00FA134B" w:rsidRDefault="00050CE5" w:rsidP="005B09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134B">
        <w:rPr>
          <w:sz w:val="28"/>
          <w:szCs w:val="28"/>
        </w:rPr>
        <w:t>При вольтаметрическом титровани</w:t>
      </w:r>
      <w:r w:rsidR="00A1685A" w:rsidRPr="00FA134B">
        <w:rPr>
          <w:sz w:val="28"/>
          <w:szCs w:val="28"/>
        </w:rPr>
        <w:t>и</w:t>
      </w:r>
      <w:r w:rsidR="005B09D2" w:rsidRPr="00FA134B">
        <w:rPr>
          <w:sz w:val="28"/>
          <w:szCs w:val="28"/>
        </w:rPr>
        <w:t xml:space="preserve"> </w:t>
      </w:r>
      <w:r w:rsidR="00A36468" w:rsidRPr="00FA134B">
        <w:rPr>
          <w:sz w:val="28"/>
          <w:szCs w:val="28"/>
        </w:rPr>
        <w:t xml:space="preserve">измеряют равновесное напряжение при </w:t>
      </w:r>
      <w:r w:rsidR="0080651C" w:rsidRPr="00FA134B">
        <w:rPr>
          <w:sz w:val="28"/>
          <w:szCs w:val="28"/>
        </w:rPr>
        <w:t xml:space="preserve">поддерживаемой постоянной </w:t>
      </w:r>
      <w:r w:rsidR="00A36468" w:rsidRPr="00FA134B">
        <w:rPr>
          <w:sz w:val="28"/>
          <w:szCs w:val="28"/>
        </w:rPr>
        <w:t xml:space="preserve">силе тока </w:t>
      </w:r>
      <w:r w:rsidR="0080651C" w:rsidRPr="00FA134B">
        <w:rPr>
          <w:sz w:val="28"/>
          <w:szCs w:val="28"/>
        </w:rPr>
        <w:t>между двумя погружёнными в анализируемый раствор электродами (индикаторным и электродом сравнения</w:t>
      </w:r>
      <w:r w:rsidR="00A97447" w:rsidRPr="00FA134B">
        <w:rPr>
          <w:sz w:val="28"/>
          <w:szCs w:val="28"/>
        </w:rPr>
        <w:t>)</w:t>
      </w:r>
      <w:r w:rsidR="0080651C" w:rsidRPr="00FA134B">
        <w:rPr>
          <w:sz w:val="28"/>
          <w:szCs w:val="28"/>
        </w:rPr>
        <w:t xml:space="preserve"> </w:t>
      </w:r>
      <w:r w:rsidR="00A36468" w:rsidRPr="00FA134B">
        <w:rPr>
          <w:sz w:val="28"/>
          <w:szCs w:val="28"/>
        </w:rPr>
        <w:t xml:space="preserve">в зависимости от количества прибавленного титранта. До точки эквивалентности после каждой порции титранта происходит кратковременное </w:t>
      </w:r>
      <w:r w:rsidR="00717668" w:rsidRPr="00FA134B">
        <w:rPr>
          <w:sz w:val="28"/>
          <w:szCs w:val="28"/>
        </w:rPr>
        <w:t xml:space="preserve">снижение </w:t>
      </w:r>
      <w:r w:rsidR="00A36468" w:rsidRPr="00FA134B">
        <w:rPr>
          <w:sz w:val="28"/>
          <w:szCs w:val="28"/>
        </w:rPr>
        <w:t>напряжени</w:t>
      </w:r>
      <w:r w:rsidR="00A136E9" w:rsidRPr="00FA134B">
        <w:rPr>
          <w:sz w:val="28"/>
          <w:szCs w:val="28"/>
        </w:rPr>
        <w:t>я</w:t>
      </w:r>
      <w:r w:rsidR="00A36468" w:rsidRPr="00FA134B">
        <w:rPr>
          <w:sz w:val="28"/>
          <w:szCs w:val="28"/>
        </w:rPr>
        <w:t xml:space="preserve"> с возвращением к равновесному значению. После достижения точки эквивалентности происходит устойчивое </w:t>
      </w:r>
      <w:r w:rsidR="0080651C" w:rsidRPr="00FA134B">
        <w:rPr>
          <w:sz w:val="28"/>
          <w:szCs w:val="28"/>
        </w:rPr>
        <w:t xml:space="preserve">снижение </w:t>
      </w:r>
      <w:r w:rsidR="00A36468" w:rsidRPr="00FA134B">
        <w:rPr>
          <w:sz w:val="28"/>
          <w:szCs w:val="28"/>
        </w:rPr>
        <w:t>напряжения.</w:t>
      </w:r>
    </w:p>
    <w:p w:rsidR="0080651C" w:rsidRPr="00FA134B" w:rsidRDefault="0080651C" w:rsidP="00B56349">
      <w:pPr>
        <w:pStyle w:val="a5"/>
        <w:spacing w:before="0" w:beforeAutospacing="0" w:after="0" w:afterAutospacing="0" w:line="360" w:lineRule="auto"/>
        <w:ind w:firstLine="618"/>
        <w:jc w:val="center"/>
        <w:rPr>
          <w:b/>
          <w:sz w:val="28"/>
          <w:szCs w:val="28"/>
        </w:rPr>
      </w:pPr>
    </w:p>
    <w:p w:rsidR="005B09D2" w:rsidRPr="00FA134B" w:rsidRDefault="00717668" w:rsidP="00C53DA2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A134B">
        <w:rPr>
          <w:b/>
          <w:sz w:val="28"/>
          <w:szCs w:val="28"/>
        </w:rPr>
        <w:t>П</w:t>
      </w:r>
      <w:r w:rsidR="004A43D0" w:rsidRPr="00FA134B">
        <w:rPr>
          <w:b/>
          <w:sz w:val="28"/>
          <w:szCs w:val="28"/>
        </w:rPr>
        <w:t>РИБОР</w:t>
      </w:r>
    </w:p>
    <w:p w:rsidR="005B09D2" w:rsidRPr="00FA134B" w:rsidRDefault="005B09D2" w:rsidP="005B09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134B">
        <w:rPr>
          <w:sz w:val="28"/>
          <w:szCs w:val="28"/>
        </w:rPr>
        <w:t xml:space="preserve">Прибор состоит из регулируемого источника тока и вольтметра; система детектирования обычно включает </w:t>
      </w:r>
      <w:r w:rsidR="007324E0" w:rsidRPr="00FA134B">
        <w:rPr>
          <w:sz w:val="28"/>
          <w:szCs w:val="28"/>
        </w:rPr>
        <w:t>два электрода (например, платиновы</w:t>
      </w:r>
      <w:r w:rsidR="007911EB" w:rsidRPr="00FA134B">
        <w:rPr>
          <w:sz w:val="28"/>
          <w:szCs w:val="28"/>
        </w:rPr>
        <w:t>е</w:t>
      </w:r>
      <w:r w:rsidR="007324E0" w:rsidRPr="00FA134B">
        <w:rPr>
          <w:sz w:val="28"/>
          <w:szCs w:val="28"/>
        </w:rPr>
        <w:t xml:space="preserve"> электрод</w:t>
      </w:r>
      <w:r w:rsidR="007911EB" w:rsidRPr="00FA134B">
        <w:rPr>
          <w:sz w:val="28"/>
          <w:szCs w:val="28"/>
        </w:rPr>
        <w:t>ы</w:t>
      </w:r>
      <w:r w:rsidR="007324E0" w:rsidRPr="00FA134B">
        <w:rPr>
          <w:sz w:val="28"/>
          <w:szCs w:val="28"/>
        </w:rPr>
        <w:t>, электрод</w:t>
      </w:r>
      <w:r w:rsidR="007911EB" w:rsidRPr="00FA134B">
        <w:rPr>
          <w:sz w:val="28"/>
          <w:szCs w:val="28"/>
        </w:rPr>
        <w:t>ы</w:t>
      </w:r>
      <w:r w:rsidR="007324E0" w:rsidRPr="00FA134B">
        <w:rPr>
          <w:sz w:val="28"/>
          <w:szCs w:val="28"/>
        </w:rPr>
        <w:t xml:space="preserve"> с вращающимися дисками или угольны</w:t>
      </w:r>
      <w:r w:rsidR="007911EB" w:rsidRPr="00FA134B">
        <w:rPr>
          <w:sz w:val="28"/>
          <w:szCs w:val="28"/>
        </w:rPr>
        <w:t>е</w:t>
      </w:r>
      <w:r w:rsidR="007324E0" w:rsidRPr="00FA134B">
        <w:rPr>
          <w:sz w:val="28"/>
          <w:szCs w:val="28"/>
        </w:rPr>
        <w:t xml:space="preserve"> электрод</w:t>
      </w:r>
      <w:r w:rsidR="007911EB" w:rsidRPr="00FA134B">
        <w:rPr>
          <w:sz w:val="28"/>
          <w:szCs w:val="28"/>
        </w:rPr>
        <w:t>ы</w:t>
      </w:r>
      <w:r w:rsidR="007324E0" w:rsidRPr="00FA134B">
        <w:rPr>
          <w:sz w:val="28"/>
          <w:szCs w:val="28"/>
        </w:rPr>
        <w:t xml:space="preserve">) один из которых </w:t>
      </w:r>
      <w:r w:rsidRPr="00FA134B">
        <w:rPr>
          <w:sz w:val="28"/>
          <w:szCs w:val="28"/>
        </w:rPr>
        <w:t>индикаторный.</w:t>
      </w:r>
      <w:r w:rsidR="00A97447" w:rsidRPr="00FA134B">
        <w:rPr>
          <w:sz w:val="28"/>
          <w:szCs w:val="28"/>
        </w:rPr>
        <w:t xml:space="preserve"> </w:t>
      </w:r>
    </w:p>
    <w:p w:rsidR="00B06A2C" w:rsidRPr="00FA134B" w:rsidRDefault="00B06A2C" w:rsidP="005B09D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FF3A3A" w:rsidRPr="00FA134B" w:rsidRDefault="00FF3A3A" w:rsidP="005B09D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2E70DF" w:rsidRPr="00FA134B" w:rsidRDefault="002E70DF" w:rsidP="002E70D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FA134B">
        <w:rPr>
          <w:b/>
          <w:sz w:val="28"/>
          <w:szCs w:val="28"/>
        </w:rPr>
        <w:t>МЕТОДИКА</w:t>
      </w:r>
    </w:p>
    <w:p w:rsidR="002E70DF" w:rsidRPr="00FA134B" w:rsidRDefault="002E70DF" w:rsidP="002E70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134B">
        <w:rPr>
          <w:sz w:val="28"/>
          <w:szCs w:val="28"/>
        </w:rPr>
        <w:t xml:space="preserve">Настраивают ток на индикаторном электроде, как указано в частной фармакопейной статье, и строят график зависимости начального напряжения </w:t>
      </w:r>
      <w:r w:rsidRPr="00FA134B">
        <w:rPr>
          <w:sz w:val="28"/>
          <w:szCs w:val="28"/>
        </w:rPr>
        <w:lastRenderedPageBreak/>
        <w:t xml:space="preserve">и значений, полученных при титровании, как функций количества прибавленного </w:t>
      </w:r>
      <w:proofErr w:type="spellStart"/>
      <w:r w:rsidRPr="00FA134B">
        <w:rPr>
          <w:sz w:val="28"/>
          <w:szCs w:val="28"/>
        </w:rPr>
        <w:t>титранта</w:t>
      </w:r>
      <w:proofErr w:type="spellEnd"/>
      <w:r w:rsidRPr="00FA134B">
        <w:rPr>
          <w:sz w:val="28"/>
          <w:szCs w:val="28"/>
        </w:rPr>
        <w:t xml:space="preserve"> (рисунок).</w:t>
      </w:r>
    </w:p>
    <w:p w:rsidR="002E70DF" w:rsidRPr="00FA134B" w:rsidRDefault="002E70DF" w:rsidP="002E70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134B">
        <w:rPr>
          <w:sz w:val="28"/>
          <w:szCs w:val="28"/>
        </w:rPr>
        <w:t xml:space="preserve">Прибавляют </w:t>
      </w:r>
      <w:proofErr w:type="spellStart"/>
      <w:r w:rsidRPr="00FA134B">
        <w:rPr>
          <w:sz w:val="28"/>
          <w:szCs w:val="28"/>
        </w:rPr>
        <w:t>титрант</w:t>
      </w:r>
      <w:proofErr w:type="spellEnd"/>
      <w:r w:rsidRPr="00FA134B">
        <w:rPr>
          <w:sz w:val="28"/>
          <w:szCs w:val="28"/>
        </w:rPr>
        <w:t xml:space="preserve"> не менее чем тремя последовательными порциями, составляющими в сумме около 80 % от теоретического объёма, соответствующего ожидаемой точке эквивалентности. Соединяют полученные значения прямой линией. Продолжают прибавление </w:t>
      </w:r>
      <w:proofErr w:type="spellStart"/>
      <w:r w:rsidRPr="00FA134B">
        <w:rPr>
          <w:sz w:val="28"/>
          <w:szCs w:val="28"/>
        </w:rPr>
        <w:t>титранта</w:t>
      </w:r>
      <w:proofErr w:type="spellEnd"/>
      <w:r w:rsidRPr="00FA134B">
        <w:rPr>
          <w:sz w:val="28"/>
          <w:szCs w:val="28"/>
        </w:rPr>
        <w:t xml:space="preserve"> сверх ожидаемой точки эквивалентности не менее чем тремя последовательными порциями. Соединяют полученные значения второй прямой линией. Находят точку пересечения двух полученных линий, которая соответствует точке эквивалентности.</w:t>
      </w:r>
    </w:p>
    <w:p w:rsidR="002E70DF" w:rsidRPr="00FA134B" w:rsidRDefault="002E70DF" w:rsidP="002E70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134B">
        <w:rPr>
          <w:sz w:val="28"/>
          <w:szCs w:val="28"/>
        </w:rPr>
        <w:t xml:space="preserve">При использовании систем </w:t>
      </w:r>
      <w:proofErr w:type="spellStart"/>
      <w:r w:rsidRPr="00FA134B">
        <w:rPr>
          <w:sz w:val="28"/>
          <w:szCs w:val="28"/>
        </w:rPr>
        <w:t>вольтаметрического</w:t>
      </w:r>
      <w:proofErr w:type="spellEnd"/>
      <w:r w:rsidRPr="00FA134B">
        <w:rPr>
          <w:sz w:val="28"/>
          <w:szCs w:val="28"/>
        </w:rPr>
        <w:t xml:space="preserve"> титрования с двумя индикаторными электродами записывают и анализируют всю кривую титрования.</w:t>
      </w:r>
    </w:p>
    <w:p w:rsidR="002E70DF" w:rsidRPr="00FA134B" w:rsidRDefault="002E70DF" w:rsidP="002E70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E70DF" w:rsidRPr="00FA134B" w:rsidRDefault="002E70DF" w:rsidP="002E70DF">
      <w:pPr>
        <w:shd w:val="clear" w:color="auto" w:fill="FFFFFF"/>
        <w:spacing w:line="360" w:lineRule="auto"/>
        <w:ind w:firstLine="709"/>
        <w:jc w:val="both"/>
      </w:pPr>
      <w:r w:rsidRPr="00FA134B">
        <w:object w:dxaOrig="22508" w:dyaOrig="15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6pt;height:219.15pt" o:ole="">
            <v:imagedata r:id="rId7" o:title=""/>
          </v:shape>
          <o:OLEObject Type="Embed" ProgID="Unknown" ShapeID="_x0000_i1025" DrawAspect="Content" ObjectID="_1626084113" r:id="rId8"/>
        </w:object>
      </w:r>
    </w:p>
    <w:p w:rsidR="002E70DF" w:rsidRPr="00FA134B" w:rsidRDefault="002E70DF" w:rsidP="002E70D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A134B">
        <w:t xml:space="preserve">Рисунок – пример построения графика </w:t>
      </w:r>
      <w:proofErr w:type="spellStart"/>
      <w:r w:rsidRPr="00FA134B">
        <w:t>вольтаметрического</w:t>
      </w:r>
      <w:proofErr w:type="spellEnd"/>
      <w:r w:rsidRPr="00FA134B">
        <w:t xml:space="preserve"> титрования</w:t>
      </w:r>
    </w:p>
    <w:p w:rsidR="00881B26" w:rsidRPr="00FA134B" w:rsidRDefault="00881B26" w:rsidP="002E70D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sectPr w:rsidR="00881B26" w:rsidRPr="00FA134B" w:rsidSect="00717668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9F2" w:rsidRDefault="005D59F2" w:rsidP="00A36468">
      <w:r>
        <w:separator/>
      </w:r>
    </w:p>
  </w:endnote>
  <w:endnote w:type="continuationSeparator" w:id="0">
    <w:p w:rsidR="005D59F2" w:rsidRDefault="005D59F2" w:rsidP="00A3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3555"/>
      <w:docPartObj>
        <w:docPartGallery w:val="Page Numbers (Bottom of Page)"/>
        <w:docPartUnique/>
      </w:docPartObj>
    </w:sdtPr>
    <w:sdtContent>
      <w:p w:rsidR="00B06A2C" w:rsidRDefault="00573782">
        <w:pPr>
          <w:pStyle w:val="ab"/>
          <w:jc w:val="center"/>
        </w:pPr>
        <w:r w:rsidRPr="00B06A2C">
          <w:rPr>
            <w:sz w:val="28"/>
            <w:szCs w:val="28"/>
          </w:rPr>
          <w:fldChar w:fldCharType="begin"/>
        </w:r>
        <w:r w:rsidR="00B06A2C" w:rsidRPr="00B06A2C">
          <w:rPr>
            <w:sz w:val="28"/>
            <w:szCs w:val="28"/>
          </w:rPr>
          <w:instrText xml:space="preserve"> PAGE   \* MERGEFORMAT </w:instrText>
        </w:r>
        <w:r w:rsidRPr="00B06A2C">
          <w:rPr>
            <w:sz w:val="28"/>
            <w:szCs w:val="28"/>
          </w:rPr>
          <w:fldChar w:fldCharType="separate"/>
        </w:r>
        <w:r w:rsidR="009474CD">
          <w:rPr>
            <w:noProof/>
            <w:sz w:val="28"/>
            <w:szCs w:val="28"/>
          </w:rPr>
          <w:t>2</w:t>
        </w:r>
        <w:r w:rsidRPr="00B06A2C">
          <w:rPr>
            <w:sz w:val="28"/>
            <w:szCs w:val="28"/>
          </w:rPr>
          <w:fldChar w:fldCharType="end"/>
        </w:r>
      </w:p>
    </w:sdtContent>
  </w:sdt>
  <w:p w:rsidR="00B06A2C" w:rsidRDefault="00B06A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9F2" w:rsidRDefault="005D59F2" w:rsidP="00A36468">
      <w:r>
        <w:separator/>
      </w:r>
    </w:p>
  </w:footnote>
  <w:footnote w:type="continuationSeparator" w:id="0">
    <w:p w:rsidR="005D59F2" w:rsidRDefault="005D59F2" w:rsidP="00A36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68" w:rsidRPr="00A36468" w:rsidRDefault="00A36468" w:rsidP="00A36468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B95"/>
    <w:multiLevelType w:val="hybridMultilevel"/>
    <w:tmpl w:val="229AC248"/>
    <w:lvl w:ilvl="0" w:tplc="C268C388">
      <w:start w:val="1"/>
      <w:numFmt w:val="decimal"/>
      <w:lvlText w:val="%1"/>
      <w:lvlJc w:val="left"/>
      <w:pPr>
        <w:ind w:left="97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">
    <w:nsid w:val="5E4D0360"/>
    <w:multiLevelType w:val="hybridMultilevel"/>
    <w:tmpl w:val="C86C53B8"/>
    <w:lvl w:ilvl="0" w:tplc="6B0AD1D0">
      <w:start w:val="1"/>
      <w:numFmt w:val="decimal"/>
      <w:lvlText w:val="%1)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9D2"/>
    <w:rsid w:val="00003E01"/>
    <w:rsid w:val="00050CE5"/>
    <w:rsid w:val="00065A87"/>
    <w:rsid w:val="00094242"/>
    <w:rsid w:val="000A59A5"/>
    <w:rsid w:val="000A706B"/>
    <w:rsid w:val="000D32AA"/>
    <w:rsid w:val="001800FF"/>
    <w:rsid w:val="00272DA2"/>
    <w:rsid w:val="002E70DF"/>
    <w:rsid w:val="00386A44"/>
    <w:rsid w:val="003C10F9"/>
    <w:rsid w:val="004A04A5"/>
    <w:rsid w:val="004A3A42"/>
    <w:rsid w:val="004A43D0"/>
    <w:rsid w:val="004B183F"/>
    <w:rsid w:val="00525308"/>
    <w:rsid w:val="00540CE8"/>
    <w:rsid w:val="00547852"/>
    <w:rsid w:val="00573782"/>
    <w:rsid w:val="005B09D2"/>
    <w:rsid w:val="005B1E66"/>
    <w:rsid w:val="005D59F2"/>
    <w:rsid w:val="006717C1"/>
    <w:rsid w:val="006C3D34"/>
    <w:rsid w:val="0071676A"/>
    <w:rsid w:val="00717668"/>
    <w:rsid w:val="007324E0"/>
    <w:rsid w:val="0077489C"/>
    <w:rsid w:val="007911EB"/>
    <w:rsid w:val="007A02D1"/>
    <w:rsid w:val="0080651C"/>
    <w:rsid w:val="008742D5"/>
    <w:rsid w:val="00881B26"/>
    <w:rsid w:val="009314A6"/>
    <w:rsid w:val="009474CD"/>
    <w:rsid w:val="009970B0"/>
    <w:rsid w:val="009C2E3F"/>
    <w:rsid w:val="00A03566"/>
    <w:rsid w:val="00A136E9"/>
    <w:rsid w:val="00A1685A"/>
    <w:rsid w:val="00A36468"/>
    <w:rsid w:val="00A77383"/>
    <w:rsid w:val="00A97447"/>
    <w:rsid w:val="00B06A2C"/>
    <w:rsid w:val="00B56349"/>
    <w:rsid w:val="00B765E2"/>
    <w:rsid w:val="00B86E13"/>
    <w:rsid w:val="00B969CF"/>
    <w:rsid w:val="00C53DA2"/>
    <w:rsid w:val="00CB3E1D"/>
    <w:rsid w:val="00CB6E7E"/>
    <w:rsid w:val="00CD1C01"/>
    <w:rsid w:val="00DB7194"/>
    <w:rsid w:val="00FA134B"/>
    <w:rsid w:val="00FA6EFF"/>
    <w:rsid w:val="00FF3A3A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B09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B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B09D2"/>
    <w:pPr>
      <w:ind w:firstLine="709"/>
      <w:jc w:val="both"/>
    </w:pPr>
  </w:style>
  <w:style w:type="character" w:customStyle="1" w:styleId="20">
    <w:name w:val="Основной текст 2 Знак"/>
    <w:basedOn w:val="a0"/>
    <w:link w:val="2"/>
    <w:rsid w:val="005B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5B09D2"/>
    <w:pPr>
      <w:spacing w:after="120"/>
    </w:pPr>
    <w:rPr>
      <w:rFonts w:ascii="NTHarmonica" w:hAnsi="NTHarmonica"/>
      <w:szCs w:val="20"/>
    </w:rPr>
  </w:style>
  <w:style w:type="paragraph" w:styleId="a5">
    <w:name w:val="Normal (Web)"/>
    <w:basedOn w:val="a"/>
    <w:uiPriority w:val="99"/>
    <w:unhideWhenUsed/>
    <w:rsid w:val="005B09D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B09D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B09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9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364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646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364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646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B09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B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B09D2"/>
    <w:pPr>
      <w:ind w:firstLine="709"/>
      <w:jc w:val="both"/>
    </w:pPr>
  </w:style>
  <w:style w:type="character" w:customStyle="1" w:styleId="20">
    <w:name w:val="Основной текст 2 Знак"/>
    <w:basedOn w:val="a0"/>
    <w:link w:val="2"/>
    <w:rsid w:val="005B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5B09D2"/>
    <w:pPr>
      <w:spacing w:after="120"/>
    </w:pPr>
    <w:rPr>
      <w:rFonts w:ascii="NTHarmonica" w:hAnsi="NTHarmonica"/>
      <w:szCs w:val="20"/>
    </w:rPr>
  </w:style>
  <w:style w:type="paragraph" w:styleId="a5">
    <w:name w:val="Normal (Web)"/>
    <w:basedOn w:val="a"/>
    <w:uiPriority w:val="99"/>
    <w:unhideWhenUsed/>
    <w:rsid w:val="005B09D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B09D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B09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9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364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646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364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64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Dobryninvp</dc:creator>
  <cp:lastModifiedBy>Razov</cp:lastModifiedBy>
  <cp:revision>8</cp:revision>
  <cp:lastPrinted>2019-07-10T07:46:00Z</cp:lastPrinted>
  <dcterms:created xsi:type="dcterms:W3CDTF">2019-07-10T09:10:00Z</dcterms:created>
  <dcterms:modified xsi:type="dcterms:W3CDTF">2019-07-31T10:15:00Z</dcterms:modified>
</cp:coreProperties>
</file>