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7" w:rsidRPr="00231C17" w:rsidRDefault="003657A7" w:rsidP="00365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657A7" w:rsidTr="00740034">
        <w:tc>
          <w:tcPr>
            <w:tcW w:w="9356" w:type="dxa"/>
          </w:tcPr>
          <w:p w:rsidR="003657A7" w:rsidRDefault="003657A7" w:rsidP="0074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7A7" w:rsidRDefault="003657A7" w:rsidP="003657A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657A7" w:rsidRPr="00F57AED" w:rsidTr="00740034">
        <w:tc>
          <w:tcPr>
            <w:tcW w:w="5920" w:type="dxa"/>
          </w:tcPr>
          <w:p w:rsidR="003657A7" w:rsidRPr="00121CB3" w:rsidRDefault="003657A7" w:rsidP="007400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Атазанавира сульфат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</w:t>
            </w:r>
          </w:p>
        </w:tc>
        <w:tc>
          <w:tcPr>
            <w:tcW w:w="460" w:type="dxa"/>
          </w:tcPr>
          <w:p w:rsidR="003657A7" w:rsidRPr="00121CB3" w:rsidRDefault="003657A7" w:rsidP="007400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57A7" w:rsidRPr="00F57AED" w:rsidRDefault="003657A7" w:rsidP="007400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657A7" w:rsidRPr="00121CB3" w:rsidTr="00740034">
        <w:tc>
          <w:tcPr>
            <w:tcW w:w="5920" w:type="dxa"/>
          </w:tcPr>
          <w:p w:rsidR="003657A7" w:rsidRPr="00121CB3" w:rsidRDefault="003657A7" w:rsidP="007400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Атазанавир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</w:t>
            </w:r>
          </w:p>
        </w:tc>
        <w:tc>
          <w:tcPr>
            <w:tcW w:w="460" w:type="dxa"/>
          </w:tcPr>
          <w:p w:rsidR="003657A7" w:rsidRPr="00121CB3" w:rsidRDefault="003657A7" w:rsidP="007400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57A7" w:rsidRPr="00121CB3" w:rsidRDefault="003657A7" w:rsidP="007400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7A7" w:rsidRPr="00A70813" w:rsidTr="00740034">
        <w:tc>
          <w:tcPr>
            <w:tcW w:w="5920" w:type="dxa"/>
          </w:tcPr>
          <w:p w:rsidR="003657A7" w:rsidRPr="00121CB3" w:rsidRDefault="003657A7" w:rsidP="007400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Atazanaviri sulfas</w:t>
            </w:r>
            <w:r w:rsidRPr="00426B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capsulae</w:t>
            </w:r>
          </w:p>
        </w:tc>
        <w:tc>
          <w:tcPr>
            <w:tcW w:w="460" w:type="dxa"/>
          </w:tcPr>
          <w:p w:rsidR="003657A7" w:rsidRPr="00121CB3" w:rsidRDefault="003657A7" w:rsidP="0074003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657A7" w:rsidRPr="003657A7" w:rsidRDefault="003657A7" w:rsidP="003657A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657A7" w:rsidRDefault="003657A7" w:rsidP="003657A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657A7" w:rsidTr="00740034">
        <w:tc>
          <w:tcPr>
            <w:tcW w:w="9356" w:type="dxa"/>
          </w:tcPr>
          <w:p w:rsidR="003657A7" w:rsidRDefault="003657A7" w:rsidP="0074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7A7" w:rsidRDefault="003657A7" w:rsidP="003657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атазанавира сульфат, капсулы. </w:t>
      </w:r>
      <w:r w:rsidR="009B41FD">
        <w:rPr>
          <w:rFonts w:ascii="Times New Roman" w:hAnsi="Times New Roman"/>
          <w:sz w:val="28"/>
          <w:szCs w:val="28"/>
        </w:rPr>
        <w:t>Препарат должен соответствовать требованиям ОФС «Капсулы» и нижеприведённым требованиям.</w:t>
      </w:r>
    </w:p>
    <w:p w:rsidR="00165B78" w:rsidRDefault="00165B78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атазанавира сульфат в количестве, эквивалентном не менее 90,0 % и не более 110,0 % от заявленного количества атазанавира 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38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52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B78" w:rsidRDefault="00165B78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78" w:rsidRDefault="009C347C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</w:t>
      </w:r>
      <w:r w:rsidR="00D16C6E">
        <w:rPr>
          <w:rFonts w:ascii="Times New Roman" w:hAnsi="Times New Roman" w:cs="Times New Roman"/>
          <w:sz w:val="28"/>
          <w:szCs w:val="28"/>
        </w:rPr>
        <w:t>Капсулы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5C7D" w:rsidRDefault="00C95C7D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Подлинность. </w:t>
      </w:r>
      <w:r w:rsidR="002D3A48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>
        <w:rPr>
          <w:rFonts w:ascii="Times New Roman" w:hAnsi="Times New Roman" w:cs="Times New Roman"/>
          <w:sz w:val="28"/>
          <w:szCs w:val="28"/>
        </w:rPr>
        <w:t>Время удерживания пика основного вещества на хроматограмме испытуемого раствора должно соответствовать времени удерживания пика атазанавира на хроматограмме раствора стандартного образца атазанавира сульфата (раздел «Количественное определение»).</w:t>
      </w:r>
    </w:p>
    <w:p w:rsidR="00A10E09" w:rsidRDefault="00A10E09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атазанавира, перешедшее в среду растворения, определяют методом спектрофотометрии (ОФС «Спектрофотометрия в ультрафиолетовой и видимой областях»).</w:t>
      </w:r>
      <w:proofErr w:type="gramEnd"/>
    </w:p>
    <w:p w:rsidR="001B27B1" w:rsidRDefault="001B27B1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1B27B1" w:rsidRPr="00F65307" w:rsidTr="001B27B1">
        <w:tc>
          <w:tcPr>
            <w:tcW w:w="4002" w:type="dxa"/>
          </w:tcPr>
          <w:p w:rsidR="001B27B1" w:rsidRPr="001B27B1" w:rsidRDefault="001B27B1" w:rsidP="0074003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1B27B1" w:rsidRPr="001B27B1" w:rsidRDefault="001B27B1" w:rsidP="0074003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1B27B1" w:rsidRPr="00F65307" w:rsidTr="001B27B1">
        <w:tc>
          <w:tcPr>
            <w:tcW w:w="4002" w:type="dxa"/>
          </w:tcPr>
          <w:p w:rsidR="001B27B1" w:rsidRPr="001B27B1" w:rsidRDefault="001B27B1" w:rsidP="0074003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1B27B1" w:rsidRPr="001B27B1" w:rsidRDefault="001B27B1" w:rsidP="001B27B1">
            <w:pPr>
              <w:spacing w:after="0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0,025 М раствор хлористоводородной кислоты</w:t>
            </w: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B27B1" w:rsidRPr="00F65307" w:rsidTr="001B27B1">
        <w:tc>
          <w:tcPr>
            <w:tcW w:w="4002" w:type="dxa"/>
          </w:tcPr>
          <w:p w:rsidR="001B27B1" w:rsidRPr="001B27B1" w:rsidRDefault="001B27B1" w:rsidP="0074003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1B27B1" w:rsidRPr="001B27B1" w:rsidRDefault="001B27B1" w:rsidP="0074003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1B27B1" w:rsidRPr="00F65307" w:rsidTr="001B27B1">
        <w:tc>
          <w:tcPr>
            <w:tcW w:w="4002" w:type="dxa"/>
          </w:tcPr>
          <w:p w:rsidR="001B27B1" w:rsidRPr="001B27B1" w:rsidRDefault="001B27B1" w:rsidP="0074003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5462" w:type="dxa"/>
          </w:tcPr>
          <w:p w:rsidR="001B27B1" w:rsidRPr="001B27B1" w:rsidRDefault="001B27B1" w:rsidP="0074003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B27B1" w:rsidRPr="00F65307" w:rsidTr="001B27B1">
        <w:tc>
          <w:tcPr>
            <w:tcW w:w="4002" w:type="dxa"/>
          </w:tcPr>
          <w:p w:rsidR="001B27B1" w:rsidRPr="001B27B1" w:rsidRDefault="001B27B1" w:rsidP="0074003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1B27B1" w:rsidRPr="001B27B1" w:rsidRDefault="001B27B1" w:rsidP="0074003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1B27B1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1B27B1" w:rsidRDefault="001B27B1" w:rsidP="0008628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Среда растворения.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2,1 мл хлористоводородной кислоты концентрированной</w:t>
      </w:r>
      <w:r w:rsidR="002C2ACE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2C2ACE" w:rsidRDefault="002C2ACE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капсулу.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атазанавира около </w:t>
      </w:r>
      <w:r w:rsidR="00740034">
        <w:rPr>
          <w:rFonts w:ascii="Times New Roman" w:hAnsi="Times New Roman" w:cs="Times New Roman"/>
          <w:sz w:val="28"/>
          <w:szCs w:val="28"/>
        </w:rPr>
        <w:t>0,02 мг/мл.</w:t>
      </w:r>
    </w:p>
    <w:p w:rsidR="00740034" w:rsidRDefault="00740034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атазанавира сульфата.</w:t>
      </w:r>
      <w:r>
        <w:rPr>
          <w:rFonts w:ascii="Times New Roman" w:hAnsi="Times New Roman" w:cs="Times New Roman"/>
          <w:sz w:val="28"/>
          <w:szCs w:val="28"/>
        </w:rPr>
        <w:t xml:space="preserve"> Около 28,5 мг (точная навеска) стандартного образца атазанавира сульфата помещают в мерную колбу вместимостью 50 мл, прибавляют 30 мл среды растворения, выдерживают на ультразвуковой бане в течение 10 мин и доводят объём раствора тем же растворителем до метки. В мерную колбу вместимостью 25 мл переносят 1,0 мл полученного раствора и доводят объём раствора средой растворения до метки. Срок годности раствора – 8 ч при комнатной температуре.</w:t>
      </w:r>
    </w:p>
    <w:p w:rsidR="00740034" w:rsidRPr="00740034" w:rsidRDefault="00740034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Среда растворения.</w:t>
      </w:r>
    </w:p>
    <w:p w:rsidR="00740034" w:rsidRPr="00740034" w:rsidRDefault="00740034" w:rsidP="00365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атазанавира сульфата на спектрофотометре в максимуме поглощения при длине волны 300 нм в кювете с толщиной слоя 1 см.</w:t>
      </w:r>
    </w:p>
    <w:p w:rsidR="00FE21EB" w:rsidRDefault="00D04BB8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атазанавира, перешедшее в раствор,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D04BB8" w:rsidRPr="00D04BB8" w:rsidRDefault="00D04BB8" w:rsidP="00D04BB8">
      <w:pPr>
        <w:spacing w:after="0" w:line="360" w:lineRule="auto"/>
        <w:ind w:right="-1"/>
        <w:jc w:val="center"/>
        <w:rPr>
          <w:rFonts w:ascii="Times New Roman" w:hAnsi="Times New Roman"/>
          <w:position w:val="-28"/>
          <w:sz w:val="28"/>
        </w:rPr>
      </w:pPr>
      <w:r w:rsidRPr="00F65307">
        <w:rPr>
          <w:position w:val="-30"/>
          <w:sz w:val="28"/>
          <w:lang w:val="en-US"/>
        </w:rPr>
        <w:object w:dxaOrig="5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9.75pt" o:ole="">
            <v:imagedata r:id="rId7" o:title=""/>
          </v:shape>
          <o:OLEObject Type="Embed" ProgID="Equation.3" ShapeID="_x0000_i1025" DrawAspect="Content" ObjectID="_1624103323" r:id="rId8"/>
        </w:object>
      </w:r>
      <w:r>
        <w:rPr>
          <w:sz w:val="28"/>
        </w:rPr>
        <w:t>,</w:t>
      </w:r>
    </w:p>
    <w:tbl>
      <w:tblPr>
        <w:tblW w:w="9952" w:type="dxa"/>
        <w:tblLayout w:type="fixed"/>
        <w:tblLook w:val="04A0"/>
      </w:tblPr>
      <w:tblGrid>
        <w:gridCol w:w="637"/>
        <w:gridCol w:w="889"/>
        <w:gridCol w:w="424"/>
        <w:gridCol w:w="8002"/>
      </w:tblGrid>
      <w:tr w:rsidR="00D04BB8" w:rsidRPr="00D04BB8" w:rsidTr="007D6811">
        <w:tc>
          <w:tcPr>
            <w:tcW w:w="637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D04B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BB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04BB8" w:rsidRPr="00D04BB8" w:rsidRDefault="00D04BB8" w:rsidP="0008628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04BB8" w:rsidRPr="00D04BB8" w:rsidTr="007D6811">
        <w:tc>
          <w:tcPr>
            <w:tcW w:w="637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B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04BB8" w:rsidRPr="00D04BB8" w:rsidRDefault="00D04BB8" w:rsidP="0008628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атазанавира сульфата</w:t>
            </w:r>
            <w:r w:rsidRPr="00D04BB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04BB8" w:rsidRPr="00D04BB8" w:rsidTr="007D6811">
        <w:tc>
          <w:tcPr>
            <w:tcW w:w="637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04B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04B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04BB8" w:rsidRPr="00D04BB8" w:rsidRDefault="00D04BB8" w:rsidP="0008628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атазанавира сульфата</w:t>
            </w:r>
            <w:r w:rsidRPr="00D04BB8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04BB8" w:rsidRPr="00D04BB8" w:rsidTr="007D6811">
        <w:tc>
          <w:tcPr>
            <w:tcW w:w="637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04BB8" w:rsidRPr="00D04BB8" w:rsidRDefault="00D04BB8" w:rsidP="0008628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04BB8" w:rsidRPr="00D04BB8" w:rsidTr="007D6811">
        <w:tc>
          <w:tcPr>
            <w:tcW w:w="637" w:type="dxa"/>
          </w:tcPr>
          <w:p w:rsidR="00D04BB8" w:rsidRPr="00D04BB8" w:rsidRDefault="00D04BB8" w:rsidP="00086284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04BB8" w:rsidRPr="00D04BB8" w:rsidRDefault="00D04BB8" w:rsidP="00086284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04BB8" w:rsidRPr="00D04BB8" w:rsidRDefault="00D04BB8" w:rsidP="00086284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04BB8" w:rsidRPr="00D04BB8" w:rsidRDefault="007D6811" w:rsidP="0008628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атазанавира в одной </w:t>
            </w:r>
            <w:r w:rsidR="00D04BB8" w:rsidRPr="00D04BB8">
              <w:rPr>
                <w:rStyle w:val="8"/>
                <w:rFonts w:eastAsia="Calibri"/>
                <w:sz w:val="28"/>
                <w:szCs w:val="28"/>
              </w:rPr>
              <w:t>капсуле, мг;</w:t>
            </w:r>
          </w:p>
        </w:tc>
      </w:tr>
      <w:tr w:rsidR="00D04BB8" w:rsidRPr="00D04BB8" w:rsidTr="007D6811">
        <w:tc>
          <w:tcPr>
            <w:tcW w:w="637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04B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04BB8" w:rsidRPr="00D04BB8" w:rsidRDefault="00D04BB8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04BB8" w:rsidRPr="00D04BB8" w:rsidRDefault="00D04BB8" w:rsidP="0008628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04BB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7D681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атазанавира сульфата</w:t>
            </w:r>
            <w:r w:rsidRPr="00D04BB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 w:rsidR="007D681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атазанавира сульфата</w:t>
            </w:r>
            <w:proofErr w:type="gramStart"/>
            <w:r w:rsidRPr="00D04BB8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7D681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7D6811" w:rsidRPr="00D04BB8" w:rsidTr="007D6811">
        <w:tc>
          <w:tcPr>
            <w:tcW w:w="637" w:type="dxa"/>
          </w:tcPr>
          <w:p w:rsidR="007D6811" w:rsidRPr="00D04BB8" w:rsidRDefault="007D6811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D6811" w:rsidRPr="007D6811" w:rsidRDefault="007D6811" w:rsidP="00086284">
            <w:pPr>
              <w:spacing w:after="0" w:line="240" w:lineRule="auto"/>
              <w:ind w:left="-70" w:right="-250" w:firstLine="7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6811">
              <w:rPr>
                <w:rStyle w:val="8"/>
                <w:rFonts w:eastAsia="Calibri"/>
                <w:i/>
                <w:sz w:val="28"/>
                <w:szCs w:val="28"/>
              </w:rPr>
              <w:t>704,9</w:t>
            </w:r>
          </w:p>
        </w:tc>
        <w:tc>
          <w:tcPr>
            <w:tcW w:w="424" w:type="dxa"/>
          </w:tcPr>
          <w:p w:rsidR="007D6811" w:rsidRPr="00D04BB8" w:rsidRDefault="007D6811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D6811" w:rsidRPr="00D04BB8" w:rsidRDefault="007D6811" w:rsidP="0008628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атазанавира;</w:t>
            </w:r>
          </w:p>
        </w:tc>
      </w:tr>
      <w:tr w:rsidR="007D6811" w:rsidRPr="00D04BB8" w:rsidTr="007D6811">
        <w:tc>
          <w:tcPr>
            <w:tcW w:w="637" w:type="dxa"/>
          </w:tcPr>
          <w:p w:rsidR="007D6811" w:rsidRPr="00D04BB8" w:rsidRDefault="007D6811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D6811" w:rsidRPr="007D6811" w:rsidRDefault="007D6811" w:rsidP="00086284">
            <w:pPr>
              <w:spacing w:after="0" w:line="240" w:lineRule="auto"/>
              <w:ind w:left="-70" w:right="-250" w:firstLine="7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6811">
              <w:rPr>
                <w:rStyle w:val="8"/>
                <w:rFonts w:eastAsia="Calibri"/>
                <w:i/>
                <w:sz w:val="28"/>
                <w:szCs w:val="28"/>
              </w:rPr>
              <w:t>802,9</w:t>
            </w:r>
          </w:p>
        </w:tc>
        <w:tc>
          <w:tcPr>
            <w:tcW w:w="424" w:type="dxa"/>
          </w:tcPr>
          <w:p w:rsidR="007D6811" w:rsidRPr="00D04BB8" w:rsidRDefault="007D6811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D6811" w:rsidRDefault="007D6811" w:rsidP="0008628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атазанавира сульфата.</w:t>
            </w:r>
          </w:p>
        </w:tc>
      </w:tr>
    </w:tbl>
    <w:p w:rsidR="00D04BB8" w:rsidRDefault="00A04CDE" w:rsidP="00086284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30 мин в раствор должно перейти не менее 80 %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атазанавира 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38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52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заявленного количества.</w:t>
      </w:r>
    </w:p>
    <w:p w:rsidR="009D367E" w:rsidRDefault="009D367E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AB7E7C" w:rsidRDefault="00AB7E7C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Pr="00AB7E7C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метанол 90:10.</w:t>
      </w:r>
    </w:p>
    <w:p w:rsidR="00AB7E7C" w:rsidRDefault="00AB7E7C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720F9C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(ПФА).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 л помещают 2,72 г дикалия гидрофосфата, растворяют в воде, доводят значение рН раствора фосфорной кислотой концентрированной до 3,50</w:t>
      </w:r>
      <w:r>
        <w:rPr>
          <w:rFonts w:ascii="Times New Roman" w:hAnsi="Times New Roman" w:cs="Times New Roman"/>
          <w:color w:val="000000"/>
          <w:sz w:val="28"/>
          <w:szCs w:val="28"/>
        </w:rPr>
        <w:t>±</w:t>
      </w:r>
      <w:r>
        <w:rPr>
          <w:rFonts w:ascii="Times New Roman" w:hAnsi="Times New Roman"/>
          <w:color w:val="000000"/>
          <w:sz w:val="28"/>
          <w:szCs w:val="28"/>
        </w:rPr>
        <w:t>0,05. Доводят объём раствора водой до метки.</w:t>
      </w:r>
    </w:p>
    <w:p w:rsidR="003861C2" w:rsidRDefault="003861C2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="00720F9C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(ПФБ).</w:t>
      </w:r>
      <w:r>
        <w:rPr>
          <w:rFonts w:ascii="Times New Roman" w:hAnsi="Times New Roman"/>
          <w:color w:val="000000"/>
          <w:sz w:val="28"/>
          <w:szCs w:val="28"/>
        </w:rPr>
        <w:t xml:space="preserve"> Ацетонитрил.</w:t>
      </w:r>
    </w:p>
    <w:p w:rsidR="0054190E" w:rsidRDefault="003861C2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Точную навеску порошка содержимого капсул, соответствующую около</w:t>
      </w:r>
      <w:r w:rsidR="00F307CB">
        <w:rPr>
          <w:rFonts w:ascii="Times New Roman" w:hAnsi="Times New Roman"/>
          <w:color w:val="000000"/>
          <w:sz w:val="28"/>
          <w:szCs w:val="28"/>
        </w:rPr>
        <w:t xml:space="preserve"> 100 мг атазанавира, помещают в мерную колбу вместимостью 100 мл, прибавляют 20 мл метанола, выдерживают на ультразвуковой бане в течение 15 мин, доводят объём раствора растворителем до метки и фильтруют.</w:t>
      </w:r>
      <w:r w:rsidR="0054190E">
        <w:rPr>
          <w:rFonts w:ascii="Times New Roman" w:hAnsi="Times New Roman"/>
          <w:color w:val="000000"/>
          <w:sz w:val="28"/>
          <w:szCs w:val="28"/>
        </w:rPr>
        <w:t xml:space="preserve"> Срок годности раствора – 8 ч при комнатной температуре.</w:t>
      </w:r>
    </w:p>
    <w:p w:rsidR="0054190E" w:rsidRPr="0054190E" w:rsidRDefault="00F307CB" w:rsidP="005419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атазанавира сульфата.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28,5 мг (точная навеска) стандартного образца атазанавира сульфата помещают в мерную колбу вместимостью 50 мл, прибавляют 10 мл метанола, выдерживают на ультразвуковой бане в течение 15 мин и доводят объём раствора растворителем до метки. В мерную колбу вместимостью 50 мл помещают 1,0 мл полученного раствора и доводят объём раствора растворителем до метки. В мерную колбу вместимостью 25 мл помещают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5,0 мл полученного раствора и доводят объём раствора растворителем до метки.</w:t>
      </w:r>
      <w:r w:rsidR="0054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90E" w:rsidRPr="0054190E">
        <w:rPr>
          <w:rFonts w:ascii="Times New Roman" w:hAnsi="Times New Roman"/>
          <w:color w:val="000000"/>
          <w:sz w:val="28"/>
          <w:szCs w:val="28"/>
        </w:rPr>
        <w:t xml:space="preserve">Срок годности раствора – </w:t>
      </w:r>
      <w:r w:rsidR="0054190E">
        <w:rPr>
          <w:rFonts w:ascii="Times New Roman" w:hAnsi="Times New Roman"/>
          <w:color w:val="000000"/>
          <w:sz w:val="28"/>
          <w:szCs w:val="28"/>
        </w:rPr>
        <w:t>24</w:t>
      </w:r>
      <w:r w:rsidR="0054190E" w:rsidRPr="0054190E">
        <w:rPr>
          <w:rFonts w:ascii="Times New Roman" w:hAnsi="Times New Roman"/>
          <w:color w:val="000000"/>
          <w:sz w:val="28"/>
          <w:szCs w:val="28"/>
        </w:rPr>
        <w:t xml:space="preserve"> ч при комнатной температуре.</w:t>
      </w:r>
    </w:p>
    <w:p w:rsidR="007B6FA4" w:rsidRDefault="007B6FA4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10 мг стандартного образца смеси атазанавира </w:t>
      </w:r>
      <w:r w:rsidR="0021403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1403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21403A" w:rsidRPr="0021403A">
        <w:rPr>
          <w:rFonts w:ascii="Times New Roman" w:hAnsi="Times New Roman"/>
          <w:i/>
          <w:color w:val="000000"/>
          <w:sz w:val="28"/>
          <w:szCs w:val="28"/>
        </w:rPr>
        <w:t>,</w:t>
      </w:r>
      <w:r w:rsidR="0021403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21403A" w:rsidRPr="0021403A">
        <w:rPr>
          <w:rFonts w:ascii="Times New Roman" w:hAnsi="Times New Roman"/>
          <w:i/>
          <w:color w:val="000000"/>
          <w:sz w:val="28"/>
          <w:szCs w:val="28"/>
        </w:rPr>
        <w:t>,</w:t>
      </w:r>
      <w:r w:rsidR="0021403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21403A" w:rsidRPr="0021403A">
        <w:rPr>
          <w:rFonts w:ascii="Times New Roman" w:hAnsi="Times New Roman"/>
          <w:i/>
          <w:color w:val="000000"/>
          <w:sz w:val="28"/>
          <w:szCs w:val="28"/>
        </w:rPr>
        <w:t>,</w:t>
      </w:r>
      <w:r w:rsidR="0021403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21403A">
        <w:rPr>
          <w:rFonts w:ascii="Times New Roman" w:hAnsi="Times New Roman"/>
          <w:color w:val="000000"/>
          <w:sz w:val="28"/>
          <w:szCs w:val="28"/>
        </w:rPr>
        <w:t>-диастереомера</w:t>
      </w:r>
      <w:r>
        <w:rPr>
          <w:rFonts w:ascii="Times New Roman" w:hAnsi="Times New Roman"/>
          <w:color w:val="000000"/>
          <w:sz w:val="28"/>
          <w:szCs w:val="28"/>
        </w:rPr>
        <w:t>, прибавляют 2 мл метанола, выдерживают на ультразвуковой бане в течение 15 мин и доводят объём раствора растворителем до метки.</w:t>
      </w:r>
      <w:r w:rsidR="0054190E">
        <w:rPr>
          <w:rFonts w:ascii="Times New Roman" w:hAnsi="Times New Roman"/>
          <w:color w:val="000000"/>
          <w:sz w:val="28"/>
          <w:szCs w:val="28"/>
        </w:rPr>
        <w:t xml:space="preserve"> Раствор используют с</w:t>
      </w:r>
      <w:r w:rsidR="00A03695">
        <w:rPr>
          <w:rFonts w:ascii="Times New Roman" w:hAnsi="Times New Roman"/>
          <w:color w:val="000000"/>
          <w:sz w:val="28"/>
          <w:szCs w:val="28"/>
        </w:rPr>
        <w:t>разу</w:t>
      </w:r>
      <w:r w:rsidR="0054190E">
        <w:rPr>
          <w:rFonts w:ascii="Times New Roman" w:hAnsi="Times New Roman"/>
          <w:color w:val="000000"/>
          <w:sz w:val="28"/>
          <w:szCs w:val="28"/>
        </w:rPr>
        <w:t>.</w:t>
      </w:r>
    </w:p>
    <w:p w:rsidR="007B6FA4" w:rsidRDefault="007B6FA4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5,0 мл раствора стандартного образца атазанавира сульфата и доводят объём раствора растворителем до метки.</w:t>
      </w:r>
    </w:p>
    <w:p w:rsidR="00811DBF" w:rsidRDefault="00C846FF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C846FF" w:rsidRPr="00A9513A" w:rsidTr="00C846FF">
        <w:tc>
          <w:tcPr>
            <w:tcW w:w="2932" w:type="dxa"/>
          </w:tcPr>
          <w:p w:rsidR="00C846FF" w:rsidRPr="00C846FF" w:rsidRDefault="00C846FF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C846FF" w:rsidRPr="00C846FF" w:rsidRDefault="00C846FF" w:rsidP="00720F9C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720F9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720F9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720F9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 (С18), 2,7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46FF" w:rsidRPr="00A9513A" w:rsidTr="00C846FF">
        <w:tc>
          <w:tcPr>
            <w:tcW w:w="2932" w:type="dxa"/>
          </w:tcPr>
          <w:p w:rsidR="00C846FF" w:rsidRPr="00C846FF" w:rsidRDefault="00C846FF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C846FF" w:rsidRPr="00C846FF" w:rsidRDefault="00C846FF" w:rsidP="0008628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46FF" w:rsidRPr="00A9513A" w:rsidTr="00C846FF">
        <w:tc>
          <w:tcPr>
            <w:tcW w:w="2932" w:type="dxa"/>
          </w:tcPr>
          <w:p w:rsidR="00C846FF" w:rsidRPr="00C846FF" w:rsidRDefault="00C846FF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C846FF" w:rsidRPr="00C846FF" w:rsidRDefault="00C846FF" w:rsidP="0008628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46FF" w:rsidRPr="00A9513A" w:rsidTr="00C846FF">
        <w:tc>
          <w:tcPr>
            <w:tcW w:w="2932" w:type="dxa"/>
          </w:tcPr>
          <w:p w:rsidR="00C846FF" w:rsidRPr="00C846FF" w:rsidRDefault="00C846FF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C846FF" w:rsidRPr="00C846FF" w:rsidRDefault="00C846FF" w:rsidP="0008628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250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46FF" w:rsidRPr="00A9513A" w:rsidTr="00C846FF">
        <w:tc>
          <w:tcPr>
            <w:tcW w:w="2932" w:type="dxa"/>
          </w:tcPr>
          <w:p w:rsidR="00C846FF" w:rsidRPr="00C846FF" w:rsidRDefault="00C846FF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C846FF" w:rsidRPr="00C846FF" w:rsidRDefault="00C846FF" w:rsidP="0008628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846FF" w:rsidRDefault="00C846FF" w:rsidP="0008628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C846FF" w:rsidRPr="00293658" w:rsidTr="00086284">
        <w:tc>
          <w:tcPr>
            <w:tcW w:w="3154" w:type="dxa"/>
          </w:tcPr>
          <w:p w:rsidR="00C846FF" w:rsidRPr="00C846FF" w:rsidRDefault="00C846FF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C846FF" w:rsidRPr="00C846FF" w:rsidRDefault="00C846FF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C846FF" w:rsidRPr="00C846FF" w:rsidRDefault="00C846FF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846FF" w:rsidRPr="00F05A64" w:rsidTr="00086284">
        <w:tc>
          <w:tcPr>
            <w:tcW w:w="3154" w:type="dxa"/>
          </w:tcPr>
          <w:p w:rsidR="00C846FF" w:rsidRPr="00C846FF" w:rsidRDefault="00C846FF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0–1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C846FF" w:rsidRPr="00C846FF" w:rsidRDefault="00C846FF" w:rsidP="00FA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73→6</w:t>
            </w:r>
            <w:r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C846FF" w:rsidRPr="00C846FF" w:rsidRDefault="00C846FF" w:rsidP="00FA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27→4</w:t>
            </w:r>
            <w:r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846FF" w:rsidRPr="00F05A64" w:rsidTr="00086284">
        <w:tc>
          <w:tcPr>
            <w:tcW w:w="3154" w:type="dxa"/>
          </w:tcPr>
          <w:p w:rsidR="00C846FF" w:rsidRPr="00C846FF" w:rsidRDefault="0022684A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10–3</w:t>
            </w:r>
            <w:r w:rsidR="00C846FF" w:rsidRPr="00C846F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C846FF" w:rsidRPr="00C846FF" w:rsidRDefault="0022684A" w:rsidP="00FA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846FF"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C846FF"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</w:tcPr>
          <w:p w:rsidR="00C846FF" w:rsidRPr="00C846FF" w:rsidRDefault="0022684A" w:rsidP="00FA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846FF"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C846FF" w:rsidRPr="00F05A64" w:rsidTr="00086284">
        <w:tc>
          <w:tcPr>
            <w:tcW w:w="3154" w:type="dxa"/>
          </w:tcPr>
          <w:p w:rsidR="00C846FF" w:rsidRPr="00C846FF" w:rsidRDefault="00946154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30–45</w:t>
            </w:r>
          </w:p>
        </w:tc>
        <w:tc>
          <w:tcPr>
            <w:tcW w:w="3155" w:type="dxa"/>
          </w:tcPr>
          <w:p w:rsidR="00C846FF" w:rsidRPr="00C846FF" w:rsidRDefault="00946154" w:rsidP="00FA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50→3</w:t>
            </w:r>
            <w:r w:rsidR="00C846FF"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C846FF" w:rsidRPr="00C846FF" w:rsidRDefault="00946154" w:rsidP="00FA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50→7</w:t>
            </w:r>
            <w:r w:rsidR="00C846FF" w:rsidRPr="00C846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846FF" w:rsidRPr="00A9513A" w:rsidTr="00086284">
        <w:tc>
          <w:tcPr>
            <w:tcW w:w="3154" w:type="dxa"/>
          </w:tcPr>
          <w:p w:rsidR="00C846FF" w:rsidRPr="00C846FF" w:rsidRDefault="00946154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45–5</w:t>
            </w:r>
            <w:r w:rsidR="00C846FF" w:rsidRPr="00C846F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C846FF" w:rsidRPr="00C846FF" w:rsidRDefault="00946154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 3</w:t>
            </w:r>
            <w:r w:rsidR="00C846FF" w:rsidRPr="00C846F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C846FF" w:rsidRPr="00C846FF" w:rsidRDefault="00946154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 7</w:t>
            </w:r>
            <w:r w:rsidR="00C846FF" w:rsidRPr="00C846FF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946154" w:rsidRPr="00A9513A" w:rsidTr="00086284">
        <w:tc>
          <w:tcPr>
            <w:tcW w:w="3154" w:type="dxa"/>
          </w:tcPr>
          <w:p w:rsidR="00946154" w:rsidRDefault="00946154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50–52</w:t>
            </w:r>
          </w:p>
        </w:tc>
        <w:tc>
          <w:tcPr>
            <w:tcW w:w="3155" w:type="dxa"/>
          </w:tcPr>
          <w:p w:rsidR="00946154" w:rsidRDefault="00946154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 30→73</w:t>
            </w:r>
          </w:p>
        </w:tc>
        <w:tc>
          <w:tcPr>
            <w:tcW w:w="3155" w:type="dxa"/>
          </w:tcPr>
          <w:p w:rsidR="00946154" w:rsidRDefault="00946154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 70→27</w:t>
            </w:r>
          </w:p>
        </w:tc>
      </w:tr>
      <w:tr w:rsidR="00946154" w:rsidRPr="00A9513A" w:rsidTr="00086284">
        <w:tc>
          <w:tcPr>
            <w:tcW w:w="3154" w:type="dxa"/>
          </w:tcPr>
          <w:p w:rsidR="00946154" w:rsidRDefault="00946154" w:rsidP="00FA3C62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52–60</w:t>
            </w:r>
          </w:p>
        </w:tc>
        <w:tc>
          <w:tcPr>
            <w:tcW w:w="3155" w:type="dxa"/>
          </w:tcPr>
          <w:p w:rsidR="00946154" w:rsidRDefault="00946154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 73</w:t>
            </w:r>
          </w:p>
        </w:tc>
        <w:tc>
          <w:tcPr>
            <w:tcW w:w="3155" w:type="dxa"/>
          </w:tcPr>
          <w:p w:rsidR="00946154" w:rsidRDefault="00946154" w:rsidP="00FA3C62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 27</w:t>
            </w:r>
          </w:p>
        </w:tc>
      </w:tr>
    </w:tbl>
    <w:p w:rsidR="00635F0C" w:rsidRDefault="00635F0C" w:rsidP="0008628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стандартного образца атазанавира сульфата, раствор для проверки разделительной способности хроматографической системы и испытуемый раствор.</w:t>
      </w:r>
    </w:p>
    <w:p w:rsidR="0054190E" w:rsidRDefault="005430C9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удерживания пика атазанавира составляет около 19 мин</w:t>
      </w:r>
      <w:r w:rsidR="0054190E">
        <w:rPr>
          <w:rFonts w:ascii="Times New Roman" w:hAnsi="Times New Roman" w:cs="Times New Roman"/>
          <w:sz w:val="28"/>
          <w:szCs w:val="28"/>
        </w:rPr>
        <w:t xml:space="preserve">; относительное время удерживания пика </w:t>
      </w:r>
      <w:r w:rsidR="0054190E" w:rsidRPr="0054190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4190E" w:rsidRPr="0054190E">
        <w:rPr>
          <w:rFonts w:ascii="Times New Roman" w:hAnsi="Times New Roman" w:cs="Times New Roman"/>
          <w:i/>
          <w:sz w:val="28"/>
          <w:szCs w:val="28"/>
        </w:rPr>
        <w:t>,</w:t>
      </w:r>
      <w:r w:rsidR="0054190E" w:rsidRPr="0054190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4190E" w:rsidRPr="0054190E">
        <w:rPr>
          <w:rFonts w:ascii="Times New Roman" w:hAnsi="Times New Roman" w:cs="Times New Roman"/>
          <w:i/>
          <w:sz w:val="28"/>
          <w:szCs w:val="28"/>
        </w:rPr>
        <w:t>,</w:t>
      </w:r>
      <w:r w:rsidR="0054190E" w:rsidRPr="0054190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4190E" w:rsidRPr="0054190E">
        <w:rPr>
          <w:rFonts w:ascii="Times New Roman" w:hAnsi="Times New Roman" w:cs="Times New Roman"/>
          <w:i/>
          <w:sz w:val="28"/>
          <w:szCs w:val="28"/>
        </w:rPr>
        <w:t>,</w:t>
      </w:r>
      <w:r w:rsidR="0054190E" w:rsidRPr="0054190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4190E" w:rsidRPr="0054190E">
        <w:rPr>
          <w:rFonts w:ascii="Times New Roman" w:hAnsi="Times New Roman" w:cs="Times New Roman"/>
          <w:sz w:val="28"/>
          <w:szCs w:val="28"/>
        </w:rPr>
        <w:t>-диастереомера</w:t>
      </w:r>
      <w:r w:rsidR="0054190E">
        <w:rPr>
          <w:rFonts w:ascii="Times New Roman" w:hAnsi="Times New Roman" w:cs="Times New Roman"/>
          <w:sz w:val="28"/>
          <w:szCs w:val="28"/>
        </w:rPr>
        <w:t xml:space="preserve"> – около 0,9</w:t>
      </w:r>
      <w:r w:rsidR="0050345C">
        <w:rPr>
          <w:rFonts w:ascii="Times New Roman" w:hAnsi="Times New Roman" w:cs="Times New Roman"/>
          <w:sz w:val="28"/>
          <w:szCs w:val="28"/>
        </w:rPr>
        <w:t>7</w:t>
      </w:r>
      <w:r w:rsidR="0054190E">
        <w:rPr>
          <w:rFonts w:ascii="Times New Roman" w:hAnsi="Times New Roman" w:cs="Times New Roman"/>
          <w:sz w:val="28"/>
          <w:szCs w:val="28"/>
        </w:rPr>
        <w:t>.</w:t>
      </w:r>
    </w:p>
    <w:p w:rsidR="005430C9" w:rsidRDefault="004144D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4144D4" w:rsidRDefault="004144D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4144D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144D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Pr="00FA45F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A45F6">
        <w:rPr>
          <w:rFonts w:ascii="Times New Roman" w:hAnsi="Times New Roman" w:cs="Times New Roman"/>
          <w:i/>
          <w:sz w:val="28"/>
          <w:szCs w:val="28"/>
        </w:rPr>
        <w:t>,</w:t>
      </w:r>
      <w:r w:rsidRPr="00FA45F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A45F6">
        <w:rPr>
          <w:rFonts w:ascii="Times New Roman" w:hAnsi="Times New Roman" w:cs="Times New Roman"/>
          <w:i/>
          <w:sz w:val="28"/>
          <w:szCs w:val="28"/>
        </w:rPr>
        <w:t>,</w:t>
      </w:r>
      <w:r w:rsidRPr="00FA45F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A45F6">
        <w:rPr>
          <w:rFonts w:ascii="Times New Roman" w:hAnsi="Times New Roman" w:cs="Times New Roman"/>
          <w:i/>
          <w:sz w:val="28"/>
          <w:szCs w:val="28"/>
        </w:rPr>
        <w:t>,</w:t>
      </w:r>
      <w:r w:rsidRPr="00FA45F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-диастереомера атазанавира и атазанавира должно быть не менее 1,5.</w:t>
      </w:r>
    </w:p>
    <w:p w:rsidR="004144D4" w:rsidRDefault="004144D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144D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атазанавира должно быть не менее 10.</w:t>
      </w:r>
    </w:p>
    <w:p w:rsidR="00C37314" w:rsidRDefault="00C3731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атазанавира сульфата:</w:t>
      </w:r>
    </w:p>
    <w:p w:rsidR="00C37314" w:rsidRDefault="00C3731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атазанавира должен быть не более 2,0;</w:t>
      </w:r>
    </w:p>
    <w:p w:rsidR="00C37314" w:rsidRDefault="00C3731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атазанавира должно быть не более 2,0 % (6 определений);</w:t>
      </w:r>
    </w:p>
    <w:p w:rsidR="00C37314" w:rsidRDefault="00C3731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атазанавира, должна составлять не менее 2000 теоретических тарелок.</w:t>
      </w:r>
    </w:p>
    <w:p w:rsidR="00FA3C62" w:rsidRDefault="00FA3C62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FA3C62" w:rsidRPr="00FA3C62" w:rsidRDefault="00FA3C62" w:rsidP="0054190E">
      <w:pPr>
        <w:pStyle w:val="1"/>
        <w:tabs>
          <w:tab w:val="left" w:pos="6237"/>
        </w:tabs>
        <w:spacing w:after="12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P∙G·100·1·5·704,9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L·50·50·25·802,9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P∙G·0,007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851"/>
        <w:gridCol w:w="283"/>
        <w:gridCol w:w="7506"/>
        <w:gridCol w:w="149"/>
      </w:tblGrid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FA3C62" w:rsidRPr="005C4BBE" w:rsidRDefault="005C4BBE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5C4BB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</w:t>
            </w:r>
            <w:r w:rsidR="005C4BBE">
              <w:rPr>
                <w:rFonts w:ascii="Times New Roman" w:hAnsi="Times New Roman"/>
                <w:b w:val="0"/>
                <w:color w:val="000000"/>
                <w:szCs w:val="28"/>
              </w:rPr>
              <w:t>римесей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5C4BBE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C4BBE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C4BBE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C4BBE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C4BBE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C4BBE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C4BBE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C4BB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FA3C62" w:rsidP="0054190E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B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5C4B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="005C4BBE">
              <w:rPr>
                <w:rFonts w:ascii="Times New Roman" w:hAnsi="Times New Roman"/>
                <w:color w:val="000000"/>
                <w:sz w:val="28"/>
                <w:szCs w:val="28"/>
              </w:rPr>
              <w:t>а атазанавира</w:t>
            </w:r>
            <w:r w:rsidRPr="005C4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5C4B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C4B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5C4B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5C4B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5C4BBE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</w:t>
            </w:r>
            <w:r w:rsidR="005C4B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атазанавира сульфата</w:t>
            </w:r>
            <w:r w:rsidRPr="005C4BB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C4BB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5C4BBE" w:rsidP="0054190E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атазанавира сульфата</w:t>
            </w:r>
            <w:r w:rsidR="00FA3C62" w:rsidRPr="005C4BBE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A3C62" w:rsidRPr="0054190E" w:rsidRDefault="00A23E8B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color w:val="000000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FA3C62" w:rsidP="0054190E">
            <w:pPr>
              <w:pStyle w:val="a8"/>
              <w:tabs>
                <w:tab w:val="left" w:pos="34"/>
                <w:tab w:val="left" w:pos="567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навеска содержимого капсул, мг;</w:t>
            </w:r>
          </w:p>
        </w:tc>
      </w:tr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FA3C62" w:rsidP="0054190E">
            <w:pPr>
              <w:pStyle w:val="a8"/>
              <w:tabs>
                <w:tab w:val="left" w:pos="0"/>
              </w:tabs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5C4BBE">
              <w:rPr>
                <w:rFonts w:ascii="Times New Roman" w:hAnsi="Times New Roman"/>
                <w:b w:val="0"/>
                <w:color w:val="000000"/>
                <w:szCs w:val="28"/>
              </w:rPr>
              <w:t>атазанавира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5C4B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одной 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капсуле, мг;</w:t>
            </w:r>
          </w:p>
        </w:tc>
      </w:tr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FA3C62" w:rsidP="0054190E">
            <w:pPr>
              <w:pStyle w:val="a8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5C4BBE">
              <w:rPr>
                <w:rFonts w:ascii="Times New Roman" w:hAnsi="Times New Roman"/>
                <w:b w:val="0"/>
                <w:color w:val="000000"/>
                <w:szCs w:val="28"/>
              </w:rPr>
              <w:t>атазанавира сульфата</w:t>
            </w:r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5C4BBE">
              <w:rPr>
                <w:rFonts w:ascii="Times New Roman" w:hAnsi="Times New Roman"/>
                <w:b w:val="0"/>
                <w:color w:val="000000"/>
                <w:szCs w:val="28"/>
              </w:rPr>
              <w:t>атазанавира сульфата</w:t>
            </w:r>
            <w:proofErr w:type="gramStart"/>
            <w:r w:rsidRPr="005C4BBE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FA3C62" w:rsidRPr="00F05A64" w:rsidTr="00086284">
        <w:tc>
          <w:tcPr>
            <w:tcW w:w="675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C4BB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FA3C62" w:rsidRPr="005C4BBE" w:rsidRDefault="00FA3C62" w:rsidP="0054190E">
            <w:pPr>
              <w:pStyle w:val="a8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5C4BB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  <w:gridSpan w:val="2"/>
          </w:tcPr>
          <w:p w:rsidR="00FA3C62" w:rsidRPr="005C4BBE" w:rsidRDefault="005C4BBE" w:rsidP="0054190E">
            <w:pPr>
              <w:pStyle w:val="a8"/>
              <w:spacing w:after="120"/>
              <w:ind w:right="137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</w:t>
            </w:r>
            <w:r w:rsidR="004315D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одной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капсул</w:t>
            </w:r>
            <w:r w:rsidR="004315DC">
              <w:rPr>
                <w:rFonts w:ascii="Times New Roman" w:hAnsi="Times New Roman"/>
                <w:b w:val="0"/>
                <w:color w:val="000000"/>
                <w:szCs w:val="28"/>
              </w:rPr>
              <w:t>ы</w:t>
            </w:r>
            <w:r w:rsidR="00FA3C62" w:rsidRPr="005C4BBE">
              <w:rPr>
                <w:rFonts w:ascii="Times New Roman" w:hAnsi="Times New Roman"/>
                <w:b w:val="0"/>
                <w:color w:val="000000"/>
                <w:szCs w:val="28"/>
              </w:rPr>
              <w:t>, мг</w:t>
            </w:r>
            <w:r w:rsidR="00884C5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86284" w:rsidRPr="00D04BB8" w:rsidTr="00086284">
        <w:tblPrEx>
          <w:tblLook w:val="04A0"/>
        </w:tblPrEx>
        <w:trPr>
          <w:gridAfter w:val="1"/>
          <w:wAfter w:w="149" w:type="dxa"/>
        </w:trPr>
        <w:tc>
          <w:tcPr>
            <w:tcW w:w="675" w:type="dxa"/>
          </w:tcPr>
          <w:p w:rsidR="00086284" w:rsidRPr="007D6811" w:rsidRDefault="00086284" w:rsidP="0054190E">
            <w:pPr>
              <w:spacing w:after="0" w:line="240" w:lineRule="auto"/>
              <w:ind w:left="-70" w:right="-250" w:firstLine="7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86284" w:rsidRPr="007D6811" w:rsidRDefault="00086284" w:rsidP="0054190E">
            <w:pPr>
              <w:spacing w:after="0" w:line="240" w:lineRule="auto"/>
              <w:ind w:left="-70" w:right="-250" w:firstLine="7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628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704,9</w:t>
            </w:r>
          </w:p>
        </w:tc>
        <w:tc>
          <w:tcPr>
            <w:tcW w:w="283" w:type="dxa"/>
          </w:tcPr>
          <w:p w:rsidR="00086284" w:rsidRPr="00086284" w:rsidRDefault="00086284" w:rsidP="0054190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28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06" w:type="dxa"/>
          </w:tcPr>
          <w:p w:rsidR="00086284" w:rsidRPr="00D04BB8" w:rsidRDefault="00086284" w:rsidP="0054190E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атазанавира;</w:t>
            </w:r>
          </w:p>
        </w:tc>
      </w:tr>
      <w:tr w:rsidR="00086284" w:rsidTr="00086284">
        <w:tblPrEx>
          <w:tblLook w:val="04A0"/>
        </w:tblPrEx>
        <w:trPr>
          <w:gridAfter w:val="1"/>
          <w:wAfter w:w="149" w:type="dxa"/>
        </w:trPr>
        <w:tc>
          <w:tcPr>
            <w:tcW w:w="675" w:type="dxa"/>
          </w:tcPr>
          <w:p w:rsidR="00086284" w:rsidRPr="007D6811" w:rsidRDefault="00086284" w:rsidP="0054190E">
            <w:pPr>
              <w:spacing w:after="0" w:line="240" w:lineRule="auto"/>
              <w:ind w:left="-70" w:right="-250" w:firstLine="7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86284" w:rsidRPr="007D6811" w:rsidRDefault="00086284" w:rsidP="0054190E">
            <w:pPr>
              <w:spacing w:after="0" w:line="240" w:lineRule="auto"/>
              <w:ind w:left="-70" w:right="-250" w:firstLine="7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628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802,9</w:t>
            </w:r>
          </w:p>
        </w:tc>
        <w:tc>
          <w:tcPr>
            <w:tcW w:w="283" w:type="dxa"/>
          </w:tcPr>
          <w:p w:rsidR="00086284" w:rsidRPr="00086284" w:rsidRDefault="00086284" w:rsidP="0054190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28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06" w:type="dxa"/>
          </w:tcPr>
          <w:p w:rsidR="00086284" w:rsidRDefault="00086284" w:rsidP="0054190E">
            <w:pPr>
              <w:spacing w:after="120" w:line="240" w:lineRule="auto"/>
              <w:ind w:right="13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атазанавира сульфата.</w:t>
            </w:r>
          </w:p>
        </w:tc>
      </w:tr>
    </w:tbl>
    <w:p w:rsidR="00FA3C62" w:rsidRDefault="00884C52" w:rsidP="0054190E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884C52" w:rsidRDefault="00F26331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</w:t>
      </w:r>
      <w:r w:rsidR="00884C52">
        <w:rPr>
          <w:rFonts w:ascii="Times New Roman" w:hAnsi="Times New Roman" w:cs="Times New Roman"/>
          <w:sz w:val="28"/>
          <w:szCs w:val="28"/>
        </w:rPr>
        <w:t xml:space="preserve"> примесь – не более 0,2 %;</w:t>
      </w:r>
    </w:p>
    <w:p w:rsidR="00884C52" w:rsidRDefault="00884C52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примесей – не более 1,0 %.</w:t>
      </w:r>
    </w:p>
    <w:p w:rsidR="00884C52" w:rsidRDefault="00456C2C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F722F4" w:rsidRDefault="00F722F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F722F4" w:rsidRDefault="00F722F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 w:rsidR="00C95C6A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2F4" w:rsidRDefault="00F722F4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 А.</w:t>
      </w:r>
      <w:r>
        <w:rPr>
          <w:rFonts w:ascii="Times New Roman" w:hAnsi="Times New Roman" w:cs="Times New Roman"/>
          <w:sz w:val="28"/>
          <w:szCs w:val="28"/>
        </w:rPr>
        <w:t xml:space="preserve"> В 1000 мл воды растворяют 2,0 мл хлористоводородной кислоты концентрированной.</w:t>
      </w:r>
    </w:p>
    <w:p w:rsidR="00F722F4" w:rsidRDefault="00F722F4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 Б.</w:t>
      </w:r>
      <w:r>
        <w:rPr>
          <w:rFonts w:ascii="Times New Roman" w:hAnsi="Times New Roman" w:cs="Times New Roman"/>
          <w:sz w:val="28"/>
          <w:szCs w:val="28"/>
        </w:rPr>
        <w:t xml:space="preserve"> Метанол</w:t>
      </w:r>
      <w:r w:rsidRPr="00AB7E7C">
        <w:rPr>
          <w:rFonts w:ascii="Times New Roman" w:hAnsi="Times New Roman"/>
          <w:color w:val="000000"/>
          <w:sz w:val="28"/>
          <w:szCs w:val="28"/>
        </w:rPr>
        <w:t>—</w:t>
      </w:r>
      <w:r w:rsidR="002D3A48">
        <w:rPr>
          <w:rFonts w:ascii="Times New Roman" w:hAnsi="Times New Roman"/>
          <w:color w:val="000000"/>
          <w:sz w:val="28"/>
          <w:szCs w:val="28"/>
        </w:rPr>
        <w:t>вода</w:t>
      </w:r>
      <w:r>
        <w:rPr>
          <w:rFonts w:ascii="Times New Roman" w:hAnsi="Times New Roman"/>
          <w:color w:val="000000"/>
          <w:sz w:val="28"/>
          <w:szCs w:val="28"/>
        </w:rPr>
        <w:t xml:space="preserve"> 1:1.</w:t>
      </w:r>
    </w:p>
    <w:p w:rsidR="00F722F4" w:rsidRDefault="00F722F4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/>
          <w:color w:val="000000"/>
          <w:sz w:val="28"/>
          <w:szCs w:val="28"/>
        </w:rPr>
        <w:t xml:space="preserve"> Метанол</w:t>
      </w:r>
      <w:r w:rsidRPr="00AB7E7C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вода</w:t>
      </w:r>
      <w:r w:rsidRPr="00AB7E7C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трифторуксусная кислота 500:500:1.</w:t>
      </w:r>
    </w:p>
    <w:p w:rsidR="002D3A48" w:rsidRDefault="002D3A48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Точную навеску содержимого капсул, соответствующую около 50 мг атазанавира, помещают в мерную колбу вместимостью 250 мл, прибавляют 150 мл растворителя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выдерживают на ультразвуковой бане в течение 10 мин и доводят объём раствора тем же растворителем до метки. В мерную колбу вместимостью 20 мл помещают 10,0 мл полученного раствора и доводят объём раствора растворителем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54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C10">
        <w:rPr>
          <w:rFonts w:ascii="Times New Roman" w:hAnsi="Times New Roman"/>
          <w:color w:val="000000"/>
          <w:sz w:val="28"/>
          <w:szCs w:val="28"/>
        </w:rPr>
        <w:t>Раствор используют сразу</w:t>
      </w:r>
      <w:r w:rsidR="0054190E">
        <w:rPr>
          <w:rFonts w:ascii="Times New Roman" w:hAnsi="Times New Roman"/>
          <w:color w:val="000000"/>
          <w:sz w:val="28"/>
          <w:szCs w:val="28"/>
        </w:rPr>
        <w:t>.</w:t>
      </w:r>
    </w:p>
    <w:p w:rsidR="002F6375" w:rsidRDefault="002F6375" w:rsidP="00D04B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атазанавира сульфата.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28,5 мг (точная навеска) стандартного образца атазанавира сульфата помещают в мерную колбу вместимостью 50 мл, прибавляют 30 мл растворителя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выдерживают на ультразвуковой бане в течение 10 мин и доводят объём раствора тем же растворителем до метки. В мерную колбу вместимостью 25 мл помещают 5,0 мл полученного 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растворителем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676C15">
        <w:rPr>
          <w:rFonts w:ascii="Times New Roman" w:hAnsi="Times New Roman"/>
          <w:color w:val="000000"/>
          <w:sz w:val="28"/>
          <w:szCs w:val="28"/>
        </w:rPr>
        <w:t>.</w:t>
      </w:r>
      <w:r w:rsidR="0054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F80" w:rsidRPr="00902F80">
        <w:rPr>
          <w:rFonts w:ascii="Times New Roman" w:hAnsi="Times New Roman"/>
          <w:color w:val="000000"/>
          <w:sz w:val="28"/>
          <w:szCs w:val="28"/>
        </w:rPr>
        <w:t>Срок годности раствора – 8 ч при комнатной температуре.</w:t>
      </w:r>
    </w:p>
    <w:p w:rsidR="00676C15" w:rsidRDefault="00676C15" w:rsidP="00D04BB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676C15" w:rsidRPr="00C846FF" w:rsidTr="00086284">
        <w:tc>
          <w:tcPr>
            <w:tcW w:w="3936" w:type="dxa"/>
          </w:tcPr>
          <w:p w:rsidR="00676C15" w:rsidRPr="00C846FF" w:rsidRDefault="00676C15" w:rsidP="0008628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676C15" w:rsidRPr="00C846FF" w:rsidRDefault="00676C15" w:rsidP="0008628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 (С18), 3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6C15" w:rsidRPr="00C846FF" w:rsidTr="00086284">
        <w:tc>
          <w:tcPr>
            <w:tcW w:w="3936" w:type="dxa"/>
          </w:tcPr>
          <w:p w:rsidR="00676C15" w:rsidRPr="00C846FF" w:rsidRDefault="00676C15" w:rsidP="0008628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676C15" w:rsidRPr="00C846FF" w:rsidRDefault="00676C15" w:rsidP="0008628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proofErr w:type="gramStart"/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6C15" w:rsidRPr="00C846FF" w:rsidTr="00086284">
        <w:tc>
          <w:tcPr>
            <w:tcW w:w="3936" w:type="dxa"/>
          </w:tcPr>
          <w:p w:rsidR="00676C15" w:rsidRPr="00C846FF" w:rsidRDefault="00676C15" w:rsidP="0008628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676C15" w:rsidRPr="00C846FF" w:rsidRDefault="00676C15" w:rsidP="0008628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6C15" w:rsidRPr="00C846FF" w:rsidTr="00086284">
        <w:tc>
          <w:tcPr>
            <w:tcW w:w="3936" w:type="dxa"/>
          </w:tcPr>
          <w:p w:rsidR="00676C15" w:rsidRPr="00C846FF" w:rsidRDefault="00676C15" w:rsidP="0008628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676C15" w:rsidRPr="00C846FF" w:rsidRDefault="00676C15" w:rsidP="0008628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300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6C15" w:rsidRPr="00C846FF" w:rsidTr="00086284">
        <w:tc>
          <w:tcPr>
            <w:tcW w:w="3936" w:type="dxa"/>
          </w:tcPr>
          <w:p w:rsidR="00676C15" w:rsidRPr="00C846FF" w:rsidRDefault="00676C15" w:rsidP="0008628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676C15" w:rsidRPr="00C846FF" w:rsidRDefault="00676C15" w:rsidP="0008628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Pr="00C846F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 w:rsidR="003367C0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367C0" w:rsidRPr="00C846FF" w:rsidTr="00086284">
        <w:tc>
          <w:tcPr>
            <w:tcW w:w="3936" w:type="dxa"/>
          </w:tcPr>
          <w:p w:rsidR="003367C0" w:rsidRPr="00C846FF" w:rsidRDefault="003367C0" w:rsidP="0008628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3367C0" w:rsidRDefault="003367C0" w:rsidP="0008628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мин.</w:t>
            </w:r>
          </w:p>
        </w:tc>
      </w:tr>
    </w:tbl>
    <w:p w:rsidR="00676C15" w:rsidRDefault="00457134" w:rsidP="0008628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атазанавира сульфата и испытуемый раствор.</w:t>
      </w:r>
    </w:p>
    <w:p w:rsidR="00A16E41" w:rsidRDefault="00A16E41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A16E41" w:rsidRDefault="00A16E41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атазанавира сульфата:</w:t>
      </w:r>
    </w:p>
    <w:p w:rsidR="00A16E41" w:rsidRDefault="00A16E41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16E4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атазанавира должен быть не более 2,0;</w:t>
      </w:r>
    </w:p>
    <w:p w:rsidR="00A16E41" w:rsidRDefault="00A16E41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3C5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546B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3C5">
        <w:rPr>
          <w:rFonts w:ascii="Times New Roman" w:hAnsi="Times New Roman" w:cs="Times New Roman"/>
          <w:sz w:val="28"/>
          <w:szCs w:val="28"/>
        </w:rPr>
        <w:t>площади пика атазанавира должно быть не более 2,0 % (6 определений);</w:t>
      </w:r>
    </w:p>
    <w:p w:rsidR="00D033C5" w:rsidRDefault="00D033C5" w:rsidP="00D04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033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атазанавира, должна составлять не менее 2000 теоретических тарелок.</w:t>
      </w:r>
    </w:p>
    <w:p w:rsidR="00D033C5" w:rsidRDefault="00D033C5" w:rsidP="00D04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атазанавира 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38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52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165B7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65B78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eastAsia="Calibri" w:hAnsi="Times New Roman" w:cs="Times New Roman"/>
          <w:i/>
          <w:sz w:val="28"/>
          <w:szCs w:val="28"/>
        </w:rPr>
        <w:t>(Х)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вычисляют по формуле:</w:t>
      </w:r>
    </w:p>
    <w:p w:rsidR="00A458AD" w:rsidRPr="00A24F6E" w:rsidRDefault="00A458AD" w:rsidP="00086284">
      <w:pPr>
        <w:spacing w:after="120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∙250·20·5·704,9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∙50·25·10·802,9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G·1,7558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606" w:type="dxa"/>
        <w:tblLayout w:type="fixed"/>
        <w:tblLook w:val="04A0"/>
      </w:tblPr>
      <w:tblGrid>
        <w:gridCol w:w="675"/>
        <w:gridCol w:w="851"/>
        <w:gridCol w:w="283"/>
        <w:gridCol w:w="7797"/>
      </w:tblGrid>
      <w:tr w:rsidR="00A458AD" w:rsidRPr="00A24F6E" w:rsidTr="00086284"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D5E9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A458AD" w:rsidP="00086284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D5E98">
              <w:rPr>
                <w:rStyle w:val="8"/>
                <w:rFonts w:eastAsia="Calibri"/>
                <w:sz w:val="28"/>
                <w:szCs w:val="28"/>
              </w:rPr>
              <w:t>атазанавира</w:t>
            </w:r>
            <w:r w:rsidRPr="00FD5E98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458AD" w:rsidRPr="00A24F6E" w:rsidTr="00086284"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FD5E98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A458AD" w:rsidP="00086284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D5E98">
              <w:rPr>
                <w:rStyle w:val="8"/>
                <w:rFonts w:eastAsia="Calibri"/>
                <w:sz w:val="28"/>
                <w:szCs w:val="28"/>
              </w:rPr>
              <w:t>атазанавира</w:t>
            </w:r>
            <w:r w:rsidRPr="00FD5E98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FD5E98">
              <w:rPr>
                <w:rStyle w:val="8"/>
                <w:rFonts w:eastAsia="Calibri"/>
                <w:sz w:val="28"/>
                <w:szCs w:val="28"/>
              </w:rPr>
              <w:t xml:space="preserve"> атазанавира сульфата</w:t>
            </w:r>
            <w:r w:rsidRPr="00FD5E9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458AD" w:rsidRPr="00A24F6E" w:rsidTr="00086284"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D5E9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A458AD" w:rsidP="00086284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A458AD" w:rsidRPr="00A24F6E" w:rsidTr="00086284"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D5E98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A458AD" w:rsidP="00086284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4315DC">
              <w:rPr>
                <w:rStyle w:val="8"/>
                <w:rFonts w:eastAsia="Calibri"/>
                <w:sz w:val="28"/>
                <w:szCs w:val="28"/>
              </w:rPr>
              <w:t xml:space="preserve"> атазанавира сульфата</w:t>
            </w:r>
            <w:r w:rsidRPr="00FD5E98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458AD" w:rsidRPr="00A24F6E" w:rsidTr="00086284">
        <w:trPr>
          <w:trHeight w:val="177"/>
        </w:trPr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4315DC" w:rsidP="00086284">
            <w:pPr>
              <w:pStyle w:val="ac"/>
              <w:spacing w:after="120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458AD" w:rsidRPr="00FD5E98">
              <w:rPr>
                <w:rFonts w:ascii="Times New Roman" w:hAnsi="Times New Roman"/>
                <w:color w:val="000000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атазанавира сульфата</w:t>
            </w:r>
            <w:r w:rsidR="00A458AD" w:rsidRPr="00FD5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атазанавира сульфата</w:t>
            </w:r>
            <w:r w:rsidR="00A458AD" w:rsidRPr="00FD5E9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A458AD" w:rsidRPr="00B0519D" w:rsidTr="00086284"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4315DC" w:rsidP="00086284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 w:rsidR="00A458AD" w:rsidRPr="00FD5E98">
              <w:rPr>
                <w:rStyle w:val="8"/>
                <w:rFonts w:eastAsia="Calibri"/>
                <w:sz w:val="28"/>
                <w:szCs w:val="28"/>
              </w:rPr>
              <w:t>содержимого одной капсулы, мг;</w:t>
            </w:r>
          </w:p>
        </w:tc>
      </w:tr>
      <w:tr w:rsidR="00A458AD" w:rsidRPr="00B0519D" w:rsidTr="00086284">
        <w:tc>
          <w:tcPr>
            <w:tcW w:w="675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A458AD" w:rsidRPr="00FD5E98" w:rsidRDefault="00A458AD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5E9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458AD" w:rsidRPr="00FD5E98" w:rsidRDefault="00A458AD" w:rsidP="00086284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D5E98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2B285D">
              <w:rPr>
                <w:rStyle w:val="8"/>
                <w:rFonts w:eastAsia="Calibri"/>
                <w:sz w:val="28"/>
                <w:szCs w:val="28"/>
              </w:rPr>
              <w:t>атазанавира в одной капсуле</w:t>
            </w:r>
            <w:r w:rsidRPr="00FD5E98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2B285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86284" w:rsidRPr="00D04BB8" w:rsidTr="00086284">
        <w:tc>
          <w:tcPr>
            <w:tcW w:w="675" w:type="dxa"/>
          </w:tcPr>
          <w:p w:rsidR="00086284" w:rsidRPr="007D6811" w:rsidRDefault="00086284" w:rsidP="00086284">
            <w:pPr>
              <w:spacing w:after="0" w:line="240" w:lineRule="auto"/>
              <w:ind w:left="-70" w:right="-250" w:firstLine="7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86284" w:rsidRPr="007D6811" w:rsidRDefault="00086284" w:rsidP="00086284">
            <w:pPr>
              <w:spacing w:after="0" w:line="240" w:lineRule="auto"/>
              <w:ind w:left="-70" w:right="-250" w:firstLine="7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6811">
              <w:rPr>
                <w:rStyle w:val="8"/>
                <w:rFonts w:eastAsia="Calibri"/>
                <w:i/>
                <w:sz w:val="28"/>
                <w:szCs w:val="28"/>
              </w:rPr>
              <w:t>704,9</w:t>
            </w:r>
          </w:p>
        </w:tc>
        <w:tc>
          <w:tcPr>
            <w:tcW w:w="283" w:type="dxa"/>
          </w:tcPr>
          <w:p w:rsidR="00086284" w:rsidRPr="00D04BB8" w:rsidRDefault="00086284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086284" w:rsidRPr="00D04BB8" w:rsidRDefault="00086284" w:rsidP="00086284">
            <w:pPr>
              <w:spacing w:after="120" w:line="240" w:lineRule="auto"/>
              <w:ind w:right="66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атазанавира;</w:t>
            </w:r>
          </w:p>
        </w:tc>
      </w:tr>
      <w:tr w:rsidR="00086284" w:rsidTr="00086284">
        <w:tc>
          <w:tcPr>
            <w:tcW w:w="675" w:type="dxa"/>
          </w:tcPr>
          <w:p w:rsidR="00086284" w:rsidRPr="007D6811" w:rsidRDefault="00086284" w:rsidP="00086284">
            <w:pPr>
              <w:spacing w:after="0" w:line="240" w:lineRule="auto"/>
              <w:ind w:left="-70" w:right="-250" w:firstLine="7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86284" w:rsidRPr="007D6811" w:rsidRDefault="00086284" w:rsidP="00086284">
            <w:pPr>
              <w:spacing w:after="0" w:line="240" w:lineRule="auto"/>
              <w:ind w:left="-70" w:right="-250" w:firstLine="7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D6811">
              <w:rPr>
                <w:rStyle w:val="8"/>
                <w:rFonts w:eastAsia="Calibri"/>
                <w:i/>
                <w:sz w:val="28"/>
                <w:szCs w:val="28"/>
              </w:rPr>
              <w:t>802,9</w:t>
            </w:r>
          </w:p>
        </w:tc>
        <w:tc>
          <w:tcPr>
            <w:tcW w:w="283" w:type="dxa"/>
          </w:tcPr>
          <w:p w:rsidR="00086284" w:rsidRPr="00D04BB8" w:rsidRDefault="00086284" w:rsidP="0008628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BB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086284" w:rsidRDefault="00086284" w:rsidP="00086284">
            <w:pPr>
              <w:spacing w:after="120" w:line="240" w:lineRule="auto"/>
              <w:ind w:right="66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атазанавира сульфата.</w:t>
            </w:r>
          </w:p>
        </w:tc>
      </w:tr>
    </w:tbl>
    <w:p w:rsidR="00A458AD" w:rsidRPr="001F096F" w:rsidRDefault="001F096F" w:rsidP="0008628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A458AD" w:rsidRPr="001F096F" w:rsidSect="00D16C6E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0E" w:rsidRDefault="0054190E" w:rsidP="007E0B83">
      <w:pPr>
        <w:spacing w:after="0" w:line="240" w:lineRule="auto"/>
      </w:pPr>
      <w:r>
        <w:separator/>
      </w:r>
    </w:p>
  </w:endnote>
  <w:endnote w:type="continuationSeparator" w:id="0">
    <w:p w:rsidR="0054190E" w:rsidRDefault="0054190E" w:rsidP="007E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0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190E" w:rsidRPr="0034376F" w:rsidRDefault="00A23E8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37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190E" w:rsidRPr="003437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37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1D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37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190E" w:rsidRDefault="005419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0E" w:rsidRDefault="0054190E" w:rsidP="007E0B83">
      <w:pPr>
        <w:spacing w:after="0" w:line="240" w:lineRule="auto"/>
      </w:pPr>
      <w:r>
        <w:separator/>
      </w:r>
    </w:p>
  </w:footnote>
  <w:footnote w:type="continuationSeparator" w:id="0">
    <w:p w:rsidR="0054190E" w:rsidRDefault="0054190E" w:rsidP="007E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CEE"/>
    <w:rsid w:val="00086284"/>
    <w:rsid w:val="000A6CAC"/>
    <w:rsid w:val="000C7F54"/>
    <w:rsid w:val="000E4CEE"/>
    <w:rsid w:val="00157B0E"/>
    <w:rsid w:val="001643EC"/>
    <w:rsid w:val="00165B78"/>
    <w:rsid w:val="001B27B1"/>
    <w:rsid w:val="001F096F"/>
    <w:rsid w:val="0021403A"/>
    <w:rsid w:val="0022684A"/>
    <w:rsid w:val="002B285D"/>
    <w:rsid w:val="002C2ACE"/>
    <w:rsid w:val="002D3A48"/>
    <w:rsid w:val="002E2CDB"/>
    <w:rsid w:val="002F6375"/>
    <w:rsid w:val="003367C0"/>
    <w:rsid w:val="0034376F"/>
    <w:rsid w:val="003657A7"/>
    <w:rsid w:val="003861C2"/>
    <w:rsid w:val="004144D4"/>
    <w:rsid w:val="004315DC"/>
    <w:rsid w:val="00456C2C"/>
    <w:rsid w:val="00457134"/>
    <w:rsid w:val="00457A23"/>
    <w:rsid w:val="00484C56"/>
    <w:rsid w:val="0050345C"/>
    <w:rsid w:val="005325E1"/>
    <w:rsid w:val="0054190E"/>
    <w:rsid w:val="005430C9"/>
    <w:rsid w:val="00546BA4"/>
    <w:rsid w:val="005B3824"/>
    <w:rsid w:val="005C4BBE"/>
    <w:rsid w:val="006031D0"/>
    <w:rsid w:val="00635F0C"/>
    <w:rsid w:val="00676C15"/>
    <w:rsid w:val="00720F9C"/>
    <w:rsid w:val="00732146"/>
    <w:rsid w:val="00740034"/>
    <w:rsid w:val="007B48BB"/>
    <w:rsid w:val="007B6FA4"/>
    <w:rsid w:val="007D6811"/>
    <w:rsid w:val="007E0B83"/>
    <w:rsid w:val="00811DBF"/>
    <w:rsid w:val="00884C52"/>
    <w:rsid w:val="00902F80"/>
    <w:rsid w:val="00946154"/>
    <w:rsid w:val="009B41FD"/>
    <w:rsid w:val="009C347C"/>
    <w:rsid w:val="009D367E"/>
    <w:rsid w:val="00A03695"/>
    <w:rsid w:val="00A04CDE"/>
    <w:rsid w:val="00A10E09"/>
    <w:rsid w:val="00A12CED"/>
    <w:rsid w:val="00A16E41"/>
    <w:rsid w:val="00A23E8B"/>
    <w:rsid w:val="00A458AD"/>
    <w:rsid w:val="00AB7E7C"/>
    <w:rsid w:val="00BA31DE"/>
    <w:rsid w:val="00C014EB"/>
    <w:rsid w:val="00C37314"/>
    <w:rsid w:val="00C80B88"/>
    <w:rsid w:val="00C846FF"/>
    <w:rsid w:val="00C95C6A"/>
    <w:rsid w:val="00C95C7D"/>
    <w:rsid w:val="00CC4F87"/>
    <w:rsid w:val="00D033C5"/>
    <w:rsid w:val="00D04BB8"/>
    <w:rsid w:val="00D16C6E"/>
    <w:rsid w:val="00D32C10"/>
    <w:rsid w:val="00D71055"/>
    <w:rsid w:val="00E52CFB"/>
    <w:rsid w:val="00E80CB0"/>
    <w:rsid w:val="00E971F7"/>
    <w:rsid w:val="00ED3ACF"/>
    <w:rsid w:val="00F26331"/>
    <w:rsid w:val="00F307CB"/>
    <w:rsid w:val="00F722F4"/>
    <w:rsid w:val="00FA3C62"/>
    <w:rsid w:val="00FA45F6"/>
    <w:rsid w:val="00FB7CF8"/>
    <w:rsid w:val="00FC1D6B"/>
    <w:rsid w:val="00FD5E98"/>
    <w:rsid w:val="00FE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B83"/>
  </w:style>
  <w:style w:type="paragraph" w:styleId="a5">
    <w:name w:val="footer"/>
    <w:basedOn w:val="a"/>
    <w:link w:val="a6"/>
    <w:uiPriority w:val="99"/>
    <w:unhideWhenUsed/>
    <w:rsid w:val="007E0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B83"/>
  </w:style>
  <w:style w:type="table" w:styleId="a7">
    <w:name w:val="Table Grid"/>
    <w:basedOn w:val="a1"/>
    <w:uiPriority w:val="59"/>
    <w:rsid w:val="0036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657A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657A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D04BB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FA3C6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C62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uiPriority w:val="99"/>
    <w:rsid w:val="00A458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A458A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2D15-4FF2-4497-AC6D-B9E67B2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cp:lastPrinted>2019-04-05T08:05:00Z</cp:lastPrinted>
  <dcterms:created xsi:type="dcterms:W3CDTF">2019-05-29T10:55:00Z</dcterms:created>
  <dcterms:modified xsi:type="dcterms:W3CDTF">2019-07-08T12:02:00Z</dcterms:modified>
</cp:coreProperties>
</file>