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7B4C17" w:rsidP="009B52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Арника</w:t>
      </w:r>
      <w:r w:rsidR="00D3294F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3294F" w:rsidRPr="00D3294F">
        <w:rPr>
          <w:b/>
          <w:sz w:val="28"/>
          <w:szCs w:val="28"/>
          <w:lang w:val="en-US"/>
        </w:rPr>
        <w:t>D</w:t>
      </w:r>
      <w:r w:rsidR="00D3294F" w:rsidRPr="00D3294F">
        <w:rPr>
          <w:b/>
          <w:sz w:val="28"/>
          <w:szCs w:val="28"/>
        </w:rPr>
        <w:t>3</w:t>
      </w:r>
      <w:r w:rsidRPr="00D3294F">
        <w:rPr>
          <w:b/>
          <w:bCs/>
          <w:color w:val="333333"/>
          <w:sz w:val="28"/>
          <w:szCs w:val="28"/>
          <w:shd w:val="clear" w:color="auto" w:fill="FFFFFF"/>
        </w:rPr>
        <w:t>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капли гомеопатические</w:t>
      </w:r>
      <w:r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ФС</w:t>
      </w:r>
    </w:p>
    <w:p w:rsidR="009B52E5" w:rsidRPr="00245ED3" w:rsidRDefault="007B4C17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Вводится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DD4B22" w:rsidRPr="00767FAF">
        <w:rPr>
          <w:bCs/>
          <w:sz w:val="28"/>
          <w:szCs w:val="28"/>
          <w:shd w:val="clear" w:color="auto" w:fill="FFFFFF"/>
        </w:rPr>
        <w:t>Арника</w:t>
      </w:r>
      <w:r w:rsidR="00D3294F" w:rsidRPr="00D3294F">
        <w:rPr>
          <w:sz w:val="28"/>
          <w:szCs w:val="28"/>
        </w:rPr>
        <w:t xml:space="preserve"> </w:t>
      </w:r>
      <w:r w:rsidR="00D3294F" w:rsidRPr="00C34370">
        <w:rPr>
          <w:sz w:val="28"/>
          <w:szCs w:val="28"/>
          <w:lang w:val="en-US"/>
        </w:rPr>
        <w:t>D</w:t>
      </w:r>
      <w:r w:rsidR="00D3294F" w:rsidRPr="0053537C">
        <w:rPr>
          <w:sz w:val="28"/>
          <w:szCs w:val="28"/>
        </w:rPr>
        <w:t>3</w:t>
      </w:r>
      <w:r w:rsidR="00AC1155" w:rsidRPr="00DD4B22">
        <w:rPr>
          <w:i/>
          <w:sz w:val="28"/>
          <w:szCs w:val="28"/>
        </w:rPr>
        <w:t>,</w:t>
      </w:r>
      <w:r w:rsidRPr="0029184E">
        <w:rPr>
          <w:sz w:val="28"/>
          <w:szCs w:val="28"/>
        </w:rPr>
        <w:t xml:space="preserve"> </w:t>
      </w:r>
      <w:r w:rsidR="00DD4B22">
        <w:rPr>
          <w:sz w:val="28"/>
          <w:szCs w:val="28"/>
        </w:rPr>
        <w:t>капли</w:t>
      </w:r>
      <w:r w:rsidRPr="0029184E">
        <w:rPr>
          <w:sz w:val="28"/>
          <w:szCs w:val="28"/>
        </w:rPr>
        <w:t xml:space="preserve"> гомеопатическ</w:t>
      </w:r>
      <w:r w:rsidR="00DD4B22">
        <w:rPr>
          <w:sz w:val="28"/>
          <w:szCs w:val="28"/>
        </w:rPr>
        <w:t>ие</w:t>
      </w:r>
      <w:r w:rsidR="007B4C17">
        <w:rPr>
          <w:sz w:val="28"/>
          <w:szCs w:val="28"/>
        </w:rPr>
        <w:t>.</w:t>
      </w:r>
      <w:r w:rsidRPr="0029184E">
        <w:rPr>
          <w:sz w:val="28"/>
          <w:szCs w:val="28"/>
        </w:rPr>
        <w:t xml:space="preserve"> </w:t>
      </w:r>
      <w:r w:rsidR="00D3294F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DD4B22" w:rsidP="00E74D99">
      <w:pPr>
        <w:pStyle w:val="11"/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Состав на 100 г: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Default="00D31816" w:rsidP="0029184E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а</w:t>
            </w:r>
            <w:r w:rsidR="00C951FD" w:rsidRPr="007B4C17">
              <w:rPr>
                <w:i/>
                <w:sz w:val="28"/>
                <w:szCs w:val="28"/>
              </w:rPr>
              <w:t>ктивный компонент</w:t>
            </w:r>
            <w:r w:rsidR="00C951FD">
              <w:rPr>
                <w:sz w:val="28"/>
                <w:szCs w:val="28"/>
              </w:rPr>
              <w:t xml:space="preserve">: </w:t>
            </w:r>
          </w:p>
          <w:p w:rsidR="00C951FD" w:rsidRPr="00C34370" w:rsidRDefault="00C34370" w:rsidP="00C34370">
            <w:pPr>
              <w:spacing w:after="240"/>
              <w:rPr>
                <w:sz w:val="28"/>
              </w:rPr>
            </w:pPr>
            <w:proofErr w:type="spellStart"/>
            <w:r w:rsidRPr="00C34370">
              <w:rPr>
                <w:sz w:val="28"/>
                <w:szCs w:val="28"/>
              </w:rPr>
              <w:t>Arnica</w:t>
            </w:r>
            <w:proofErr w:type="spellEnd"/>
            <w:r w:rsidRPr="00C34370">
              <w:rPr>
                <w:sz w:val="28"/>
                <w:szCs w:val="28"/>
              </w:rPr>
              <w:t xml:space="preserve"> </w:t>
            </w:r>
            <w:r w:rsidRPr="00C34370"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C34370">
              <w:rPr>
                <w:sz w:val="28"/>
                <w:szCs w:val="28"/>
              </w:rPr>
              <w:t>ontana</w:t>
            </w:r>
            <w:proofErr w:type="spellEnd"/>
            <w:r w:rsidRPr="00C34370">
              <w:rPr>
                <w:sz w:val="28"/>
                <w:szCs w:val="28"/>
              </w:rPr>
              <w:t xml:space="preserve"> </w:t>
            </w:r>
            <w:r w:rsidRPr="00C34370">
              <w:rPr>
                <w:sz w:val="28"/>
                <w:szCs w:val="28"/>
                <w:lang w:val="en-US"/>
              </w:rPr>
              <w:t>D</w:t>
            </w:r>
            <w:r w:rsidRPr="0053537C">
              <w:rPr>
                <w:sz w:val="28"/>
                <w:szCs w:val="28"/>
              </w:rPr>
              <w:t>3</w:t>
            </w:r>
          </w:p>
        </w:tc>
        <w:tc>
          <w:tcPr>
            <w:tcW w:w="3508" w:type="dxa"/>
            <w:hideMark/>
          </w:tcPr>
          <w:p w:rsidR="009B52E5" w:rsidRPr="00A35297" w:rsidRDefault="009B52E5" w:rsidP="00D31816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</w:t>
            </w:r>
            <w:r w:rsidR="00D31816">
              <w:t>,</w:t>
            </w:r>
            <w:r>
              <w:t>0 </w:t>
            </w:r>
            <w:r w:rsidRPr="00A35297">
              <w:t>г</w:t>
            </w:r>
          </w:p>
        </w:tc>
      </w:tr>
      <w:tr w:rsidR="009B52E5" w:rsidTr="00936102">
        <w:tc>
          <w:tcPr>
            <w:tcW w:w="5777" w:type="dxa"/>
            <w:hideMark/>
          </w:tcPr>
          <w:p w:rsidR="00D31816" w:rsidRDefault="00D31816" w:rsidP="00C34370">
            <w:pPr>
              <w:spacing w:line="360" w:lineRule="auto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вспомогательны</w:t>
            </w:r>
            <w:r w:rsidR="007B4C17">
              <w:rPr>
                <w:i/>
                <w:sz w:val="28"/>
                <w:szCs w:val="28"/>
              </w:rPr>
              <w:t>е</w:t>
            </w:r>
            <w:r w:rsidRPr="007B4C17">
              <w:rPr>
                <w:i/>
                <w:sz w:val="28"/>
                <w:szCs w:val="28"/>
              </w:rPr>
              <w:t xml:space="preserve"> компонент</w:t>
            </w:r>
            <w:r w:rsidR="007B4C17">
              <w:rPr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9B52E5" w:rsidRPr="0029184E" w:rsidRDefault="0001135F" w:rsidP="00C34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</w:t>
            </w:r>
            <w:r w:rsidR="00D31816">
              <w:rPr>
                <w:sz w:val="28"/>
                <w:szCs w:val="28"/>
              </w:rPr>
              <w:t>с</w:t>
            </w:r>
            <w:r w:rsidR="009B52E5"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="009B52E5" w:rsidRPr="0029184E">
              <w:rPr>
                <w:sz w:val="28"/>
                <w:szCs w:val="28"/>
              </w:rPr>
              <w:t xml:space="preserve"> </w:t>
            </w:r>
            <w:r w:rsidR="00D31816">
              <w:rPr>
                <w:sz w:val="28"/>
                <w:szCs w:val="28"/>
              </w:rPr>
              <w:t>около 36 %</w:t>
            </w:r>
            <w:r w:rsidR="00C34370" w:rsidRPr="00C34370">
              <w:rPr>
                <w:sz w:val="28"/>
                <w:szCs w:val="28"/>
              </w:rPr>
              <w:t xml:space="preserve"> </w:t>
            </w:r>
            <w:r w:rsidR="009B52E5" w:rsidRPr="0029184E">
              <w:rPr>
                <w:sz w:val="28"/>
                <w:szCs w:val="28"/>
              </w:rPr>
              <w:t>(о/о)</w:t>
            </w:r>
          </w:p>
        </w:tc>
        <w:tc>
          <w:tcPr>
            <w:tcW w:w="3508" w:type="dxa"/>
            <w:hideMark/>
          </w:tcPr>
          <w:p w:rsidR="009B52E5" w:rsidRPr="00A35297" w:rsidRDefault="009B52E5" w:rsidP="00D31816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 xml:space="preserve">- </w:t>
            </w:r>
            <w:r w:rsidR="00D31816">
              <w:t>до 100</w:t>
            </w:r>
            <w:r w:rsidR="00D96716">
              <w:t>,0</w:t>
            </w:r>
            <w:r w:rsidR="00D31816">
              <w:t> г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9B52E5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Ж</w:t>
      </w:r>
      <w:r w:rsidRPr="005B03C0">
        <w:rPr>
          <w:sz w:val="28"/>
          <w:szCs w:val="28"/>
        </w:rPr>
        <w:t xml:space="preserve">идкость </w:t>
      </w:r>
      <w:r w:rsidR="00196FC5">
        <w:rPr>
          <w:sz w:val="28"/>
          <w:szCs w:val="28"/>
        </w:rPr>
        <w:t>светло-</w:t>
      </w:r>
      <w:r w:rsidR="00E74D99">
        <w:rPr>
          <w:sz w:val="28"/>
          <w:szCs w:val="28"/>
        </w:rPr>
        <w:t>желто</w:t>
      </w:r>
      <w:r w:rsidR="00196FC5">
        <w:rPr>
          <w:sz w:val="28"/>
          <w:szCs w:val="28"/>
        </w:rPr>
        <w:t xml:space="preserve">го </w:t>
      </w:r>
      <w:r w:rsidR="00E74D99">
        <w:rPr>
          <w:sz w:val="28"/>
          <w:szCs w:val="28"/>
        </w:rPr>
        <w:t>цвета</w:t>
      </w:r>
      <w:r w:rsidR="00196FC5">
        <w:rPr>
          <w:sz w:val="28"/>
          <w:szCs w:val="28"/>
        </w:rPr>
        <w:t>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Pr="009611F3" w:rsidRDefault="000B7F3A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611F3">
        <w:rPr>
          <w:b/>
          <w:i/>
          <w:sz w:val="28"/>
          <w:szCs w:val="28"/>
        </w:rPr>
        <w:t>Тонкослойная хроматография</w:t>
      </w:r>
    </w:p>
    <w:p w:rsidR="000B7F3A" w:rsidRPr="009611F3" w:rsidRDefault="000B7F3A" w:rsidP="00361BF5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521C78" w:rsidRPr="009611F3" w:rsidRDefault="00521C78" w:rsidP="009B77ED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9611F3">
        <w:rPr>
          <w:i/>
          <w:sz w:val="28"/>
          <w:szCs w:val="28"/>
        </w:rPr>
        <w:t>Раствор стандартного образца (</w:t>
      </w:r>
      <w:proofErr w:type="gramStart"/>
      <w:r w:rsidRPr="009611F3">
        <w:rPr>
          <w:i/>
          <w:sz w:val="28"/>
          <w:szCs w:val="28"/>
        </w:rPr>
        <w:t>СО</w:t>
      </w:r>
      <w:proofErr w:type="gramEnd"/>
      <w:r w:rsidRPr="009611F3">
        <w:rPr>
          <w:i/>
          <w:sz w:val="28"/>
          <w:szCs w:val="28"/>
        </w:rPr>
        <w:t xml:space="preserve">) </w:t>
      </w:r>
      <w:r w:rsidR="009611F3">
        <w:rPr>
          <w:i/>
          <w:sz w:val="28"/>
          <w:szCs w:val="28"/>
        </w:rPr>
        <w:t>тимола</w:t>
      </w:r>
      <w:r w:rsidR="009611F3" w:rsidRPr="009611F3">
        <w:rPr>
          <w:i/>
          <w:sz w:val="28"/>
          <w:szCs w:val="28"/>
        </w:rPr>
        <w:t>.</w:t>
      </w:r>
      <w:r w:rsidR="00361BF5" w:rsidRPr="009611F3">
        <w:rPr>
          <w:sz w:val="28"/>
          <w:szCs w:val="28"/>
        </w:rPr>
        <w:t xml:space="preserve"> </w:t>
      </w:r>
      <w:r w:rsidR="000F6E94" w:rsidRPr="009611F3">
        <w:rPr>
          <w:sz w:val="28"/>
          <w:szCs w:val="28"/>
        </w:rPr>
        <w:t>10</w:t>
      </w:r>
      <w:r w:rsidR="00361BF5" w:rsidRPr="009611F3">
        <w:rPr>
          <w:sz w:val="28"/>
          <w:szCs w:val="28"/>
        </w:rPr>
        <w:t xml:space="preserve"> мг </w:t>
      </w:r>
      <w:r w:rsidR="0029184E" w:rsidRPr="009611F3">
        <w:rPr>
          <w:sz w:val="28"/>
          <w:szCs w:val="28"/>
        </w:rPr>
        <w:t xml:space="preserve">СО </w:t>
      </w:r>
      <w:r w:rsidR="009611F3" w:rsidRPr="009611F3">
        <w:rPr>
          <w:sz w:val="28"/>
          <w:szCs w:val="28"/>
        </w:rPr>
        <w:t>тимола</w:t>
      </w:r>
      <w:r w:rsidR="00361BF5" w:rsidRPr="009611F3">
        <w:rPr>
          <w:sz w:val="28"/>
          <w:szCs w:val="28"/>
        </w:rPr>
        <w:t xml:space="preserve"> растворяют в 10 мл </w:t>
      </w:r>
      <w:r w:rsidR="009611F3" w:rsidRPr="009611F3">
        <w:rPr>
          <w:sz w:val="28"/>
          <w:szCs w:val="28"/>
        </w:rPr>
        <w:t>спирта 96 %</w:t>
      </w:r>
      <w:r w:rsidR="00361BF5" w:rsidRPr="009611F3">
        <w:rPr>
          <w:sz w:val="28"/>
          <w:szCs w:val="28"/>
        </w:rPr>
        <w:t>.</w:t>
      </w:r>
      <w:r w:rsidR="00D3294F">
        <w:rPr>
          <w:sz w:val="28"/>
          <w:szCs w:val="28"/>
        </w:rPr>
        <w:t xml:space="preserve"> Раствор используют свежеприготовленным.</w:t>
      </w:r>
    </w:p>
    <w:p w:rsidR="000B7F3A" w:rsidRDefault="00521C78" w:rsidP="009B77ED">
      <w:pPr>
        <w:ind w:firstLine="709"/>
        <w:jc w:val="both"/>
        <w:rPr>
          <w:sz w:val="28"/>
          <w:szCs w:val="28"/>
        </w:rPr>
      </w:pPr>
      <w:r w:rsidRPr="000B5261">
        <w:rPr>
          <w:i/>
          <w:sz w:val="28"/>
          <w:szCs w:val="28"/>
        </w:rPr>
        <w:t>Раствор</w:t>
      </w:r>
      <w:r w:rsidR="000B5261" w:rsidRPr="000B5261">
        <w:rPr>
          <w:i/>
          <w:sz w:val="28"/>
          <w:szCs w:val="28"/>
        </w:rPr>
        <w:t>ы</w:t>
      </w:r>
      <w:r w:rsidRPr="000B5261">
        <w:rPr>
          <w:i/>
          <w:sz w:val="28"/>
          <w:szCs w:val="28"/>
        </w:rPr>
        <w:t xml:space="preserve"> </w:t>
      </w:r>
      <w:r w:rsidR="000B5261" w:rsidRPr="000B5261">
        <w:rPr>
          <w:i/>
          <w:sz w:val="28"/>
          <w:szCs w:val="28"/>
        </w:rPr>
        <w:t>ванилина и серной кислоты.</w:t>
      </w:r>
      <w:r w:rsidR="00361BF5" w:rsidRPr="000B5261">
        <w:rPr>
          <w:i/>
          <w:sz w:val="28"/>
          <w:szCs w:val="28"/>
        </w:rPr>
        <w:t xml:space="preserve"> </w:t>
      </w:r>
      <w:r w:rsidR="000B5261" w:rsidRPr="000B5261">
        <w:rPr>
          <w:sz w:val="28"/>
          <w:szCs w:val="28"/>
        </w:rPr>
        <w:t>Реактив состоит из двух растворов, которыми последовательно обрабатывают пластинку.</w:t>
      </w:r>
    </w:p>
    <w:p w:rsidR="000B5261" w:rsidRDefault="000B5261" w:rsidP="009B7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№ 1: 5,0 мл серной кислоты концентрированной смешивают с 95 мл спирта 96 %.</w:t>
      </w:r>
      <w:r w:rsidR="00D3294F">
        <w:rPr>
          <w:sz w:val="28"/>
          <w:szCs w:val="28"/>
        </w:rPr>
        <w:t xml:space="preserve"> Срок годности раствора 10 суток.</w:t>
      </w:r>
    </w:p>
    <w:p w:rsidR="000B5261" w:rsidRDefault="000B5261" w:rsidP="009B7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№ 2: 1,0 г ванилина растворяют в 100 мл спирта 96 %. Срок годности раствора 10 суток.</w:t>
      </w:r>
    </w:p>
    <w:p w:rsidR="000B5261" w:rsidRPr="000B5261" w:rsidRDefault="00BD68BE" w:rsidP="006B4B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100 мл препарата помещают в </w:t>
      </w:r>
      <w:r w:rsidR="00553CA0">
        <w:rPr>
          <w:sz w:val="28"/>
          <w:szCs w:val="28"/>
        </w:rPr>
        <w:t>фарфоровую</w:t>
      </w:r>
      <w:r w:rsidR="006B0FC8">
        <w:rPr>
          <w:sz w:val="28"/>
          <w:szCs w:val="28"/>
        </w:rPr>
        <w:t xml:space="preserve"> чашку и</w:t>
      </w:r>
      <w:r w:rsidR="001B1DB1">
        <w:rPr>
          <w:sz w:val="28"/>
          <w:szCs w:val="28"/>
        </w:rPr>
        <w:t xml:space="preserve"> упаривают раствор на водяной </w:t>
      </w:r>
      <w:r w:rsidR="005E5502">
        <w:rPr>
          <w:sz w:val="28"/>
          <w:szCs w:val="28"/>
        </w:rPr>
        <w:t xml:space="preserve">бане </w:t>
      </w:r>
      <w:r w:rsidR="001B1DB1">
        <w:rPr>
          <w:sz w:val="28"/>
          <w:szCs w:val="28"/>
        </w:rPr>
        <w:t xml:space="preserve">до </w:t>
      </w:r>
      <w:r w:rsidR="00161208">
        <w:rPr>
          <w:sz w:val="28"/>
          <w:szCs w:val="28"/>
        </w:rPr>
        <w:t xml:space="preserve">объема </w:t>
      </w:r>
      <w:r w:rsidR="006B4B5C">
        <w:rPr>
          <w:sz w:val="28"/>
          <w:szCs w:val="28"/>
        </w:rPr>
        <w:t xml:space="preserve">около </w:t>
      </w:r>
      <w:r w:rsidR="001B1DB1">
        <w:rPr>
          <w:sz w:val="28"/>
          <w:szCs w:val="28"/>
        </w:rPr>
        <w:t>0,5 мл</w:t>
      </w:r>
      <w:r w:rsidR="005E5502">
        <w:rPr>
          <w:sz w:val="28"/>
          <w:szCs w:val="28"/>
        </w:rPr>
        <w:t xml:space="preserve"> (испытуемый раствор).</w:t>
      </w:r>
    </w:p>
    <w:p w:rsidR="001121C3" w:rsidRDefault="00521C78" w:rsidP="0057535C">
      <w:pPr>
        <w:spacing w:after="120" w:line="360" w:lineRule="auto"/>
        <w:ind w:firstLine="720"/>
        <w:jc w:val="both"/>
        <w:rPr>
          <w:sz w:val="28"/>
          <w:szCs w:val="28"/>
          <w:highlight w:val="yellow"/>
        </w:rPr>
      </w:pPr>
      <w:r w:rsidRPr="000B5261">
        <w:rPr>
          <w:sz w:val="28"/>
        </w:rPr>
        <w:t xml:space="preserve">На линию старта аналитической </w:t>
      </w:r>
      <w:proofErr w:type="spellStart"/>
      <w:r w:rsidRPr="000B5261">
        <w:rPr>
          <w:sz w:val="28"/>
        </w:rPr>
        <w:t>хроматографической</w:t>
      </w:r>
      <w:proofErr w:type="spellEnd"/>
      <w:r w:rsidRPr="000B5261">
        <w:rPr>
          <w:sz w:val="28"/>
        </w:rPr>
        <w:t xml:space="preserve"> пластинки со слоем силикагеля</w:t>
      </w:r>
      <w:r w:rsidR="00361BF5" w:rsidRPr="000B5261">
        <w:rPr>
          <w:sz w:val="28"/>
        </w:rPr>
        <w:t xml:space="preserve"> наносят раздельно </w:t>
      </w:r>
      <w:r w:rsidR="000B5261" w:rsidRPr="000B5261">
        <w:rPr>
          <w:sz w:val="28"/>
        </w:rPr>
        <w:t>полосами длиной 10</w:t>
      </w:r>
      <w:r w:rsidR="000B5261">
        <w:rPr>
          <w:sz w:val="28"/>
        </w:rPr>
        <w:t> </w:t>
      </w:r>
      <w:r w:rsidR="000B5261" w:rsidRPr="000B5261">
        <w:rPr>
          <w:sz w:val="28"/>
        </w:rPr>
        <w:t xml:space="preserve">мм </w:t>
      </w:r>
      <w:r w:rsidR="00553CA0">
        <w:rPr>
          <w:sz w:val="28"/>
        </w:rPr>
        <w:t xml:space="preserve">и шириной не более 2 мм </w:t>
      </w:r>
      <w:r w:rsidR="000B5261" w:rsidRPr="000B5261">
        <w:rPr>
          <w:sz w:val="28"/>
        </w:rPr>
        <w:t>10</w:t>
      </w:r>
      <w:r w:rsidR="00361BF5" w:rsidRPr="000B5261">
        <w:rPr>
          <w:noProof/>
          <w:sz w:val="28"/>
        </w:rPr>
        <w:t>0 </w:t>
      </w:r>
      <w:r w:rsidR="00361BF5" w:rsidRPr="000B5261">
        <w:rPr>
          <w:sz w:val="28"/>
        </w:rPr>
        <w:t xml:space="preserve">мкл </w:t>
      </w:r>
      <w:r w:rsidR="000B5261" w:rsidRPr="000B5261">
        <w:rPr>
          <w:sz w:val="28"/>
        </w:rPr>
        <w:t>испытуемого раствора</w:t>
      </w:r>
      <w:r w:rsidR="00361BF5" w:rsidRPr="000B5261">
        <w:rPr>
          <w:noProof/>
          <w:sz w:val="28"/>
        </w:rPr>
        <w:t xml:space="preserve"> </w:t>
      </w:r>
      <w:r w:rsidR="000B5261">
        <w:rPr>
          <w:noProof/>
          <w:sz w:val="28"/>
        </w:rPr>
        <w:t xml:space="preserve">и </w:t>
      </w:r>
      <w:r w:rsidR="00361BF5" w:rsidRPr="000B5261">
        <w:rPr>
          <w:noProof/>
          <w:sz w:val="28"/>
        </w:rPr>
        <w:t>10 </w:t>
      </w:r>
      <w:r w:rsidR="00361BF5" w:rsidRPr="000B5261">
        <w:rPr>
          <w:sz w:val="28"/>
        </w:rPr>
        <w:t>мкл раствор</w:t>
      </w:r>
      <w:r w:rsidR="00161208">
        <w:rPr>
          <w:sz w:val="28"/>
        </w:rPr>
        <w:t>а</w:t>
      </w:r>
      <w:r w:rsidR="00361BF5" w:rsidRPr="000B5261">
        <w:rPr>
          <w:sz w:val="28"/>
        </w:rPr>
        <w:t xml:space="preserve"> </w:t>
      </w:r>
      <w:proofErr w:type="gramStart"/>
      <w:r w:rsidR="00361BF5" w:rsidRPr="000B5261">
        <w:rPr>
          <w:sz w:val="28"/>
        </w:rPr>
        <w:t>СО</w:t>
      </w:r>
      <w:proofErr w:type="gramEnd"/>
      <w:r w:rsidR="00361BF5" w:rsidRPr="000B5261">
        <w:rPr>
          <w:sz w:val="28"/>
        </w:rPr>
        <w:t xml:space="preserve"> </w:t>
      </w:r>
      <w:r w:rsidR="000B5261" w:rsidRPr="000B5261">
        <w:rPr>
          <w:sz w:val="28"/>
          <w:szCs w:val="28"/>
        </w:rPr>
        <w:t>тимола</w:t>
      </w:r>
      <w:r w:rsidR="0054731C" w:rsidRPr="000B5261">
        <w:rPr>
          <w:sz w:val="28"/>
          <w:szCs w:val="28"/>
        </w:rPr>
        <w:t>.</w:t>
      </w:r>
      <w:r w:rsidR="0029184E" w:rsidRPr="000B5261">
        <w:rPr>
          <w:sz w:val="28"/>
          <w:szCs w:val="28"/>
        </w:rPr>
        <w:t xml:space="preserve"> </w:t>
      </w:r>
      <w:r w:rsidR="0054731C" w:rsidRPr="005E5502">
        <w:rPr>
          <w:sz w:val="28"/>
          <w:szCs w:val="28"/>
        </w:rPr>
        <w:t xml:space="preserve">Пластинку </w:t>
      </w:r>
      <w:r w:rsidR="005E5502" w:rsidRPr="005E5502">
        <w:rPr>
          <w:sz w:val="28"/>
          <w:szCs w:val="28"/>
        </w:rPr>
        <w:t>с нанес</w:t>
      </w:r>
      <w:r w:rsidR="00161208">
        <w:rPr>
          <w:sz w:val="28"/>
          <w:szCs w:val="28"/>
        </w:rPr>
        <w:t>енными пробами сушат на воздухе и</w:t>
      </w:r>
      <w:r w:rsidR="005E5502" w:rsidRPr="005E5502">
        <w:rPr>
          <w:sz w:val="28"/>
          <w:szCs w:val="28"/>
        </w:rPr>
        <w:t xml:space="preserve"> </w:t>
      </w:r>
      <w:r w:rsidR="0054731C" w:rsidRPr="005E5502">
        <w:rPr>
          <w:sz w:val="28"/>
          <w:szCs w:val="28"/>
        </w:rPr>
        <w:t xml:space="preserve">помещают в </w:t>
      </w:r>
      <w:proofErr w:type="spellStart"/>
      <w:r w:rsidR="005E5502" w:rsidRPr="005E5502">
        <w:rPr>
          <w:sz w:val="28"/>
          <w:szCs w:val="28"/>
        </w:rPr>
        <w:t>хроматографическую</w:t>
      </w:r>
      <w:proofErr w:type="spellEnd"/>
      <w:r w:rsidR="005E5502" w:rsidRPr="005E5502">
        <w:rPr>
          <w:sz w:val="28"/>
          <w:szCs w:val="28"/>
        </w:rPr>
        <w:t xml:space="preserve"> камеру</w:t>
      </w:r>
      <w:r w:rsidR="0054731C" w:rsidRPr="005E5502">
        <w:rPr>
          <w:sz w:val="28"/>
          <w:szCs w:val="28"/>
        </w:rPr>
        <w:t xml:space="preserve">, предварительно насыщенную в течение </w:t>
      </w:r>
      <w:r w:rsidR="005E5502" w:rsidRPr="005E5502">
        <w:rPr>
          <w:sz w:val="28"/>
          <w:szCs w:val="28"/>
        </w:rPr>
        <w:t>3</w:t>
      </w:r>
      <w:r w:rsidR="000F6E94" w:rsidRPr="005E5502">
        <w:rPr>
          <w:sz w:val="28"/>
          <w:szCs w:val="28"/>
        </w:rPr>
        <w:t>0</w:t>
      </w:r>
      <w:r w:rsidR="0054731C" w:rsidRPr="005E5502">
        <w:rPr>
          <w:sz w:val="28"/>
          <w:szCs w:val="28"/>
        </w:rPr>
        <w:t> </w:t>
      </w:r>
      <w:r w:rsidR="000F6E94" w:rsidRPr="005E5502">
        <w:rPr>
          <w:sz w:val="28"/>
          <w:szCs w:val="28"/>
        </w:rPr>
        <w:t>мин</w:t>
      </w:r>
      <w:r w:rsidR="0054731C" w:rsidRPr="005E5502">
        <w:rPr>
          <w:sz w:val="28"/>
          <w:szCs w:val="28"/>
        </w:rPr>
        <w:t xml:space="preserve"> смесью растворителей </w:t>
      </w:r>
      <w:proofErr w:type="spellStart"/>
      <w:r w:rsidR="005E5502" w:rsidRPr="005E5502">
        <w:rPr>
          <w:sz w:val="28"/>
          <w:szCs w:val="28"/>
        </w:rPr>
        <w:t>гексан</w:t>
      </w:r>
      <w:proofErr w:type="spellEnd"/>
      <w:r w:rsidR="0029184E" w:rsidRPr="005E5502">
        <w:rPr>
          <w:sz w:val="28"/>
          <w:szCs w:val="28"/>
        </w:rPr>
        <w:t xml:space="preserve"> - </w:t>
      </w:r>
      <w:r w:rsidR="00084A78" w:rsidRPr="005E5502">
        <w:rPr>
          <w:sz w:val="28"/>
          <w:szCs w:val="28"/>
        </w:rPr>
        <w:t>этилацетат</w:t>
      </w:r>
      <w:r w:rsidR="0054731C" w:rsidRPr="005E5502">
        <w:rPr>
          <w:sz w:val="28"/>
          <w:szCs w:val="28"/>
        </w:rPr>
        <w:t xml:space="preserve"> (</w:t>
      </w:r>
      <w:r w:rsidR="005E5502" w:rsidRPr="005E5502">
        <w:rPr>
          <w:sz w:val="28"/>
          <w:szCs w:val="28"/>
        </w:rPr>
        <w:t>90</w:t>
      </w:r>
      <w:proofErr w:type="gramStart"/>
      <w:r w:rsidR="0054731C" w:rsidRPr="005E5502">
        <w:rPr>
          <w:sz w:val="28"/>
          <w:szCs w:val="28"/>
        </w:rPr>
        <w:t> :</w:t>
      </w:r>
      <w:proofErr w:type="gramEnd"/>
      <w:r w:rsidR="0054731C" w:rsidRPr="005E5502">
        <w:rPr>
          <w:sz w:val="28"/>
          <w:szCs w:val="28"/>
        </w:rPr>
        <w:t> </w:t>
      </w:r>
      <w:r w:rsidR="000F6E94" w:rsidRPr="005E5502">
        <w:rPr>
          <w:sz w:val="28"/>
          <w:szCs w:val="28"/>
        </w:rPr>
        <w:t>1</w:t>
      </w:r>
      <w:r w:rsidR="005E5502" w:rsidRPr="005E5502">
        <w:rPr>
          <w:sz w:val="28"/>
          <w:szCs w:val="28"/>
        </w:rPr>
        <w:t>0</w:t>
      </w:r>
      <w:r w:rsidR="0054731C" w:rsidRPr="005E5502">
        <w:rPr>
          <w:sz w:val="28"/>
          <w:szCs w:val="28"/>
        </w:rPr>
        <w:t>)</w:t>
      </w:r>
      <w:r w:rsidR="00553CA0">
        <w:rPr>
          <w:sz w:val="28"/>
          <w:szCs w:val="28"/>
        </w:rPr>
        <w:t>,</w:t>
      </w:r>
      <w:r w:rsidR="0054731C" w:rsidRPr="005E5502">
        <w:rPr>
          <w:sz w:val="28"/>
          <w:szCs w:val="28"/>
        </w:rPr>
        <w:t xml:space="preserve"> </w:t>
      </w:r>
      <w:proofErr w:type="spellStart"/>
      <w:r w:rsidR="0054731C" w:rsidRPr="005E5502">
        <w:rPr>
          <w:sz w:val="28"/>
          <w:szCs w:val="28"/>
        </w:rPr>
        <w:t>хроматографируют</w:t>
      </w:r>
      <w:proofErr w:type="spellEnd"/>
      <w:r w:rsidR="0054731C" w:rsidRPr="005E5502">
        <w:rPr>
          <w:sz w:val="28"/>
          <w:szCs w:val="28"/>
        </w:rPr>
        <w:t xml:space="preserve"> восходящим способом. Когда фронт растворителей пройдет около 80 -</w:t>
      </w:r>
      <w:r w:rsidR="00A80A73" w:rsidRPr="005E5502">
        <w:rPr>
          <w:sz w:val="28"/>
          <w:szCs w:val="28"/>
        </w:rPr>
        <w:t> </w:t>
      </w:r>
      <w:r w:rsidR="0054731C" w:rsidRPr="005E5502">
        <w:rPr>
          <w:sz w:val="28"/>
          <w:szCs w:val="28"/>
        </w:rPr>
        <w:t>90 % длины пластинки от линии старта</w:t>
      </w:r>
      <w:r w:rsidR="0054731C" w:rsidRPr="0034652A">
        <w:rPr>
          <w:sz w:val="28"/>
          <w:szCs w:val="28"/>
        </w:rPr>
        <w:t>, ее вынимают из камеры</w:t>
      </w:r>
      <w:r w:rsidR="00A1440B" w:rsidRPr="0034652A">
        <w:rPr>
          <w:sz w:val="28"/>
          <w:szCs w:val="28"/>
        </w:rPr>
        <w:t xml:space="preserve">, </w:t>
      </w:r>
      <w:r w:rsidR="0020035F" w:rsidRPr="0034652A">
        <w:rPr>
          <w:sz w:val="28"/>
          <w:szCs w:val="28"/>
        </w:rPr>
        <w:t>суш</w:t>
      </w:r>
      <w:r w:rsidR="00A1440B" w:rsidRPr="0034652A">
        <w:rPr>
          <w:sz w:val="28"/>
          <w:szCs w:val="28"/>
        </w:rPr>
        <w:t xml:space="preserve">ат </w:t>
      </w:r>
      <w:r w:rsidR="0034652A">
        <w:rPr>
          <w:sz w:val="28"/>
          <w:szCs w:val="28"/>
        </w:rPr>
        <w:t xml:space="preserve">на воздухе до </w:t>
      </w:r>
      <w:r w:rsidR="001808B1" w:rsidRPr="0034652A">
        <w:rPr>
          <w:sz w:val="28"/>
          <w:szCs w:val="28"/>
        </w:rPr>
        <w:t>удаления следов растворителей.</w:t>
      </w:r>
      <w:r w:rsidR="00AB3802" w:rsidRPr="0034652A">
        <w:rPr>
          <w:sz w:val="28"/>
          <w:szCs w:val="28"/>
        </w:rPr>
        <w:t xml:space="preserve"> </w:t>
      </w:r>
      <w:r w:rsidR="001808B1" w:rsidRPr="0034652A">
        <w:rPr>
          <w:sz w:val="28"/>
          <w:szCs w:val="28"/>
        </w:rPr>
        <w:t>З</w:t>
      </w:r>
      <w:r w:rsidR="00AB3802" w:rsidRPr="0034652A">
        <w:rPr>
          <w:sz w:val="28"/>
          <w:szCs w:val="28"/>
        </w:rPr>
        <w:t>атем</w:t>
      </w:r>
      <w:r w:rsidR="00056AC4" w:rsidRPr="0034652A">
        <w:rPr>
          <w:sz w:val="28"/>
          <w:szCs w:val="28"/>
        </w:rPr>
        <w:t xml:space="preserve"> </w:t>
      </w:r>
      <w:proofErr w:type="spellStart"/>
      <w:r w:rsidR="00056AC4" w:rsidRPr="0034652A">
        <w:rPr>
          <w:sz w:val="28"/>
          <w:szCs w:val="28"/>
        </w:rPr>
        <w:t>хроматограмму</w:t>
      </w:r>
      <w:proofErr w:type="spellEnd"/>
      <w:r w:rsidR="00AB3802" w:rsidRPr="0034652A">
        <w:rPr>
          <w:sz w:val="28"/>
          <w:szCs w:val="28"/>
        </w:rPr>
        <w:t xml:space="preserve"> обрабатывают</w:t>
      </w:r>
      <w:r w:rsidR="00056AC4" w:rsidRPr="0034652A">
        <w:rPr>
          <w:sz w:val="28"/>
          <w:szCs w:val="28"/>
        </w:rPr>
        <w:t xml:space="preserve"> </w:t>
      </w:r>
      <w:r w:rsidR="0034652A" w:rsidRPr="0034652A">
        <w:rPr>
          <w:sz w:val="28"/>
          <w:szCs w:val="28"/>
        </w:rPr>
        <w:t>одним из реактивов: анисового альдегида раствором уксуснокислым в метаноле (А) или раствором ванилина и серной кислоты</w:t>
      </w:r>
      <w:r w:rsidR="0034652A">
        <w:rPr>
          <w:sz w:val="28"/>
          <w:szCs w:val="28"/>
        </w:rPr>
        <w:t xml:space="preserve"> (Б)</w:t>
      </w:r>
      <w:r w:rsidR="0034652A" w:rsidRPr="0034652A">
        <w:rPr>
          <w:sz w:val="28"/>
          <w:szCs w:val="28"/>
        </w:rPr>
        <w:t>.</w:t>
      </w:r>
      <w:r w:rsidR="001121C3" w:rsidRPr="0034652A">
        <w:rPr>
          <w:sz w:val="28"/>
          <w:szCs w:val="28"/>
        </w:rPr>
        <w:t xml:space="preserve"> </w:t>
      </w:r>
    </w:p>
    <w:p w:rsidR="0034652A" w:rsidRDefault="0034652A" w:rsidP="00161208">
      <w:pPr>
        <w:spacing w:line="360" w:lineRule="auto"/>
        <w:ind w:firstLine="720"/>
        <w:jc w:val="both"/>
        <w:rPr>
          <w:sz w:val="28"/>
          <w:szCs w:val="28"/>
        </w:rPr>
      </w:pPr>
      <w:r w:rsidRPr="0034652A">
        <w:rPr>
          <w:sz w:val="28"/>
          <w:szCs w:val="28"/>
        </w:rPr>
        <w:t xml:space="preserve">А. </w:t>
      </w:r>
      <w:proofErr w:type="spellStart"/>
      <w:r w:rsidRPr="0034652A">
        <w:rPr>
          <w:sz w:val="28"/>
          <w:szCs w:val="28"/>
        </w:rPr>
        <w:t>Х</w:t>
      </w:r>
      <w:r>
        <w:rPr>
          <w:sz w:val="28"/>
          <w:szCs w:val="28"/>
        </w:rPr>
        <w:t>роматограмму</w:t>
      </w:r>
      <w:proofErr w:type="spellEnd"/>
      <w:r>
        <w:rPr>
          <w:sz w:val="28"/>
          <w:szCs w:val="28"/>
        </w:rPr>
        <w:t xml:space="preserve"> опрыскивают анисового альдегида раствором уксуснокислым в метаноле и выдерживают в сушильном шкафу при температуре 100</w:t>
      </w:r>
      <w:r w:rsidR="006B4B5C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6B4B5C">
        <w:rPr>
          <w:sz w:val="28"/>
          <w:szCs w:val="28"/>
        </w:rPr>
        <w:t> </w:t>
      </w:r>
      <w:r>
        <w:rPr>
          <w:sz w:val="28"/>
          <w:szCs w:val="28"/>
        </w:rPr>
        <w:t>105 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</w:t>
      </w:r>
      <w:r w:rsidRPr="006B4B5C">
        <w:rPr>
          <w:sz w:val="28"/>
          <w:szCs w:val="28"/>
        </w:rPr>
        <w:t>до появления окрашенных зон адсорбции</w:t>
      </w:r>
      <w:r>
        <w:rPr>
          <w:sz w:val="28"/>
          <w:szCs w:val="28"/>
        </w:rPr>
        <w:t xml:space="preserve"> и просматривают при дневном </w:t>
      </w:r>
      <w:r w:rsidR="00161208">
        <w:rPr>
          <w:sz w:val="28"/>
          <w:szCs w:val="28"/>
        </w:rPr>
        <w:t>свете.</w:t>
      </w:r>
    </w:p>
    <w:p w:rsidR="00161208" w:rsidRDefault="00161208" w:rsidP="001612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тимола должна обнаруживаться зона адсорбции розового цвета.</w:t>
      </w:r>
    </w:p>
    <w:p w:rsidR="00161208" w:rsidRDefault="00161208" w:rsidP="0016120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должны обнаруживаться</w:t>
      </w:r>
      <w:r w:rsidR="002357C0">
        <w:rPr>
          <w:sz w:val="28"/>
          <w:szCs w:val="28"/>
        </w:rPr>
        <w:t>: зоны адсорбции</w:t>
      </w:r>
      <w:r>
        <w:rPr>
          <w:sz w:val="28"/>
          <w:szCs w:val="28"/>
        </w:rPr>
        <w:t xml:space="preserve"> красно-фиолетового, серо-синего, голубого, </w:t>
      </w:r>
      <w:r w:rsidR="00826F7B">
        <w:rPr>
          <w:sz w:val="28"/>
          <w:szCs w:val="28"/>
        </w:rPr>
        <w:t>сине-фиолетового,</w:t>
      </w:r>
      <w:r w:rsidR="00160323">
        <w:rPr>
          <w:sz w:val="28"/>
          <w:szCs w:val="28"/>
        </w:rPr>
        <w:t xml:space="preserve"> светло-розового и светло-фиолетового цвета</w:t>
      </w:r>
      <w:r w:rsidRPr="0016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 </w:t>
      </w:r>
      <w:r w:rsidR="00292748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зоны адсорбции</w:t>
      </w:r>
      <w:r w:rsidR="00160323">
        <w:rPr>
          <w:sz w:val="28"/>
          <w:szCs w:val="28"/>
        </w:rPr>
        <w:t xml:space="preserve"> </w:t>
      </w:r>
      <w:proofErr w:type="gramStart"/>
      <w:r w:rsidR="00300A9F">
        <w:rPr>
          <w:sz w:val="28"/>
          <w:szCs w:val="28"/>
        </w:rPr>
        <w:t>СО</w:t>
      </w:r>
      <w:proofErr w:type="gramEnd"/>
      <w:r w:rsidR="00300A9F">
        <w:rPr>
          <w:sz w:val="28"/>
          <w:szCs w:val="28"/>
        </w:rPr>
        <w:t xml:space="preserve"> тимола,</w:t>
      </w:r>
      <w:r w:rsidR="002357C0">
        <w:rPr>
          <w:sz w:val="28"/>
          <w:szCs w:val="28"/>
        </w:rPr>
        <w:t xml:space="preserve"> зона адсорбции</w:t>
      </w:r>
      <w:r w:rsidR="00300A9F">
        <w:rPr>
          <w:sz w:val="28"/>
          <w:szCs w:val="28"/>
        </w:rPr>
        <w:t xml:space="preserve"> светло-розового цвета на уровне зоны адсорбции </w:t>
      </w:r>
      <w:proofErr w:type="gramStart"/>
      <w:r w:rsidR="00300A9F">
        <w:rPr>
          <w:sz w:val="28"/>
          <w:szCs w:val="28"/>
        </w:rPr>
        <w:t>СО</w:t>
      </w:r>
      <w:proofErr w:type="gramEnd"/>
      <w:r w:rsidR="00300A9F">
        <w:rPr>
          <w:sz w:val="28"/>
          <w:szCs w:val="28"/>
        </w:rPr>
        <w:t xml:space="preserve"> тимола, две зоны</w:t>
      </w:r>
      <w:r w:rsidR="002357C0">
        <w:rPr>
          <w:sz w:val="28"/>
          <w:szCs w:val="28"/>
        </w:rPr>
        <w:t xml:space="preserve"> адсорбции</w:t>
      </w:r>
      <w:r w:rsidR="00300A9F">
        <w:rPr>
          <w:sz w:val="28"/>
          <w:szCs w:val="28"/>
        </w:rPr>
        <w:t xml:space="preserve"> светло-розового цвета</w:t>
      </w:r>
      <w:r w:rsidR="002357C0">
        <w:rPr>
          <w:sz w:val="28"/>
          <w:szCs w:val="28"/>
        </w:rPr>
        <w:t>, зоны</w:t>
      </w:r>
      <w:r w:rsidR="00EB4050">
        <w:rPr>
          <w:sz w:val="28"/>
          <w:szCs w:val="28"/>
        </w:rPr>
        <w:t xml:space="preserve"> </w:t>
      </w:r>
      <w:r w:rsidR="002357C0">
        <w:rPr>
          <w:sz w:val="28"/>
          <w:szCs w:val="28"/>
        </w:rPr>
        <w:t xml:space="preserve">адсорбции </w:t>
      </w:r>
      <w:r w:rsidR="00EB4050">
        <w:rPr>
          <w:sz w:val="28"/>
          <w:szCs w:val="28"/>
        </w:rPr>
        <w:t xml:space="preserve">светло-желтого, светло-зеленого, желтого, фиолетового, голубого цвета выше </w:t>
      </w:r>
      <w:r w:rsidR="006B4B5C">
        <w:rPr>
          <w:sz w:val="28"/>
          <w:szCs w:val="28"/>
        </w:rPr>
        <w:t>уровня зоны адсорбции СО тимола; д</w:t>
      </w:r>
      <w:r w:rsidR="00EB4050">
        <w:rPr>
          <w:sz w:val="28"/>
          <w:szCs w:val="28"/>
        </w:rPr>
        <w:t xml:space="preserve">опускается обнаружение </w:t>
      </w:r>
      <w:r w:rsidR="002357C0">
        <w:rPr>
          <w:sz w:val="28"/>
          <w:szCs w:val="28"/>
        </w:rPr>
        <w:t xml:space="preserve">других </w:t>
      </w:r>
      <w:r w:rsidR="00EB4050">
        <w:rPr>
          <w:sz w:val="28"/>
          <w:szCs w:val="28"/>
        </w:rPr>
        <w:t xml:space="preserve">зон </w:t>
      </w:r>
      <w:r w:rsidR="002357C0">
        <w:rPr>
          <w:sz w:val="28"/>
          <w:szCs w:val="28"/>
        </w:rPr>
        <w:t>адсорбции</w:t>
      </w:r>
      <w:r w:rsidR="00EB4050">
        <w:rPr>
          <w:sz w:val="28"/>
          <w:szCs w:val="28"/>
        </w:rPr>
        <w:t>.</w:t>
      </w:r>
    </w:p>
    <w:p w:rsidR="00EB4050" w:rsidRPr="006B4B5C" w:rsidRDefault="00EB4050" w:rsidP="00161208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При просмотре </w:t>
      </w:r>
      <w:proofErr w:type="spellStart"/>
      <w:r w:rsidR="009874C1">
        <w:rPr>
          <w:sz w:val="28"/>
          <w:szCs w:val="28"/>
        </w:rPr>
        <w:t>хроматограммы</w:t>
      </w:r>
      <w:proofErr w:type="spellEnd"/>
      <w:r w:rsidR="009874C1">
        <w:rPr>
          <w:sz w:val="28"/>
          <w:szCs w:val="28"/>
        </w:rPr>
        <w:t xml:space="preserve"> в </w:t>
      </w:r>
      <w:proofErr w:type="spellStart"/>
      <w:r w:rsidR="009874C1">
        <w:rPr>
          <w:sz w:val="28"/>
          <w:szCs w:val="28"/>
        </w:rPr>
        <w:t>УФ-свете</w:t>
      </w:r>
      <w:proofErr w:type="spellEnd"/>
      <w:r w:rsidR="009874C1">
        <w:rPr>
          <w:sz w:val="28"/>
          <w:szCs w:val="28"/>
        </w:rPr>
        <w:t xml:space="preserve"> при длине волны </w:t>
      </w:r>
      <w:r w:rsidR="00746EFC">
        <w:rPr>
          <w:sz w:val="28"/>
          <w:szCs w:val="28"/>
        </w:rPr>
        <w:t xml:space="preserve">365 нм на </w:t>
      </w:r>
      <w:proofErr w:type="spellStart"/>
      <w:r w:rsidR="00746EFC">
        <w:rPr>
          <w:sz w:val="28"/>
          <w:szCs w:val="28"/>
        </w:rPr>
        <w:t>хроматограмме</w:t>
      </w:r>
      <w:proofErr w:type="spellEnd"/>
      <w:r w:rsidR="00746EFC">
        <w:rPr>
          <w:sz w:val="28"/>
          <w:szCs w:val="28"/>
        </w:rPr>
        <w:t xml:space="preserve"> испытуемого раствора </w:t>
      </w:r>
      <w:r w:rsidR="0057535C">
        <w:rPr>
          <w:sz w:val="28"/>
          <w:szCs w:val="28"/>
        </w:rPr>
        <w:t>должны обнаруживаться зоны адсорбции с флюоресценцией розового, голубого, зеленого, синего, светло-</w:t>
      </w:r>
      <w:r w:rsidR="0057535C" w:rsidRPr="006B4B5C">
        <w:rPr>
          <w:sz w:val="28"/>
          <w:szCs w:val="28"/>
        </w:rPr>
        <w:lastRenderedPageBreak/>
        <w:t>голубого, розового цвета ни</w:t>
      </w:r>
      <w:r w:rsidR="00521A9C" w:rsidRPr="006B4B5C">
        <w:rPr>
          <w:sz w:val="28"/>
          <w:szCs w:val="28"/>
        </w:rPr>
        <w:t xml:space="preserve">же уровня зоны адсорбции </w:t>
      </w:r>
      <w:proofErr w:type="gramStart"/>
      <w:r w:rsidR="00E73683" w:rsidRPr="006B4B5C">
        <w:rPr>
          <w:sz w:val="28"/>
          <w:szCs w:val="28"/>
        </w:rPr>
        <w:t>СО</w:t>
      </w:r>
      <w:proofErr w:type="gramEnd"/>
      <w:r w:rsidR="00E73683" w:rsidRPr="006B4B5C">
        <w:rPr>
          <w:sz w:val="28"/>
          <w:szCs w:val="28"/>
        </w:rPr>
        <w:t xml:space="preserve"> тимола, зона </w:t>
      </w:r>
      <w:r w:rsidR="002357C0">
        <w:rPr>
          <w:sz w:val="28"/>
          <w:szCs w:val="28"/>
        </w:rPr>
        <w:t xml:space="preserve">адсорбции </w:t>
      </w:r>
      <w:r w:rsidR="00E73683" w:rsidRPr="006B4B5C">
        <w:rPr>
          <w:sz w:val="28"/>
          <w:szCs w:val="28"/>
        </w:rPr>
        <w:t xml:space="preserve">светло-желтого цвета, две зоны </w:t>
      </w:r>
      <w:r w:rsidR="002357C0">
        <w:rPr>
          <w:sz w:val="28"/>
          <w:szCs w:val="28"/>
        </w:rPr>
        <w:t xml:space="preserve">адсорбции </w:t>
      </w:r>
      <w:r w:rsidR="00E73683" w:rsidRPr="006B4B5C">
        <w:rPr>
          <w:sz w:val="28"/>
          <w:szCs w:val="28"/>
        </w:rPr>
        <w:t xml:space="preserve">зеленого цвета, зона </w:t>
      </w:r>
      <w:r w:rsidR="00E211A0">
        <w:rPr>
          <w:sz w:val="28"/>
          <w:szCs w:val="28"/>
        </w:rPr>
        <w:t xml:space="preserve">адсорбции </w:t>
      </w:r>
      <w:r w:rsidR="00E73683" w:rsidRPr="006B4B5C">
        <w:rPr>
          <w:sz w:val="28"/>
          <w:szCs w:val="28"/>
        </w:rPr>
        <w:t>темно-синего</w:t>
      </w:r>
      <w:r w:rsidR="00B60A64" w:rsidRPr="006B4B5C">
        <w:rPr>
          <w:sz w:val="28"/>
          <w:szCs w:val="28"/>
        </w:rPr>
        <w:t xml:space="preserve"> </w:t>
      </w:r>
      <w:r w:rsidR="00E73683" w:rsidRPr="006B4B5C">
        <w:rPr>
          <w:sz w:val="28"/>
          <w:szCs w:val="28"/>
        </w:rPr>
        <w:t>цвета, две зоны адсорбции розового цвета выше уровня зоны адсорбции СО тимола.</w:t>
      </w:r>
    </w:p>
    <w:p w:rsidR="000B7F3A" w:rsidRDefault="00E73683" w:rsidP="00EB3152">
      <w:pPr>
        <w:spacing w:line="360" w:lineRule="auto"/>
        <w:ind w:firstLine="720"/>
        <w:jc w:val="both"/>
        <w:rPr>
          <w:sz w:val="28"/>
        </w:rPr>
      </w:pPr>
      <w:r w:rsidRPr="006B4B5C">
        <w:rPr>
          <w:sz w:val="28"/>
        </w:rPr>
        <w:t xml:space="preserve">Б. </w:t>
      </w:r>
      <w:proofErr w:type="spellStart"/>
      <w:r w:rsidRPr="006B4B5C">
        <w:rPr>
          <w:sz w:val="28"/>
        </w:rPr>
        <w:t>Хроматограмму</w:t>
      </w:r>
      <w:proofErr w:type="spellEnd"/>
      <w:r w:rsidRPr="006B4B5C">
        <w:rPr>
          <w:sz w:val="28"/>
        </w:rPr>
        <w:t xml:space="preserve"> опрыскивают раствором ванилина и серной кислоты, выдерживают в сушильном шкафу при температуре 100-105</w:t>
      </w:r>
      <w:r w:rsidR="004F33DF" w:rsidRPr="006B4B5C">
        <w:rPr>
          <w:sz w:val="28"/>
        </w:rPr>
        <w:t> </w:t>
      </w:r>
      <w:r w:rsidR="004F33DF" w:rsidRPr="006B4B5C">
        <w:rPr>
          <w:sz w:val="28"/>
          <w:vertAlign w:val="superscript"/>
        </w:rPr>
        <w:t>0</w:t>
      </w:r>
      <w:r w:rsidR="004F33DF" w:rsidRPr="006B4B5C">
        <w:rPr>
          <w:sz w:val="28"/>
        </w:rPr>
        <w:t>С до появления окрашенных зон адсорбции и просматривают при дневном свете.</w:t>
      </w:r>
      <w:r w:rsidR="004F33DF">
        <w:rPr>
          <w:sz w:val="28"/>
        </w:rPr>
        <w:t xml:space="preserve"> </w:t>
      </w:r>
    </w:p>
    <w:p w:rsidR="004F33DF" w:rsidRDefault="004F33DF" w:rsidP="00EB315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тимола при дневном свете должна обнаруживаться зона адсорбции розового цвета.</w:t>
      </w:r>
    </w:p>
    <w:p w:rsidR="00D95B19" w:rsidRDefault="00EB3152" w:rsidP="00D95B19">
      <w:pPr>
        <w:spacing w:after="120" w:line="360" w:lineRule="auto"/>
        <w:ind w:firstLine="720"/>
        <w:jc w:val="both"/>
        <w:rPr>
          <w:sz w:val="28"/>
        </w:rPr>
      </w:pPr>
      <w:r w:rsidRPr="004F33DF">
        <w:rPr>
          <w:sz w:val="28"/>
        </w:rPr>
        <w:t xml:space="preserve">На </w:t>
      </w:r>
      <w:proofErr w:type="spellStart"/>
      <w:r w:rsidRPr="004F33DF">
        <w:rPr>
          <w:sz w:val="28"/>
        </w:rPr>
        <w:t>хроматограмме</w:t>
      </w:r>
      <w:proofErr w:type="spellEnd"/>
      <w:r w:rsidRPr="004F33DF">
        <w:rPr>
          <w:sz w:val="28"/>
        </w:rPr>
        <w:t xml:space="preserve"> испытуемого </w:t>
      </w:r>
      <w:r w:rsidRPr="008801F9">
        <w:rPr>
          <w:sz w:val="28"/>
        </w:rPr>
        <w:t xml:space="preserve">раствора </w:t>
      </w:r>
      <w:r w:rsidR="007E5B51" w:rsidRPr="008801F9">
        <w:rPr>
          <w:sz w:val="28"/>
        </w:rPr>
        <w:t>должн</w:t>
      </w:r>
      <w:r w:rsidR="00A80A73" w:rsidRPr="008801F9">
        <w:rPr>
          <w:sz w:val="28"/>
        </w:rPr>
        <w:t>ы</w:t>
      </w:r>
      <w:r w:rsidRPr="008801F9">
        <w:rPr>
          <w:sz w:val="28"/>
        </w:rPr>
        <w:t xml:space="preserve"> обнаруживаться</w:t>
      </w:r>
      <w:r w:rsidR="00E211A0">
        <w:rPr>
          <w:sz w:val="28"/>
        </w:rPr>
        <w:t>:</w:t>
      </w:r>
      <w:r w:rsidRPr="008801F9">
        <w:rPr>
          <w:sz w:val="28"/>
        </w:rPr>
        <w:t xml:space="preserve"> </w:t>
      </w:r>
      <w:r w:rsidR="00A80A73" w:rsidRPr="008801F9">
        <w:rPr>
          <w:sz w:val="28"/>
        </w:rPr>
        <w:t>зон</w:t>
      </w:r>
      <w:r w:rsidR="008801F9" w:rsidRPr="008801F9">
        <w:rPr>
          <w:sz w:val="28"/>
        </w:rPr>
        <w:t xml:space="preserve">ы адсорбции красно-фиолетового цвета, серо-коричневого цвета, синего, красно-фиолетового цвета ниже зоны адсорбции </w:t>
      </w:r>
      <w:proofErr w:type="gramStart"/>
      <w:r w:rsidR="008801F9" w:rsidRPr="008801F9">
        <w:rPr>
          <w:sz w:val="28"/>
        </w:rPr>
        <w:t>СО</w:t>
      </w:r>
      <w:proofErr w:type="gramEnd"/>
      <w:r w:rsidR="008801F9" w:rsidRPr="008801F9">
        <w:rPr>
          <w:sz w:val="28"/>
        </w:rPr>
        <w:t xml:space="preserve"> тимола, зоны </w:t>
      </w:r>
      <w:r w:rsidR="00E211A0">
        <w:rPr>
          <w:sz w:val="28"/>
        </w:rPr>
        <w:t xml:space="preserve">адсорбции </w:t>
      </w:r>
      <w:r w:rsidR="008801F9" w:rsidRPr="008801F9">
        <w:rPr>
          <w:sz w:val="28"/>
        </w:rPr>
        <w:t>светло-розового цвета на уровне зоны адсорбции СО тимола</w:t>
      </w:r>
      <w:r w:rsidR="008801F9">
        <w:rPr>
          <w:sz w:val="28"/>
        </w:rPr>
        <w:t xml:space="preserve">, две зоны </w:t>
      </w:r>
      <w:r w:rsidR="00E211A0">
        <w:rPr>
          <w:sz w:val="28"/>
        </w:rPr>
        <w:t xml:space="preserve">адсорбции </w:t>
      </w:r>
      <w:r w:rsidR="008801F9">
        <w:rPr>
          <w:sz w:val="28"/>
        </w:rPr>
        <w:t>желтого цвета, зона</w:t>
      </w:r>
      <w:r w:rsidR="00E211A0">
        <w:rPr>
          <w:sz w:val="28"/>
        </w:rPr>
        <w:t xml:space="preserve"> адсорбции </w:t>
      </w:r>
      <w:r w:rsidR="008801F9">
        <w:rPr>
          <w:sz w:val="28"/>
        </w:rPr>
        <w:t>фиолетового, розового, серого</w:t>
      </w:r>
      <w:r w:rsidR="005711BB">
        <w:rPr>
          <w:sz w:val="28"/>
        </w:rPr>
        <w:t xml:space="preserve">, голубого цвета выше </w:t>
      </w:r>
      <w:r w:rsidR="00D95B19">
        <w:rPr>
          <w:sz w:val="28"/>
        </w:rPr>
        <w:t xml:space="preserve">уровня </w:t>
      </w:r>
      <w:r w:rsidR="005711BB">
        <w:rPr>
          <w:sz w:val="28"/>
        </w:rPr>
        <w:t xml:space="preserve">зоны </w:t>
      </w:r>
      <w:r w:rsidR="00D95B19">
        <w:rPr>
          <w:sz w:val="28"/>
        </w:rPr>
        <w:t>адсорбции СО тимола, допускается обнаружение</w:t>
      </w:r>
      <w:r w:rsidR="00E211A0">
        <w:rPr>
          <w:sz w:val="28"/>
        </w:rPr>
        <w:t xml:space="preserve"> других</w:t>
      </w:r>
      <w:r w:rsidR="00D95B19">
        <w:rPr>
          <w:sz w:val="28"/>
        </w:rPr>
        <w:t xml:space="preserve"> зон</w:t>
      </w:r>
      <w:r w:rsidR="00DC2E8D">
        <w:rPr>
          <w:sz w:val="28"/>
        </w:rPr>
        <w:t xml:space="preserve"> </w:t>
      </w:r>
      <w:r w:rsidR="00E211A0">
        <w:rPr>
          <w:sz w:val="28"/>
        </w:rPr>
        <w:t>адсорбции.</w:t>
      </w:r>
    </w:p>
    <w:p w:rsidR="00DC2E8D" w:rsidRDefault="006B4B5C" w:rsidP="00D95B19">
      <w:pPr>
        <w:spacing w:after="12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При просмотре </w:t>
      </w:r>
      <w:proofErr w:type="spellStart"/>
      <w:r>
        <w:rPr>
          <w:sz w:val="28"/>
        </w:rPr>
        <w:t>хроматограммы</w:t>
      </w:r>
      <w:proofErr w:type="spellEnd"/>
      <w:r>
        <w:rPr>
          <w:sz w:val="28"/>
        </w:rPr>
        <w:t xml:space="preserve"> </w:t>
      </w:r>
      <w:r w:rsidR="00DC2E8D">
        <w:rPr>
          <w:sz w:val="28"/>
        </w:rPr>
        <w:t xml:space="preserve">в </w:t>
      </w:r>
      <w:proofErr w:type="spellStart"/>
      <w:r w:rsidR="00DC2E8D">
        <w:rPr>
          <w:sz w:val="28"/>
        </w:rPr>
        <w:t>УФ-свете</w:t>
      </w:r>
      <w:proofErr w:type="spellEnd"/>
      <w:r w:rsidR="00DC2E8D">
        <w:rPr>
          <w:sz w:val="28"/>
        </w:rPr>
        <w:t xml:space="preserve"> при длине волны 365 нм на </w:t>
      </w:r>
      <w:proofErr w:type="spellStart"/>
      <w:r w:rsidR="00DC2E8D">
        <w:rPr>
          <w:sz w:val="28"/>
        </w:rPr>
        <w:t>хроматограмме</w:t>
      </w:r>
      <w:proofErr w:type="spellEnd"/>
      <w:r w:rsidR="00DC2E8D">
        <w:rPr>
          <w:sz w:val="28"/>
        </w:rPr>
        <w:t xml:space="preserve"> испытуем</w:t>
      </w:r>
      <w:r w:rsidR="00E211A0">
        <w:rPr>
          <w:sz w:val="28"/>
        </w:rPr>
        <w:t>ого</w:t>
      </w:r>
      <w:r w:rsidR="00DC2E8D">
        <w:rPr>
          <w:sz w:val="28"/>
        </w:rPr>
        <w:t xml:space="preserve"> </w:t>
      </w:r>
      <w:r w:rsidR="00E211A0">
        <w:rPr>
          <w:sz w:val="28"/>
        </w:rPr>
        <w:t>раствора</w:t>
      </w:r>
      <w:r w:rsidR="009214F9">
        <w:rPr>
          <w:sz w:val="28"/>
        </w:rPr>
        <w:t xml:space="preserve"> должны обнаруживаться</w:t>
      </w:r>
      <w:r w:rsidR="00E211A0">
        <w:rPr>
          <w:sz w:val="28"/>
        </w:rPr>
        <w:t>:</w:t>
      </w:r>
      <w:r w:rsidR="009214F9">
        <w:rPr>
          <w:sz w:val="28"/>
        </w:rPr>
        <w:t xml:space="preserve"> зоны адсорбции с флюоресценцией розового, желтого, синего цвета, две зоны </w:t>
      </w:r>
      <w:r w:rsidR="00E211A0">
        <w:rPr>
          <w:sz w:val="28"/>
        </w:rPr>
        <w:t xml:space="preserve">адсорбции </w:t>
      </w:r>
      <w:r w:rsidR="009214F9">
        <w:rPr>
          <w:sz w:val="28"/>
        </w:rPr>
        <w:t xml:space="preserve">розового цвета ниже зоны адсорбции </w:t>
      </w:r>
      <w:proofErr w:type="gramStart"/>
      <w:r w:rsidR="009214F9">
        <w:rPr>
          <w:sz w:val="28"/>
        </w:rPr>
        <w:t>СО</w:t>
      </w:r>
      <w:proofErr w:type="gramEnd"/>
      <w:r w:rsidR="009214F9">
        <w:rPr>
          <w:sz w:val="28"/>
        </w:rPr>
        <w:t xml:space="preserve"> тимола, две зоны </w:t>
      </w:r>
      <w:r w:rsidR="00E211A0">
        <w:rPr>
          <w:sz w:val="28"/>
        </w:rPr>
        <w:t xml:space="preserve">адсорбции </w:t>
      </w:r>
      <w:r w:rsidR="0036411A">
        <w:rPr>
          <w:sz w:val="28"/>
        </w:rPr>
        <w:t>желтого цвета, зоны</w:t>
      </w:r>
      <w:r w:rsidR="009214F9">
        <w:rPr>
          <w:sz w:val="28"/>
        </w:rPr>
        <w:t xml:space="preserve"> </w:t>
      </w:r>
      <w:r w:rsidR="0036411A">
        <w:rPr>
          <w:sz w:val="28"/>
        </w:rPr>
        <w:t xml:space="preserve">адсорбции </w:t>
      </w:r>
      <w:r w:rsidR="009214F9">
        <w:rPr>
          <w:sz w:val="28"/>
        </w:rPr>
        <w:t xml:space="preserve">ярко-желтого, темно-красного, две зоны </w:t>
      </w:r>
      <w:r w:rsidR="0036411A">
        <w:rPr>
          <w:sz w:val="28"/>
        </w:rPr>
        <w:t xml:space="preserve">адсорбции </w:t>
      </w:r>
      <w:r w:rsidR="009214F9">
        <w:rPr>
          <w:sz w:val="28"/>
        </w:rPr>
        <w:t>розового цвета выше зоны адсорбции раствора СО тимола.</w:t>
      </w:r>
    </w:p>
    <w:p w:rsidR="00632D3B" w:rsidRDefault="00F932D5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632D3B" w:rsidRPr="00EE6783">
        <w:rPr>
          <w:sz w:val="28"/>
          <w:szCs w:val="28"/>
        </w:rPr>
        <w:t xml:space="preserve"> От </w:t>
      </w:r>
      <w:r w:rsidRPr="00EE6783">
        <w:rPr>
          <w:sz w:val="28"/>
          <w:szCs w:val="28"/>
        </w:rPr>
        <w:t>34 %</w:t>
      </w:r>
      <w:r w:rsidR="00632D3B" w:rsidRPr="00EE6783">
        <w:rPr>
          <w:sz w:val="28"/>
          <w:szCs w:val="28"/>
        </w:rPr>
        <w:t xml:space="preserve"> до </w:t>
      </w:r>
      <w:r w:rsidRPr="00EE6783">
        <w:rPr>
          <w:sz w:val="28"/>
          <w:szCs w:val="28"/>
        </w:rPr>
        <w:t>38 %</w:t>
      </w:r>
      <w:r w:rsidR="006B4B5C">
        <w:rPr>
          <w:sz w:val="28"/>
          <w:szCs w:val="28"/>
        </w:rPr>
        <w:t>. В</w:t>
      </w:r>
      <w:r w:rsidR="00EE6783">
        <w:rPr>
          <w:sz w:val="28"/>
          <w:szCs w:val="28"/>
        </w:rPr>
        <w:t xml:space="preserve"> соответствии с требованиями </w:t>
      </w:r>
      <w:r w:rsidR="00632D3B" w:rsidRPr="00EE6783">
        <w:rPr>
          <w:sz w:val="28"/>
          <w:szCs w:val="28"/>
        </w:rPr>
        <w:t>ОФС «</w:t>
      </w:r>
      <w:r w:rsidR="00EE6783" w:rsidRPr="00EE6783">
        <w:rPr>
          <w:sz w:val="28"/>
          <w:szCs w:val="28"/>
        </w:rPr>
        <w:t xml:space="preserve">Определение спирта этилового в </w:t>
      </w:r>
      <w:r w:rsidR="00EE6783">
        <w:rPr>
          <w:sz w:val="28"/>
          <w:szCs w:val="28"/>
        </w:rPr>
        <w:t>лекарственных средствах</w:t>
      </w:r>
      <w:r w:rsidR="006B4B5C">
        <w:rPr>
          <w:sz w:val="28"/>
          <w:szCs w:val="28"/>
        </w:rPr>
        <w:t>»</w:t>
      </w:r>
      <w:r w:rsidR="00632D3B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lastRenderedPageBreak/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84" w:rsidRDefault="00B22384" w:rsidP="00B9128B">
      <w:r>
        <w:separator/>
      </w:r>
    </w:p>
  </w:endnote>
  <w:endnote w:type="continuationSeparator" w:id="0">
    <w:p w:rsidR="00B22384" w:rsidRDefault="00B22384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01F9" w:rsidRPr="000B5AF9" w:rsidRDefault="0059654E">
        <w:pPr>
          <w:pStyle w:val="aa"/>
          <w:jc w:val="center"/>
          <w:rPr>
            <w:sz w:val="28"/>
            <w:szCs w:val="28"/>
          </w:rPr>
        </w:pPr>
        <w:r w:rsidRPr="000B5AF9">
          <w:rPr>
            <w:sz w:val="28"/>
            <w:szCs w:val="28"/>
          </w:rPr>
          <w:fldChar w:fldCharType="begin"/>
        </w:r>
        <w:r w:rsidRPr="000B5AF9">
          <w:rPr>
            <w:sz w:val="28"/>
            <w:szCs w:val="28"/>
          </w:rPr>
          <w:instrText xml:space="preserve"> PAGE   \* MERGEFORMAT </w:instrText>
        </w:r>
        <w:r w:rsidRPr="000B5AF9">
          <w:rPr>
            <w:sz w:val="28"/>
            <w:szCs w:val="28"/>
          </w:rPr>
          <w:fldChar w:fldCharType="separate"/>
        </w:r>
        <w:r w:rsidR="000B5AF9">
          <w:rPr>
            <w:noProof/>
            <w:sz w:val="28"/>
            <w:szCs w:val="28"/>
          </w:rPr>
          <w:t>2</w:t>
        </w:r>
        <w:r w:rsidRPr="000B5AF9">
          <w:rPr>
            <w:sz w:val="28"/>
            <w:szCs w:val="28"/>
          </w:rPr>
          <w:fldChar w:fldCharType="end"/>
        </w:r>
      </w:p>
    </w:sdtContent>
  </w:sdt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84" w:rsidRDefault="00B22384" w:rsidP="00B9128B">
      <w:r>
        <w:separator/>
      </w:r>
    </w:p>
  </w:footnote>
  <w:footnote w:type="continuationSeparator" w:id="0">
    <w:p w:rsidR="00B22384" w:rsidRDefault="00B22384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56AC4"/>
    <w:rsid w:val="000815E6"/>
    <w:rsid w:val="00084A78"/>
    <w:rsid w:val="0009295D"/>
    <w:rsid w:val="000B5261"/>
    <w:rsid w:val="000B5AF9"/>
    <w:rsid w:val="000B7F3A"/>
    <w:rsid w:val="000C07E3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94DFA"/>
    <w:rsid w:val="00196D8E"/>
    <w:rsid w:val="00196FC5"/>
    <w:rsid w:val="001A1180"/>
    <w:rsid w:val="001A278D"/>
    <w:rsid w:val="001B1DB1"/>
    <w:rsid w:val="0020035F"/>
    <w:rsid w:val="002019B9"/>
    <w:rsid w:val="00217A2F"/>
    <w:rsid w:val="00232DF8"/>
    <w:rsid w:val="002357C0"/>
    <w:rsid w:val="00242390"/>
    <w:rsid w:val="00246138"/>
    <w:rsid w:val="00275ED2"/>
    <w:rsid w:val="0029184E"/>
    <w:rsid w:val="00292748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4652A"/>
    <w:rsid w:val="003563E6"/>
    <w:rsid w:val="00360A6B"/>
    <w:rsid w:val="00361BF5"/>
    <w:rsid w:val="0036411A"/>
    <w:rsid w:val="00370FE3"/>
    <w:rsid w:val="00372FD4"/>
    <w:rsid w:val="00390587"/>
    <w:rsid w:val="00395DFE"/>
    <w:rsid w:val="003A78FA"/>
    <w:rsid w:val="003D37CD"/>
    <w:rsid w:val="003E2855"/>
    <w:rsid w:val="0041171B"/>
    <w:rsid w:val="004155C9"/>
    <w:rsid w:val="00450D8A"/>
    <w:rsid w:val="00453D01"/>
    <w:rsid w:val="004A4A6F"/>
    <w:rsid w:val="004C6AB4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92E41"/>
    <w:rsid w:val="0059654E"/>
    <w:rsid w:val="005E5502"/>
    <w:rsid w:val="005F673C"/>
    <w:rsid w:val="00603C6A"/>
    <w:rsid w:val="00605629"/>
    <w:rsid w:val="006143EB"/>
    <w:rsid w:val="006229B0"/>
    <w:rsid w:val="00632D3B"/>
    <w:rsid w:val="00633716"/>
    <w:rsid w:val="006469F3"/>
    <w:rsid w:val="00654101"/>
    <w:rsid w:val="00664C98"/>
    <w:rsid w:val="006909BE"/>
    <w:rsid w:val="006961BF"/>
    <w:rsid w:val="006A16DA"/>
    <w:rsid w:val="006A2B35"/>
    <w:rsid w:val="006B0FC8"/>
    <w:rsid w:val="006B4B5C"/>
    <w:rsid w:val="006D1077"/>
    <w:rsid w:val="00706DEB"/>
    <w:rsid w:val="00711A21"/>
    <w:rsid w:val="00714DB9"/>
    <w:rsid w:val="0073193E"/>
    <w:rsid w:val="00746EFC"/>
    <w:rsid w:val="007473BC"/>
    <w:rsid w:val="00761EDA"/>
    <w:rsid w:val="00762820"/>
    <w:rsid w:val="00767FAF"/>
    <w:rsid w:val="00792D2E"/>
    <w:rsid w:val="007A1009"/>
    <w:rsid w:val="007A21ED"/>
    <w:rsid w:val="007B34D2"/>
    <w:rsid w:val="007B4C17"/>
    <w:rsid w:val="007B5968"/>
    <w:rsid w:val="007E5B51"/>
    <w:rsid w:val="00826F7B"/>
    <w:rsid w:val="00854BE4"/>
    <w:rsid w:val="00871B2C"/>
    <w:rsid w:val="008801F9"/>
    <w:rsid w:val="00883B37"/>
    <w:rsid w:val="00884163"/>
    <w:rsid w:val="008C590C"/>
    <w:rsid w:val="009073D4"/>
    <w:rsid w:val="009214F9"/>
    <w:rsid w:val="00922AC3"/>
    <w:rsid w:val="00936102"/>
    <w:rsid w:val="00944D5C"/>
    <w:rsid w:val="009611F3"/>
    <w:rsid w:val="009874C1"/>
    <w:rsid w:val="009B52E5"/>
    <w:rsid w:val="009B77ED"/>
    <w:rsid w:val="009C43D1"/>
    <w:rsid w:val="009D57BB"/>
    <w:rsid w:val="009F336D"/>
    <w:rsid w:val="00A1440B"/>
    <w:rsid w:val="00A3512E"/>
    <w:rsid w:val="00A42981"/>
    <w:rsid w:val="00A522E6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22384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6156"/>
    <w:rsid w:val="00C16389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7555"/>
    <w:rsid w:val="00CE3214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C2E8D"/>
    <w:rsid w:val="00DC4A36"/>
    <w:rsid w:val="00DD054B"/>
    <w:rsid w:val="00DD4B22"/>
    <w:rsid w:val="00DE1194"/>
    <w:rsid w:val="00E211A0"/>
    <w:rsid w:val="00E26511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932D5"/>
    <w:rsid w:val="00F942D8"/>
    <w:rsid w:val="00FB2525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10</cp:revision>
  <cp:lastPrinted>2019-02-04T14:25:00Z</cp:lastPrinted>
  <dcterms:created xsi:type="dcterms:W3CDTF">2018-12-28T06:18:00Z</dcterms:created>
  <dcterms:modified xsi:type="dcterms:W3CDTF">2019-07-08T14:08:00Z</dcterms:modified>
</cp:coreProperties>
</file>