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C" w:rsidRPr="00142A5C" w:rsidRDefault="00142A5C" w:rsidP="00142A5C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42A5C" w:rsidRPr="00142A5C" w:rsidRDefault="00D44814" w:rsidP="00142A5C">
      <w:pP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48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Определение азота методом Дюма</w:t>
      </w:r>
      <w:r w:rsidR="00142A5C" w:rsidRPr="00142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F4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F4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142A5C" w:rsidRPr="00142A5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ОФС</w:t>
      </w:r>
    </w:p>
    <w:p w:rsidR="00142A5C" w:rsidRPr="00142A5C" w:rsidRDefault="001B0C56" w:rsidP="00142A5C">
      <w:pPr>
        <w:pBdr>
          <w:bottom w:val="single" w:sz="4" w:space="1" w:color="auto"/>
        </w:pBdr>
        <w:tabs>
          <w:tab w:val="left" w:pos="5387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F4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="000F48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Вводится впервые</w:t>
      </w:r>
    </w:p>
    <w:p w:rsidR="00D44814" w:rsidRPr="00D44814" w:rsidRDefault="00D44814" w:rsidP="00D44814">
      <w:pPr>
        <w:spacing w:before="24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способ определения азота в лекарственных средствах, как органического, так и неорганического происхождения, методом Дюма. </w:t>
      </w:r>
    </w:p>
    <w:p w:rsidR="00D44814" w:rsidRPr="00D44814" w:rsidRDefault="00D44814" w:rsidP="00D44814">
      <w:pPr>
        <w:pStyle w:val="ConsPlusNormal"/>
        <w:spacing w:line="360" w:lineRule="auto"/>
        <w:ind w:firstLine="709"/>
        <w:jc w:val="both"/>
        <w:rPr>
          <w:szCs w:val="28"/>
        </w:rPr>
      </w:pPr>
      <w:r w:rsidRPr="00D44814">
        <w:rPr>
          <w:szCs w:val="28"/>
        </w:rPr>
        <w:t xml:space="preserve">По количеству азота в исследуемом образце может быть рассчитано содержание в нём белка. По сравнению с альтернативным методом Кьельдаля, данный метод обычно даёт более достоверные результаты, так как азот, содержащийся в испытуемом образце, более полно переводится в анализируемую форму. </w:t>
      </w:r>
    </w:p>
    <w:p w:rsidR="00D44814" w:rsidRPr="00D44814" w:rsidRDefault="00D44814" w:rsidP="00D4481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Метод Дюма заключается в высокотемпературном (от 900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44814">
        <w:rPr>
          <w:rFonts w:ascii="Times New Roman" w:hAnsi="Times New Roman" w:cs="Times New Roman"/>
          <w:sz w:val="28"/>
          <w:szCs w:val="28"/>
        </w:rPr>
        <w:t>°С) разложении и испарении органического вещества в присутствии катализаторов, с последующим его высокотемпературным окислением кислородом оксидов металлов, главным образом меди (классический метод Дюма), никеля, кобальта и других, или их смесей в токе диоксида углерода или инертного газа. В различных модификациях применяют добавление к току инертного газа особо чистого кислорода (должен отсутствовать азот):</w:t>
      </w:r>
    </w:p>
    <w:p w:rsidR="00D44814" w:rsidRPr="00D44814" w:rsidRDefault="00D44814" w:rsidP="00D448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44814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m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>H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n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>N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o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>O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p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>... + CuO = CO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 xml:space="preserve"> + H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>O + N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2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 xml:space="preserve"> + NO</w:t>
      </w:r>
      <w:r w:rsidRPr="00D44814">
        <w:rPr>
          <w:rFonts w:ascii="Times New Roman" w:hAnsi="Times New Roman" w:cs="Times New Roman"/>
          <w:sz w:val="28"/>
          <w:szCs w:val="28"/>
          <w:vertAlign w:val="subscript"/>
          <w:lang w:val="es-ES"/>
        </w:rPr>
        <w:t>x</w:t>
      </w:r>
      <w:r w:rsidRPr="00D44814">
        <w:rPr>
          <w:rFonts w:ascii="Times New Roman" w:hAnsi="Times New Roman" w:cs="Times New Roman"/>
          <w:sz w:val="28"/>
          <w:szCs w:val="28"/>
          <w:lang w:val="es-ES"/>
        </w:rPr>
        <w:t xml:space="preserve"> +...+Cu</w:t>
      </w:r>
    </w:p>
    <w:p w:rsidR="00D44814" w:rsidRPr="00D44814" w:rsidRDefault="00D44814" w:rsidP="00D4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Оксиды азота восстанавливают, пропуская продукты сгорания над металлической медью. Сопутствующие продукты сгорания (углекислый газ, воду, оксиды серы, галогены и др.) поглощают соответствующими сорбентами и измеряют количество образовавшегося азота подходящим методом (</w:t>
      </w:r>
      <w:proofErr w:type="spellStart"/>
      <w:r w:rsidRPr="00D44814">
        <w:rPr>
          <w:rFonts w:ascii="Times New Roman" w:hAnsi="Times New Roman" w:cs="Times New Roman"/>
          <w:sz w:val="28"/>
          <w:szCs w:val="28"/>
        </w:rPr>
        <w:t>объёмометрическим</w:t>
      </w:r>
      <w:proofErr w:type="spellEnd"/>
      <w:r w:rsidRPr="00D44814">
        <w:rPr>
          <w:rFonts w:ascii="Times New Roman" w:hAnsi="Times New Roman" w:cs="Times New Roman"/>
          <w:sz w:val="28"/>
          <w:szCs w:val="28"/>
        </w:rPr>
        <w:t xml:space="preserve">, по теплопроводности, </w:t>
      </w:r>
      <w:proofErr w:type="spellStart"/>
      <w:r w:rsidRPr="00D44814">
        <w:rPr>
          <w:rFonts w:ascii="Times New Roman" w:hAnsi="Times New Roman" w:cs="Times New Roman"/>
          <w:sz w:val="28"/>
          <w:szCs w:val="28"/>
        </w:rPr>
        <w:t>хроматографическим</w:t>
      </w:r>
      <w:proofErr w:type="spellEnd"/>
      <w:r w:rsidRPr="00D44814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D44814" w:rsidRPr="00D44814" w:rsidRDefault="00D44814" w:rsidP="00D4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lastRenderedPageBreak/>
        <w:t>Анализ можно проводить как ручным методом, так и с использованием соответствующих автоматических приборов. При проведении анализа следует принимать меры исключающие попадание азота воздуха в прибор.</w:t>
      </w:r>
    </w:p>
    <w:p w:rsidR="00D44814" w:rsidRPr="00D44814" w:rsidRDefault="00D44814" w:rsidP="00D448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Для калибровки приборов используют стандартные образцы соединений с содержанием азота, близким к испытуемому.</w:t>
      </w:r>
    </w:p>
    <w:p w:rsidR="00D44814" w:rsidRPr="00D44814" w:rsidRDefault="00D44814" w:rsidP="00D4481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57625" cy="381881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1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Рисунок 1 – Принципиальная схема прибора, предназначенного для автоматического определения азота по методу Дюма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1. Введение испытуемого образца и кислорода в прибор; 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2. Сжигание испытуемого образца;</w:t>
      </w:r>
    </w:p>
    <w:p w:rsidR="00D44814" w:rsidRPr="00D44814" w:rsidRDefault="00D44814" w:rsidP="00D4481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3. Кратковременное повышение температуры до 1800</w:t>
      </w:r>
      <w:proofErr w:type="gramStart"/>
      <w:r w:rsidRPr="00D44814">
        <w:rPr>
          <w:rFonts w:ascii="Times New Roman" w:hAnsi="Times New Roman" w:cs="Times New Roman"/>
          <w:sz w:val="28"/>
          <w:szCs w:val="28"/>
        </w:rPr>
        <w:t> ºС</w:t>
      </w:r>
      <w:proofErr w:type="gramEnd"/>
      <w:r w:rsidRPr="00D44814">
        <w:rPr>
          <w:rFonts w:ascii="Times New Roman" w:hAnsi="Times New Roman" w:cs="Times New Roman"/>
          <w:sz w:val="28"/>
          <w:szCs w:val="28"/>
        </w:rPr>
        <w:t>;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4. Дополнительное окисление и удаление галогенов на смеси серебро—кобальт—гранулированный оксида хрома(III) (4)</w:t>
      </w:r>
      <w:proofErr w:type="gramStart"/>
      <w:r w:rsidRPr="00D4481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5. Восстановление оксидов азота до свободного азота (</w:t>
      </w:r>
      <w:r w:rsidRPr="00D4481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4481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44814">
        <w:rPr>
          <w:rFonts w:ascii="Times New Roman" w:hAnsi="Times New Roman" w:cs="Times New Roman"/>
          <w:sz w:val="28"/>
          <w:szCs w:val="28"/>
        </w:rPr>
        <w:t>) и удаление соединений серы и избытка кислорода на порошке меди при температуре 700</w:t>
      </w:r>
      <w:proofErr w:type="gramStart"/>
      <w:r w:rsidRPr="00D44814">
        <w:rPr>
          <w:rFonts w:ascii="Times New Roman" w:hAnsi="Times New Roman" w:cs="Times New Roman"/>
          <w:sz w:val="28"/>
          <w:szCs w:val="28"/>
        </w:rPr>
        <w:t> ºС</w:t>
      </w:r>
      <w:proofErr w:type="gramEnd"/>
      <w:r w:rsidRPr="00D44814">
        <w:rPr>
          <w:rFonts w:ascii="Times New Roman" w:hAnsi="Times New Roman" w:cs="Times New Roman"/>
          <w:sz w:val="28"/>
          <w:szCs w:val="28"/>
        </w:rPr>
        <w:t>;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lastRenderedPageBreak/>
        <w:t>6. Газ-носитель с продуктами сгорания: азот, углекислый газ и вода;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7. Улавливание паров воды с использованием, например, гранулированного безводного перхлората магния;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8. Улавливание диоксида углерода, например, гидроксидом натрия на силикагеле;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9. Хроматографическое разделение свободного азота и метана (присутствие возможно в случае больших количеств испытуемого образца);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10. Детектор;</w:t>
      </w:r>
    </w:p>
    <w:p w:rsidR="00D44814" w:rsidRPr="00D44814" w:rsidRDefault="00D44814" w:rsidP="00D448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11. Вывод результатов анализа.</w:t>
      </w:r>
    </w:p>
    <w:p w:rsidR="00D44814" w:rsidRPr="00D44814" w:rsidRDefault="00D44814" w:rsidP="00D44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7" o:title=""/>
          </v:shape>
          <o:OLEObject Type="Embed" ProgID="Photoshop.Image.13" ShapeID="_x0000_i1025" DrawAspect="Content" ObjectID="_1624102769" r:id="rId8">
            <o:FieldCodes>\s</o:FieldCodes>
          </o:OLEObject>
        </w:object>
      </w:r>
      <w:r w:rsidRPr="00D44814">
        <w:rPr>
          <w:rFonts w:ascii="Times New Roman" w:hAnsi="Times New Roman" w:cs="Times New Roman"/>
          <w:sz w:val="28"/>
          <w:szCs w:val="28"/>
        </w:rPr>
        <w:object w:dxaOrig="15" w:dyaOrig="15">
          <v:shape id="_x0000_i1026" type="#_x0000_t75" style="width:.75pt;height:.75pt" o:ole="">
            <v:imagedata r:id="rId7" o:title=""/>
          </v:shape>
          <o:OLEObject Type="Embed" ProgID="Photoshop.Image.13" ShapeID="_x0000_i1026" DrawAspect="Content" ObjectID="_1624102770" r:id="rId9">
            <o:FieldCodes>\s</o:FieldCodes>
          </o:OLEObject>
        </w:object>
      </w:r>
      <w:r w:rsidRPr="00D44814">
        <w:rPr>
          <w:rFonts w:ascii="Times New Roman" w:hAnsi="Times New Roman" w:cs="Times New Roman"/>
          <w:sz w:val="28"/>
          <w:szCs w:val="28"/>
        </w:rPr>
        <w:object w:dxaOrig="8644" w:dyaOrig="6048">
          <v:shape id="_x0000_i1027" type="#_x0000_t75" style="width:6in;height:302.25pt" o:ole="">
            <v:imagedata r:id="rId10" o:title=""/>
          </v:shape>
          <o:OLEObject Type="Embed" ProgID="Photoshop.Image.13" ShapeID="_x0000_i1027" DrawAspect="Content" ObjectID="_1624102771" r:id="rId11">
            <o:FieldCodes>\s</o:FieldCodes>
          </o:OLEObject>
        </w:object>
      </w:r>
    </w:p>
    <w:p w:rsidR="00D44814" w:rsidRPr="00D44814" w:rsidRDefault="00D44814" w:rsidP="00D44814">
      <w:pPr>
        <w:spacing w:line="360" w:lineRule="auto"/>
        <w:ind w:firstLine="748"/>
        <w:rPr>
          <w:rFonts w:ascii="Times New Roman" w:hAnsi="Times New Roman" w:cs="Times New Roman"/>
          <w:sz w:val="28"/>
          <w:szCs w:val="28"/>
        </w:rPr>
      </w:pPr>
    </w:p>
    <w:p w:rsidR="00D44814" w:rsidRPr="00D44814" w:rsidRDefault="00D44814" w:rsidP="00D44814">
      <w:pPr>
        <w:spacing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Рисунок 2 - Схема прибора для ручного определения азота по методу Дюма</w:t>
      </w:r>
    </w:p>
    <w:p w:rsidR="00D44814" w:rsidRPr="00D44814" w:rsidRDefault="00D44814" w:rsidP="00D44814">
      <w:pPr>
        <w:spacing w:after="0"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1. Источник углекислого газа;</w:t>
      </w:r>
    </w:p>
    <w:p w:rsidR="00D44814" w:rsidRPr="00D44814" w:rsidRDefault="00D44814" w:rsidP="00D44814">
      <w:pPr>
        <w:spacing w:after="0"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2. Кварцевая трубка для сжигания;</w:t>
      </w:r>
    </w:p>
    <w:p w:rsidR="00D44814" w:rsidRPr="00D44814" w:rsidRDefault="00D44814" w:rsidP="00D44814">
      <w:pPr>
        <w:spacing w:after="0"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lastRenderedPageBreak/>
        <w:t>3. Зона анализируемого образца;</w:t>
      </w:r>
    </w:p>
    <w:p w:rsidR="00D44814" w:rsidRPr="00D44814" w:rsidRDefault="00D44814" w:rsidP="00D44814">
      <w:pPr>
        <w:spacing w:after="0"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 xml:space="preserve">4. Зона </w:t>
      </w:r>
      <w:r w:rsidRPr="00D44814">
        <w:rPr>
          <w:rFonts w:ascii="Times New Roman" w:hAnsi="Times New Roman" w:cs="Times New Roman"/>
          <w:sz w:val="28"/>
          <w:szCs w:val="28"/>
          <w:lang w:val="en-US"/>
        </w:rPr>
        <w:t>CuO</w:t>
      </w:r>
      <w:r w:rsidRPr="00D44814">
        <w:rPr>
          <w:rFonts w:ascii="Times New Roman" w:hAnsi="Times New Roman" w:cs="Times New Roman"/>
          <w:sz w:val="28"/>
          <w:szCs w:val="28"/>
        </w:rPr>
        <w:t xml:space="preserve"> и </w:t>
      </w:r>
      <w:r w:rsidRPr="00D44814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D44814">
        <w:rPr>
          <w:rFonts w:ascii="Times New Roman" w:hAnsi="Times New Roman" w:cs="Times New Roman"/>
          <w:sz w:val="28"/>
          <w:szCs w:val="28"/>
        </w:rPr>
        <w:t>;</w:t>
      </w:r>
    </w:p>
    <w:p w:rsidR="00D44814" w:rsidRPr="00D44814" w:rsidRDefault="00D44814" w:rsidP="00D44814">
      <w:pPr>
        <w:spacing w:after="0"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5. Горелки;</w:t>
      </w:r>
    </w:p>
    <w:p w:rsidR="00D44814" w:rsidRPr="00D44814" w:rsidRDefault="00D44814" w:rsidP="00D44814">
      <w:pPr>
        <w:spacing w:after="0"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 xml:space="preserve">6. Микроазотометр; </w:t>
      </w:r>
    </w:p>
    <w:p w:rsidR="00D44814" w:rsidRPr="00D44814" w:rsidRDefault="00D44814" w:rsidP="00D44814">
      <w:pPr>
        <w:spacing w:after="0" w:line="360" w:lineRule="auto"/>
        <w:ind w:firstLine="748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7. Уравнительный сосуд.</w:t>
      </w:r>
    </w:p>
    <w:p w:rsidR="001B0C56" w:rsidRPr="00D44814" w:rsidRDefault="00D44814" w:rsidP="00D448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814">
        <w:rPr>
          <w:rFonts w:ascii="Times New Roman" w:hAnsi="Times New Roman" w:cs="Times New Roman"/>
          <w:sz w:val="28"/>
          <w:szCs w:val="28"/>
        </w:rPr>
        <w:t>В зону 3 помещают лодочку с анализируемым образцом, в зону 4 – последовательно слои оксида меди и металлической меди (последний слой обязательно оксид меди). Используя систему кранов, прибор несколько раз вакуумируют и заполняют углекислым газом для полного вытеснения воздуха. Затем нагревают зоны 3 и 4 до необходимой температуры. Продукты разложения образца током углекислого газа переносятся в микроазотометр, нижняя часть которого заполнена раствором щёлочи для поглощения углекислого газа, воды и других продуктов сгорания образца, кроме азота.</w:t>
      </w:r>
    </w:p>
    <w:sectPr w:rsidR="001B0C56" w:rsidRPr="00D44814" w:rsidSect="000F4874">
      <w:footerReference w:type="default" r:id="rId12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74" w:rsidRDefault="000F4874" w:rsidP="000F4874">
      <w:pPr>
        <w:spacing w:after="0" w:line="240" w:lineRule="auto"/>
      </w:pPr>
      <w:r>
        <w:separator/>
      </w:r>
    </w:p>
  </w:endnote>
  <w:endnote w:type="continuationSeparator" w:id="0">
    <w:p w:rsidR="000F4874" w:rsidRDefault="000F4874" w:rsidP="000F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54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4874" w:rsidRPr="000F4874" w:rsidRDefault="000F487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48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F48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F48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48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4874" w:rsidRDefault="000F48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74" w:rsidRDefault="000F4874" w:rsidP="000F4874">
      <w:pPr>
        <w:spacing w:after="0" w:line="240" w:lineRule="auto"/>
      </w:pPr>
      <w:r>
        <w:separator/>
      </w:r>
    </w:p>
  </w:footnote>
  <w:footnote w:type="continuationSeparator" w:id="0">
    <w:p w:rsidR="000F4874" w:rsidRDefault="000F4874" w:rsidP="000F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06A"/>
    <w:rsid w:val="000F4874"/>
    <w:rsid w:val="00142A5C"/>
    <w:rsid w:val="001B0C56"/>
    <w:rsid w:val="001B2D71"/>
    <w:rsid w:val="001F006A"/>
    <w:rsid w:val="003313C2"/>
    <w:rsid w:val="003A7618"/>
    <w:rsid w:val="003B4C3A"/>
    <w:rsid w:val="004F2A21"/>
    <w:rsid w:val="005D5E70"/>
    <w:rsid w:val="00821254"/>
    <w:rsid w:val="00D224DB"/>
    <w:rsid w:val="00D44814"/>
    <w:rsid w:val="00DC38E9"/>
    <w:rsid w:val="00EC1051"/>
    <w:rsid w:val="00F4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0C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48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8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F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4874"/>
  </w:style>
  <w:style w:type="paragraph" w:styleId="a7">
    <w:name w:val="footer"/>
    <w:basedOn w:val="a"/>
    <w:link w:val="a8"/>
    <w:uiPriority w:val="99"/>
    <w:unhideWhenUsed/>
    <w:rsid w:val="000F4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 Barmin</dc:creator>
  <cp:lastModifiedBy>Razov</cp:lastModifiedBy>
  <cp:revision>11</cp:revision>
  <dcterms:created xsi:type="dcterms:W3CDTF">2018-07-01T16:08:00Z</dcterms:created>
  <dcterms:modified xsi:type="dcterms:W3CDTF">2019-07-08T11:53:00Z</dcterms:modified>
</cp:coreProperties>
</file>