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3" w:rsidRPr="005A293A" w:rsidRDefault="00000633" w:rsidP="00000633">
      <w:pPr>
        <w:pBdr>
          <w:bottom w:val="single" w:sz="6" w:space="1" w:color="auto"/>
        </w:pBdr>
        <w:spacing w:line="360" w:lineRule="auto"/>
        <w:jc w:val="center"/>
        <w:rPr>
          <w:sz w:val="32"/>
          <w:szCs w:val="32"/>
        </w:rPr>
      </w:pPr>
    </w:p>
    <w:p w:rsidR="00000633" w:rsidRPr="00956B3A" w:rsidRDefault="00171B8A" w:rsidP="00000633">
      <w:pPr>
        <w:pBdr>
          <w:bottom w:val="single" w:sz="4" w:space="1" w:color="auto"/>
        </w:pBdr>
        <w:tabs>
          <w:tab w:val="left" w:pos="5040"/>
        </w:tabs>
        <w:spacing w:before="120"/>
        <w:rPr>
          <w:b/>
          <w:sz w:val="28"/>
          <w:szCs w:val="28"/>
        </w:rPr>
      </w:pPr>
      <w:r w:rsidRPr="00956B3A">
        <w:rPr>
          <w:b/>
          <w:sz w:val="28"/>
          <w:szCs w:val="28"/>
        </w:rPr>
        <w:t>Определение</w:t>
      </w:r>
      <w:r w:rsidR="007A06CA" w:rsidRPr="00956B3A">
        <w:rPr>
          <w:b/>
          <w:sz w:val="28"/>
          <w:szCs w:val="28"/>
        </w:rPr>
        <w:t xml:space="preserve"> примеси</w:t>
      </w:r>
      <w:r w:rsidR="0046258A" w:rsidRPr="00956B3A">
        <w:rPr>
          <w:b/>
          <w:sz w:val="28"/>
          <w:szCs w:val="28"/>
        </w:rPr>
        <w:t xml:space="preserve"> </w:t>
      </w:r>
      <w:r w:rsidR="006215B5" w:rsidRPr="00956B3A">
        <w:rPr>
          <w:b/>
          <w:sz w:val="28"/>
          <w:szCs w:val="28"/>
        </w:rPr>
        <w:t xml:space="preserve"> </w:t>
      </w:r>
      <w:r w:rsidR="0046258A" w:rsidRPr="00956B3A">
        <w:rPr>
          <w:b/>
          <w:sz w:val="28"/>
          <w:szCs w:val="28"/>
        </w:rPr>
        <w:t xml:space="preserve">воды                      </w:t>
      </w:r>
      <w:r w:rsidR="006215B5" w:rsidRPr="00956B3A">
        <w:rPr>
          <w:b/>
          <w:sz w:val="28"/>
          <w:szCs w:val="28"/>
        </w:rPr>
        <w:t xml:space="preserve">              </w:t>
      </w:r>
      <w:r w:rsidRPr="00956B3A">
        <w:rPr>
          <w:b/>
          <w:sz w:val="28"/>
          <w:szCs w:val="28"/>
        </w:rPr>
        <w:t xml:space="preserve"> </w:t>
      </w:r>
      <w:r w:rsidR="00000633" w:rsidRPr="00956B3A">
        <w:rPr>
          <w:b/>
          <w:sz w:val="28"/>
          <w:szCs w:val="28"/>
        </w:rPr>
        <w:t>ОФС</w:t>
      </w:r>
      <w:r w:rsidR="00000633" w:rsidRPr="00956B3A">
        <w:rPr>
          <w:b/>
          <w:sz w:val="28"/>
          <w:szCs w:val="28"/>
        </w:rPr>
        <w:br/>
        <w:t xml:space="preserve">в </w:t>
      </w:r>
      <w:r w:rsidR="0046258A" w:rsidRPr="00956B3A">
        <w:rPr>
          <w:b/>
          <w:sz w:val="28"/>
          <w:szCs w:val="28"/>
        </w:rPr>
        <w:t xml:space="preserve">газах </w:t>
      </w:r>
      <w:r w:rsidR="00000633" w:rsidRPr="00956B3A">
        <w:rPr>
          <w:b/>
          <w:sz w:val="28"/>
          <w:szCs w:val="28"/>
        </w:rPr>
        <w:t>медицинских</w:t>
      </w:r>
      <w:proofErr w:type="gramStart"/>
      <w:r w:rsidR="00000633" w:rsidRPr="00956B3A">
        <w:rPr>
          <w:b/>
          <w:sz w:val="28"/>
          <w:szCs w:val="28"/>
        </w:rPr>
        <w:t xml:space="preserve">       </w:t>
      </w:r>
      <w:r w:rsidR="00705C80" w:rsidRPr="00956B3A">
        <w:rPr>
          <w:b/>
          <w:sz w:val="28"/>
          <w:szCs w:val="28"/>
        </w:rPr>
        <w:t xml:space="preserve">                   </w:t>
      </w:r>
      <w:r w:rsidR="00FD5172" w:rsidRPr="00956B3A">
        <w:rPr>
          <w:b/>
          <w:sz w:val="28"/>
          <w:szCs w:val="28"/>
        </w:rPr>
        <w:t xml:space="preserve">    </w:t>
      </w:r>
      <w:r w:rsidR="0046258A" w:rsidRPr="00956B3A">
        <w:rPr>
          <w:b/>
          <w:sz w:val="28"/>
          <w:szCs w:val="28"/>
        </w:rPr>
        <w:t xml:space="preserve">                    </w:t>
      </w:r>
      <w:r w:rsidR="00FD5172" w:rsidRPr="00956B3A">
        <w:rPr>
          <w:b/>
          <w:sz w:val="28"/>
          <w:szCs w:val="28"/>
        </w:rPr>
        <w:t xml:space="preserve"> </w:t>
      </w:r>
      <w:r w:rsidR="00000633" w:rsidRPr="00956B3A">
        <w:rPr>
          <w:b/>
          <w:sz w:val="28"/>
          <w:szCs w:val="28"/>
        </w:rPr>
        <w:t>В</w:t>
      </w:r>
      <w:proofErr w:type="gramEnd"/>
      <w:r w:rsidR="00000633" w:rsidRPr="00956B3A">
        <w:rPr>
          <w:b/>
          <w:sz w:val="28"/>
          <w:szCs w:val="28"/>
        </w:rPr>
        <w:t>водится впервые</w:t>
      </w:r>
      <w:r w:rsidR="00000633" w:rsidRPr="00956B3A">
        <w:rPr>
          <w:b/>
          <w:sz w:val="28"/>
          <w:szCs w:val="28"/>
        </w:rPr>
        <w:br/>
      </w:r>
    </w:p>
    <w:p w:rsidR="00514916" w:rsidRPr="00B97AC9" w:rsidRDefault="00514916" w:rsidP="0046258A">
      <w:pPr>
        <w:spacing w:line="360" w:lineRule="auto"/>
        <w:rPr>
          <w:b/>
          <w:sz w:val="28"/>
          <w:szCs w:val="28"/>
        </w:rPr>
      </w:pPr>
    </w:p>
    <w:p w:rsidR="00361EBB" w:rsidRPr="00B97AC9" w:rsidRDefault="00A51352" w:rsidP="00361EBB">
      <w:pPr>
        <w:spacing w:line="360" w:lineRule="auto"/>
        <w:ind w:firstLine="709"/>
        <w:jc w:val="both"/>
        <w:rPr>
          <w:sz w:val="28"/>
          <w:szCs w:val="28"/>
        </w:rPr>
      </w:pPr>
      <w:r w:rsidRPr="00B97AC9">
        <w:rPr>
          <w:sz w:val="28"/>
          <w:szCs w:val="28"/>
        </w:rPr>
        <w:t>Настоящая общая фармакопейная статья распространяется</w:t>
      </w:r>
      <w:r w:rsidR="007A06CA" w:rsidRPr="00B97AC9">
        <w:rPr>
          <w:sz w:val="28"/>
          <w:szCs w:val="28"/>
        </w:rPr>
        <w:t xml:space="preserve"> на методы определения</w:t>
      </w:r>
      <w:r w:rsidRPr="00B97AC9">
        <w:rPr>
          <w:sz w:val="28"/>
          <w:szCs w:val="28"/>
        </w:rPr>
        <w:t xml:space="preserve"> </w:t>
      </w:r>
      <w:r w:rsidR="008F55C0" w:rsidRPr="00B97AC9">
        <w:rPr>
          <w:sz w:val="28"/>
          <w:szCs w:val="28"/>
        </w:rPr>
        <w:t xml:space="preserve">примесей </w:t>
      </w:r>
      <w:r w:rsidRPr="00B97AC9">
        <w:rPr>
          <w:sz w:val="28"/>
          <w:szCs w:val="28"/>
        </w:rPr>
        <w:t xml:space="preserve">воды </w:t>
      </w:r>
      <w:r w:rsidR="00361EBB" w:rsidRPr="00B97AC9">
        <w:rPr>
          <w:sz w:val="28"/>
          <w:szCs w:val="28"/>
        </w:rPr>
        <w:t xml:space="preserve">в </w:t>
      </w:r>
      <w:r w:rsidR="0070106B" w:rsidRPr="00B97AC9">
        <w:rPr>
          <w:sz w:val="28"/>
          <w:szCs w:val="28"/>
        </w:rPr>
        <w:t xml:space="preserve">газах </w:t>
      </w:r>
      <w:r w:rsidR="00361EBB" w:rsidRPr="00B97AC9">
        <w:rPr>
          <w:sz w:val="28"/>
          <w:szCs w:val="28"/>
        </w:rPr>
        <w:t>медицинских.</w:t>
      </w:r>
    </w:p>
    <w:p w:rsidR="00A51352" w:rsidRPr="00B97AC9" w:rsidRDefault="00361EBB" w:rsidP="00361EBB">
      <w:pPr>
        <w:spacing w:line="360" w:lineRule="auto"/>
        <w:ind w:firstLine="709"/>
        <w:jc w:val="both"/>
        <w:rPr>
          <w:sz w:val="28"/>
          <w:szCs w:val="28"/>
        </w:rPr>
      </w:pPr>
      <w:r w:rsidRPr="00B97AC9">
        <w:rPr>
          <w:sz w:val="28"/>
          <w:szCs w:val="28"/>
        </w:rPr>
        <w:t>О</w:t>
      </w:r>
      <w:r w:rsidR="00A51352" w:rsidRPr="00B97AC9">
        <w:rPr>
          <w:sz w:val="28"/>
          <w:szCs w:val="28"/>
        </w:rPr>
        <w:t xml:space="preserve">пределение примеси воды в </w:t>
      </w:r>
      <w:r w:rsidR="0070106B" w:rsidRPr="00B97AC9">
        <w:rPr>
          <w:sz w:val="28"/>
          <w:szCs w:val="28"/>
        </w:rPr>
        <w:t xml:space="preserve">газах </w:t>
      </w:r>
      <w:r w:rsidR="00A51352" w:rsidRPr="00B97AC9">
        <w:rPr>
          <w:sz w:val="28"/>
          <w:szCs w:val="28"/>
        </w:rPr>
        <w:t>медицинских проводят с использованием кулонометрического, электрохимического</w:t>
      </w:r>
      <w:r w:rsidR="00EF19AE" w:rsidRPr="00B97AC9">
        <w:rPr>
          <w:sz w:val="28"/>
          <w:szCs w:val="28"/>
        </w:rPr>
        <w:t xml:space="preserve"> методов</w:t>
      </w:r>
      <w:r w:rsidR="004E2832" w:rsidRPr="00B97AC9">
        <w:rPr>
          <w:sz w:val="28"/>
          <w:szCs w:val="28"/>
        </w:rPr>
        <w:t>,</w:t>
      </w:r>
      <w:r w:rsidR="004E2832" w:rsidRPr="00B97AC9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4E2832" w:rsidRPr="00B97AC9">
        <w:rPr>
          <w:sz w:val="28"/>
          <w:szCs w:val="28"/>
        </w:rPr>
        <w:t>конденсационного метода по «точке росы»</w:t>
      </w:r>
      <w:r w:rsidR="00171B8A" w:rsidRPr="00B97AC9">
        <w:rPr>
          <w:sz w:val="28"/>
          <w:szCs w:val="28"/>
        </w:rPr>
        <w:t xml:space="preserve">, </w:t>
      </w:r>
      <w:r w:rsidR="005A4256" w:rsidRPr="00B97AC9">
        <w:rPr>
          <w:sz w:val="28"/>
          <w:szCs w:val="28"/>
        </w:rPr>
        <w:t xml:space="preserve">метода с </w:t>
      </w:r>
      <w:r w:rsidR="005219CB">
        <w:rPr>
          <w:sz w:val="28"/>
          <w:szCs w:val="28"/>
        </w:rPr>
        <w:t>применением индикаторных трубок</w:t>
      </w:r>
      <w:r w:rsidR="007A06CA" w:rsidRPr="00B97AC9">
        <w:rPr>
          <w:sz w:val="28"/>
          <w:szCs w:val="28"/>
        </w:rPr>
        <w:t>.</w:t>
      </w:r>
    </w:p>
    <w:p w:rsidR="00A51352" w:rsidRPr="00B97AC9" w:rsidRDefault="00A51352" w:rsidP="00A51352">
      <w:pPr>
        <w:spacing w:line="360" w:lineRule="auto"/>
        <w:ind w:firstLine="708"/>
        <w:jc w:val="both"/>
        <w:rPr>
          <w:sz w:val="28"/>
          <w:szCs w:val="28"/>
        </w:rPr>
      </w:pPr>
    </w:p>
    <w:p w:rsidR="00FA2249" w:rsidRPr="00B97AC9" w:rsidRDefault="00A51352" w:rsidP="00FA2249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B97AC9">
        <w:rPr>
          <w:caps/>
          <w:sz w:val="28"/>
          <w:szCs w:val="28"/>
        </w:rPr>
        <w:t>Испытания</w:t>
      </w:r>
    </w:p>
    <w:p w:rsidR="0070106B" w:rsidRPr="00B97AC9" w:rsidRDefault="0070106B" w:rsidP="00FA2249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CE602A" w:rsidRPr="00B97AC9" w:rsidRDefault="00C37A64" w:rsidP="002D716D">
      <w:pPr>
        <w:pStyle w:val="af5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B97AC9">
        <w:rPr>
          <w:b/>
          <w:sz w:val="28"/>
          <w:szCs w:val="28"/>
        </w:rPr>
        <w:t xml:space="preserve">1. </w:t>
      </w:r>
      <w:r w:rsidR="0070106B" w:rsidRPr="00B97AC9">
        <w:rPr>
          <w:b/>
          <w:sz w:val="28"/>
          <w:szCs w:val="28"/>
        </w:rPr>
        <w:t>Определение воды в газах медицинских кулонометрическ</w:t>
      </w:r>
      <w:r w:rsidR="000D6B48" w:rsidRPr="00B97AC9">
        <w:rPr>
          <w:b/>
          <w:sz w:val="28"/>
          <w:szCs w:val="28"/>
        </w:rPr>
        <w:t>им</w:t>
      </w:r>
      <w:r w:rsidR="0070106B" w:rsidRPr="00B97AC9">
        <w:rPr>
          <w:b/>
          <w:sz w:val="28"/>
          <w:szCs w:val="28"/>
        </w:rPr>
        <w:t xml:space="preserve"> метод</w:t>
      </w:r>
      <w:r w:rsidR="000D6B48" w:rsidRPr="00B97AC9">
        <w:rPr>
          <w:b/>
          <w:sz w:val="28"/>
          <w:szCs w:val="28"/>
        </w:rPr>
        <w:t>ом</w:t>
      </w:r>
      <w:r w:rsidR="00F7596A" w:rsidRPr="00B97AC9">
        <w:rPr>
          <w:b/>
          <w:sz w:val="28"/>
          <w:szCs w:val="28"/>
        </w:rPr>
        <w:t xml:space="preserve"> </w:t>
      </w:r>
    </w:p>
    <w:p w:rsidR="005D50EA" w:rsidRPr="00B97AC9" w:rsidRDefault="005D50EA" w:rsidP="002D716D">
      <w:pPr>
        <w:spacing w:line="360" w:lineRule="auto"/>
        <w:ind w:firstLine="708"/>
        <w:jc w:val="both"/>
        <w:rPr>
          <w:sz w:val="28"/>
          <w:szCs w:val="28"/>
        </w:rPr>
      </w:pPr>
      <w:r w:rsidRPr="00B97AC9">
        <w:rPr>
          <w:rStyle w:val="af8"/>
          <w:color w:val="000000"/>
          <w:sz w:val="28"/>
          <w:szCs w:val="28"/>
          <w:u w:val="none"/>
        </w:rPr>
        <w:t>Определение проводят в соответствии</w:t>
      </w:r>
      <w:r w:rsidR="00284B0E" w:rsidRPr="00B97AC9">
        <w:rPr>
          <w:rStyle w:val="af8"/>
          <w:color w:val="000000"/>
          <w:sz w:val="28"/>
          <w:szCs w:val="28"/>
          <w:u w:val="none"/>
        </w:rPr>
        <w:t xml:space="preserve"> </w:t>
      </w:r>
      <w:r w:rsidR="00284B0E" w:rsidRPr="00B97AC9">
        <w:rPr>
          <w:rStyle w:val="af8"/>
          <w:color w:val="000000"/>
          <w:sz w:val="28"/>
          <w:szCs w:val="28"/>
          <w:u w:val="none"/>
          <w:lang w:val="en-US"/>
        </w:rPr>
        <w:t>c</w:t>
      </w:r>
      <w:r w:rsidRPr="00B97AC9">
        <w:rPr>
          <w:rStyle w:val="af8"/>
          <w:color w:val="000000"/>
          <w:sz w:val="28"/>
          <w:szCs w:val="28"/>
          <w:u w:val="none"/>
        </w:rPr>
        <w:t xml:space="preserve"> </w:t>
      </w:r>
      <w:r w:rsidR="00F5138D" w:rsidRPr="00B97AC9">
        <w:rPr>
          <w:rStyle w:val="af8"/>
          <w:color w:val="000000"/>
          <w:sz w:val="28"/>
          <w:szCs w:val="28"/>
          <w:u w:val="none"/>
        </w:rPr>
        <w:t>требованиями</w:t>
      </w:r>
      <w:r w:rsidRPr="00B97AC9">
        <w:rPr>
          <w:rStyle w:val="af8"/>
          <w:color w:val="000000"/>
          <w:sz w:val="28"/>
          <w:szCs w:val="28"/>
          <w:u w:val="none"/>
        </w:rPr>
        <w:t xml:space="preserve"> </w:t>
      </w:r>
      <w:r w:rsidRPr="00B97AC9">
        <w:rPr>
          <w:rStyle w:val="af8"/>
          <w:color w:val="auto"/>
          <w:sz w:val="28"/>
          <w:szCs w:val="28"/>
          <w:u w:val="none"/>
        </w:rPr>
        <w:t>ОФС</w:t>
      </w:r>
      <w:r w:rsidR="00933559" w:rsidRPr="00B97AC9">
        <w:rPr>
          <w:rStyle w:val="af8"/>
          <w:color w:val="auto"/>
          <w:sz w:val="28"/>
          <w:szCs w:val="28"/>
          <w:u w:val="none"/>
        </w:rPr>
        <w:t> </w:t>
      </w:r>
      <w:r w:rsidRPr="00B97AC9">
        <w:rPr>
          <w:rStyle w:val="af8"/>
          <w:color w:val="auto"/>
          <w:sz w:val="28"/>
          <w:szCs w:val="28"/>
          <w:u w:val="none"/>
        </w:rPr>
        <w:t>«</w:t>
      </w:r>
      <w:hyperlink r:id="rId8" w:anchor="123000215" w:history="1">
        <w:r w:rsidRPr="00B97AC9">
          <w:rPr>
            <w:sz w:val="28"/>
            <w:szCs w:val="28"/>
          </w:rPr>
          <w:t>Определение воды</w:t>
        </w:r>
      </w:hyperlink>
      <w:r w:rsidRPr="00B97AC9">
        <w:rPr>
          <w:sz w:val="28"/>
          <w:szCs w:val="28"/>
        </w:rPr>
        <w:t>»</w:t>
      </w:r>
      <w:r w:rsidR="003A44C1" w:rsidRPr="00B97AC9">
        <w:rPr>
          <w:sz w:val="28"/>
          <w:szCs w:val="28"/>
        </w:rPr>
        <w:t>,</w:t>
      </w:r>
      <w:r w:rsidR="0070106B" w:rsidRPr="00B97AC9">
        <w:rPr>
          <w:sz w:val="28"/>
          <w:szCs w:val="28"/>
        </w:rPr>
        <w:t xml:space="preserve"> метод </w:t>
      </w:r>
      <w:r w:rsidR="000E57E1" w:rsidRPr="00B97AC9">
        <w:rPr>
          <w:sz w:val="28"/>
          <w:szCs w:val="28"/>
        </w:rPr>
        <w:t>2</w:t>
      </w:r>
      <w:r w:rsidR="00FA2249" w:rsidRPr="00B97AC9">
        <w:rPr>
          <w:sz w:val="28"/>
          <w:szCs w:val="28"/>
        </w:rPr>
        <w:t>.</w:t>
      </w:r>
      <w:r w:rsidRPr="00B97AC9">
        <w:rPr>
          <w:sz w:val="28"/>
          <w:szCs w:val="28"/>
        </w:rPr>
        <w:t xml:space="preserve"> </w:t>
      </w:r>
      <w:r w:rsidR="00FA2249" w:rsidRPr="00B97AC9">
        <w:rPr>
          <w:sz w:val="28"/>
          <w:szCs w:val="28"/>
        </w:rPr>
        <w:t xml:space="preserve">  </w:t>
      </w:r>
    </w:p>
    <w:p w:rsidR="00CE602A" w:rsidRPr="00B97AC9" w:rsidRDefault="0046258A" w:rsidP="002D716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97AC9">
        <w:rPr>
          <w:b/>
          <w:sz w:val="28"/>
          <w:szCs w:val="28"/>
        </w:rPr>
        <w:t>2.</w:t>
      </w:r>
      <w:r w:rsidR="006550CA" w:rsidRPr="00B97AC9">
        <w:rPr>
          <w:b/>
          <w:sz w:val="28"/>
          <w:szCs w:val="28"/>
        </w:rPr>
        <w:t xml:space="preserve"> </w:t>
      </w:r>
      <w:r w:rsidR="0070106B" w:rsidRPr="00B97AC9">
        <w:rPr>
          <w:b/>
          <w:sz w:val="28"/>
          <w:szCs w:val="28"/>
        </w:rPr>
        <w:t xml:space="preserve">Определение воды в газах медицинских </w:t>
      </w:r>
      <w:r w:rsidR="0070106B" w:rsidRPr="00B97AC9">
        <w:rPr>
          <w:b/>
          <w:noProof/>
          <w:sz w:val="28"/>
        </w:rPr>
        <w:t>электрохимическ</w:t>
      </w:r>
      <w:r w:rsidR="000D6B48" w:rsidRPr="00B97AC9">
        <w:rPr>
          <w:b/>
          <w:noProof/>
          <w:sz w:val="28"/>
        </w:rPr>
        <w:t>им</w:t>
      </w:r>
      <w:r w:rsidR="0070106B" w:rsidRPr="00B97AC9">
        <w:rPr>
          <w:b/>
          <w:sz w:val="28"/>
          <w:szCs w:val="28"/>
        </w:rPr>
        <w:t xml:space="preserve"> метод</w:t>
      </w:r>
      <w:r w:rsidR="000D6B48" w:rsidRPr="00B97AC9">
        <w:rPr>
          <w:b/>
          <w:sz w:val="28"/>
          <w:szCs w:val="28"/>
        </w:rPr>
        <w:t>ом</w:t>
      </w:r>
      <w:r w:rsidR="006550CA" w:rsidRPr="00B97AC9">
        <w:rPr>
          <w:b/>
          <w:sz w:val="28"/>
          <w:szCs w:val="28"/>
        </w:rPr>
        <w:t xml:space="preserve"> </w:t>
      </w:r>
    </w:p>
    <w:p w:rsidR="003A44C1" w:rsidRPr="00B97AC9" w:rsidRDefault="003A44C1" w:rsidP="003A44C1">
      <w:pPr>
        <w:spacing w:line="360" w:lineRule="auto"/>
        <w:ind w:firstLine="567"/>
        <w:jc w:val="both"/>
        <w:rPr>
          <w:rFonts w:eastAsia="Cambria"/>
          <w:b/>
          <w:bCs/>
          <w:sz w:val="28"/>
          <w:szCs w:val="28"/>
          <w:lang w:bidi="ru-RU"/>
        </w:rPr>
      </w:pPr>
      <w:r w:rsidRPr="00B97AC9">
        <w:rPr>
          <w:rFonts w:eastAsia="Cambria"/>
          <w:bCs/>
          <w:sz w:val="28"/>
          <w:szCs w:val="28"/>
          <w:lang w:bidi="ru-RU"/>
        </w:rPr>
        <w:t>Метод основан на явлении протекания электрохимической реакции в электрохимической ячейке</w:t>
      </w:r>
      <w:r w:rsidR="00D16170" w:rsidRPr="00B97AC9">
        <w:rPr>
          <w:rFonts w:eastAsia="Cambria"/>
          <w:bCs/>
          <w:sz w:val="28"/>
          <w:szCs w:val="28"/>
          <w:lang w:bidi="ru-RU"/>
        </w:rPr>
        <w:t>.</w:t>
      </w:r>
      <w:r w:rsidRPr="00B97AC9">
        <w:rPr>
          <w:rFonts w:eastAsia="Cambria"/>
          <w:bCs/>
          <w:sz w:val="28"/>
          <w:szCs w:val="28"/>
          <w:lang w:bidi="ru-RU"/>
        </w:rPr>
        <w:t xml:space="preserve"> Водяной пар вступает в химическую реакцию с электролитом, заполняющим ячейку. В результате</w:t>
      </w:r>
      <w:r w:rsidR="007259C7" w:rsidRPr="00B97AC9">
        <w:rPr>
          <w:rFonts w:eastAsia="Cambria"/>
          <w:bCs/>
          <w:sz w:val="28"/>
          <w:szCs w:val="28"/>
          <w:lang w:bidi="ru-RU"/>
        </w:rPr>
        <w:t xml:space="preserve"> этого</w:t>
      </w:r>
      <w:r w:rsidRPr="00B97AC9">
        <w:rPr>
          <w:rFonts w:eastAsia="Cambria"/>
          <w:bCs/>
          <w:sz w:val="28"/>
          <w:szCs w:val="28"/>
          <w:lang w:bidi="ru-RU"/>
        </w:rPr>
        <w:t xml:space="preserve"> в растворе возникают заряженные ионы</w:t>
      </w:r>
      <w:r w:rsidR="007259C7" w:rsidRPr="00B97AC9">
        <w:rPr>
          <w:rFonts w:eastAsia="Cambria"/>
          <w:bCs/>
          <w:sz w:val="28"/>
          <w:szCs w:val="28"/>
          <w:lang w:bidi="ru-RU"/>
        </w:rPr>
        <w:t xml:space="preserve"> и</w:t>
      </w:r>
      <w:r w:rsidRPr="00B97AC9">
        <w:rPr>
          <w:rFonts w:eastAsia="Cambria"/>
          <w:bCs/>
          <w:sz w:val="28"/>
          <w:szCs w:val="28"/>
          <w:lang w:bidi="ru-RU"/>
        </w:rPr>
        <w:t xml:space="preserve"> между электродами начинает протекать электрический ток, пропорциональный концентрации анализируемого компонента в пробе. </w:t>
      </w:r>
    </w:p>
    <w:p w:rsidR="003A44C1" w:rsidRPr="00B97AC9" w:rsidRDefault="003A44C1" w:rsidP="003A44C1">
      <w:pPr>
        <w:spacing w:line="360" w:lineRule="auto"/>
        <w:ind w:firstLine="567"/>
        <w:jc w:val="both"/>
        <w:rPr>
          <w:rFonts w:eastAsia="Cambria"/>
          <w:bCs/>
          <w:sz w:val="28"/>
          <w:szCs w:val="28"/>
          <w:lang w:bidi="ru-RU"/>
        </w:rPr>
      </w:pPr>
      <w:r w:rsidRPr="00B97AC9">
        <w:rPr>
          <w:rFonts w:eastAsia="Cambria"/>
          <w:bCs/>
          <w:sz w:val="28"/>
          <w:szCs w:val="28"/>
          <w:lang w:bidi="ru-RU"/>
        </w:rPr>
        <w:t>Электрический датчик обрабатывает во</w:t>
      </w:r>
      <w:r w:rsidR="00D16170" w:rsidRPr="00B97AC9">
        <w:rPr>
          <w:rFonts w:eastAsia="Cambria"/>
          <w:bCs/>
          <w:sz w:val="28"/>
          <w:szCs w:val="28"/>
          <w:lang w:bidi="ru-RU"/>
        </w:rPr>
        <w:t>зникающий электрический сигнал (рисунок 1).</w:t>
      </w:r>
    </w:p>
    <w:p w:rsidR="003A44C1" w:rsidRPr="00B97AC9" w:rsidRDefault="00BA24A0" w:rsidP="003A44C1">
      <w:pPr>
        <w:spacing w:line="360" w:lineRule="auto"/>
        <w:ind w:left="851"/>
        <w:jc w:val="center"/>
        <w:rPr>
          <w:rFonts w:eastAsia="Cambria"/>
          <w:bCs/>
          <w:sz w:val="28"/>
          <w:szCs w:val="28"/>
          <w:lang w:bidi="ru-RU"/>
        </w:rPr>
      </w:pPr>
      <w:r w:rsidRPr="00B97AC9">
        <w:rPr>
          <w:rFonts w:eastAsia="Cambria"/>
          <w:noProof/>
          <w:sz w:val="28"/>
          <w:szCs w:val="28"/>
        </w:rPr>
        <w:lastRenderedPageBreak/>
        <w:drawing>
          <wp:inline distT="0" distB="0" distL="0" distR="0">
            <wp:extent cx="4047490" cy="1725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C1" w:rsidRPr="00B97AC9" w:rsidRDefault="003A44C1" w:rsidP="003A44C1">
      <w:pPr>
        <w:spacing w:line="360" w:lineRule="auto"/>
        <w:jc w:val="center"/>
        <w:rPr>
          <w:rFonts w:eastAsia="Cambria"/>
          <w:bCs/>
          <w:szCs w:val="28"/>
          <w:lang w:bidi="ru-RU"/>
        </w:rPr>
      </w:pPr>
      <w:r w:rsidRPr="00B97AC9">
        <w:rPr>
          <w:rFonts w:eastAsia="Cambria"/>
          <w:bCs/>
          <w:szCs w:val="28"/>
          <w:lang w:bidi="ru-RU"/>
        </w:rPr>
        <w:t>Рис</w:t>
      </w:r>
      <w:r w:rsidR="00EC40ED" w:rsidRPr="00B97AC9">
        <w:rPr>
          <w:rFonts w:eastAsia="Cambria"/>
          <w:bCs/>
          <w:szCs w:val="28"/>
          <w:lang w:bidi="ru-RU"/>
        </w:rPr>
        <w:t>унок</w:t>
      </w:r>
      <w:r w:rsidRPr="00B97AC9">
        <w:rPr>
          <w:rFonts w:eastAsia="Cambria"/>
          <w:bCs/>
          <w:szCs w:val="28"/>
          <w:lang w:bidi="ru-RU"/>
        </w:rPr>
        <w:t xml:space="preserve"> </w:t>
      </w:r>
      <w:r w:rsidRPr="00B97AC9">
        <w:rPr>
          <w:rFonts w:eastAsia="Cambria"/>
          <w:szCs w:val="28"/>
          <w:lang w:bidi="ru-RU"/>
        </w:rPr>
        <w:t>1</w:t>
      </w:r>
      <w:r w:rsidR="00EC40ED" w:rsidRPr="00B97AC9">
        <w:rPr>
          <w:rFonts w:eastAsia="Cambria"/>
          <w:szCs w:val="28"/>
          <w:lang w:bidi="ru-RU"/>
        </w:rPr>
        <w:t xml:space="preserve"> </w:t>
      </w:r>
      <w:r w:rsidR="00EC40ED" w:rsidRPr="00B97AC9">
        <w:rPr>
          <w:rFonts w:eastAsia="Cambria"/>
          <w:color w:val="000000" w:themeColor="text1"/>
          <w:szCs w:val="28"/>
          <w:lang w:bidi="ru-RU"/>
        </w:rPr>
        <w:t>–</w:t>
      </w:r>
      <w:r w:rsidRPr="00B97AC9">
        <w:rPr>
          <w:rFonts w:eastAsia="Cambria"/>
          <w:bCs/>
          <w:color w:val="000000" w:themeColor="text1"/>
          <w:szCs w:val="28"/>
          <w:lang w:bidi="ru-RU"/>
        </w:rPr>
        <w:t xml:space="preserve"> </w:t>
      </w:r>
      <w:r w:rsidRPr="00B97AC9">
        <w:rPr>
          <w:rFonts w:eastAsia="Cambria"/>
          <w:bCs/>
          <w:szCs w:val="28"/>
          <w:lang w:bidi="ru-RU"/>
        </w:rPr>
        <w:t>С</w:t>
      </w:r>
      <w:r w:rsidR="00EC40ED" w:rsidRPr="00B97AC9">
        <w:rPr>
          <w:rFonts w:eastAsia="Cambria"/>
          <w:bCs/>
          <w:szCs w:val="28"/>
          <w:lang w:bidi="ru-RU"/>
        </w:rPr>
        <w:t>хема электрохимической ячейки</w:t>
      </w:r>
    </w:p>
    <w:p w:rsidR="003A44C1" w:rsidRPr="00B97AC9" w:rsidRDefault="003A44C1" w:rsidP="003A44C1">
      <w:pPr>
        <w:spacing w:line="360" w:lineRule="auto"/>
        <w:jc w:val="both"/>
        <w:rPr>
          <w:rFonts w:eastAsia="Cambria"/>
          <w:bCs/>
          <w:sz w:val="28"/>
          <w:szCs w:val="28"/>
          <w:lang w:bidi="ru-RU"/>
        </w:rPr>
      </w:pPr>
    </w:p>
    <w:p w:rsidR="005D7759" w:rsidRPr="00B97AC9" w:rsidRDefault="00B23805" w:rsidP="00A21D7B">
      <w:pPr>
        <w:spacing w:line="360" w:lineRule="auto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B97AC9">
        <w:rPr>
          <w:noProof/>
          <w:sz w:val="28"/>
          <w:szCs w:val="28"/>
        </w:rPr>
        <w:t>Опреде</w:t>
      </w:r>
      <w:r w:rsidRPr="00B97AC9">
        <w:rPr>
          <w:sz w:val="28"/>
          <w:szCs w:val="28"/>
        </w:rPr>
        <w:t>ление проводя</w:t>
      </w:r>
      <w:r w:rsidR="00933559" w:rsidRPr="00B97AC9">
        <w:rPr>
          <w:sz w:val="28"/>
          <w:szCs w:val="28"/>
        </w:rPr>
        <w:t>т</w:t>
      </w:r>
      <w:r w:rsidRPr="00B97AC9">
        <w:rPr>
          <w:sz w:val="28"/>
          <w:szCs w:val="28"/>
        </w:rPr>
        <w:t xml:space="preserve"> на </w:t>
      </w:r>
      <w:r w:rsidRPr="00B97AC9">
        <w:rPr>
          <w:rFonts w:eastAsia="Calibri"/>
          <w:iCs/>
          <w:sz w:val="28"/>
          <w:szCs w:val="28"/>
          <w:lang w:eastAsia="en-US"/>
        </w:rPr>
        <w:t>электролитическом гигрометре</w:t>
      </w:r>
      <w:r w:rsidRPr="00B97AC9">
        <w:rPr>
          <w:sz w:val="28"/>
          <w:szCs w:val="28"/>
        </w:rPr>
        <w:t>,</w:t>
      </w:r>
      <w:r w:rsidRPr="00B97AC9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B97AC9">
        <w:rPr>
          <w:rFonts w:eastAsia="Calibri"/>
          <w:iCs/>
          <w:sz w:val="28"/>
          <w:szCs w:val="28"/>
          <w:lang w:eastAsia="en-US"/>
        </w:rPr>
        <w:t>состоящем из измерительной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камер</w:t>
      </w:r>
      <w:r w:rsidRPr="00B97AC9">
        <w:rPr>
          <w:rFonts w:eastAsia="Calibri"/>
          <w:iCs/>
          <w:sz w:val="28"/>
          <w:szCs w:val="28"/>
          <w:lang w:eastAsia="en-US"/>
        </w:rPr>
        <w:t>ы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Pr="00B97AC9">
        <w:rPr>
          <w:rFonts w:eastAsia="Calibri"/>
          <w:iCs/>
          <w:sz w:val="28"/>
          <w:szCs w:val="28"/>
          <w:lang w:eastAsia="en-US"/>
        </w:rPr>
        <w:t xml:space="preserve">с </w:t>
      </w:r>
      <w:r w:rsidR="0046258A" w:rsidRPr="00B97AC9">
        <w:rPr>
          <w:rFonts w:eastAsia="Calibri"/>
          <w:iCs/>
          <w:sz w:val="28"/>
          <w:szCs w:val="28"/>
          <w:lang w:eastAsia="en-US"/>
        </w:rPr>
        <w:t>тонкой пл</w:t>
      </w:r>
      <w:r w:rsidR="0006338A" w:rsidRPr="00B97AC9">
        <w:rPr>
          <w:rFonts w:eastAsia="Calibri"/>
          <w:iCs/>
          <w:sz w:val="28"/>
          <w:szCs w:val="28"/>
          <w:lang w:eastAsia="en-US"/>
        </w:rPr>
        <w:t>ё</w:t>
      </w:r>
      <w:r w:rsidR="0046258A" w:rsidRPr="00B97AC9">
        <w:rPr>
          <w:rFonts w:eastAsia="Calibri"/>
          <w:iCs/>
          <w:sz w:val="28"/>
          <w:szCs w:val="28"/>
          <w:lang w:eastAsia="en-US"/>
        </w:rPr>
        <w:t>нк</w:t>
      </w:r>
      <w:r w:rsidRPr="00B97AC9">
        <w:rPr>
          <w:rFonts w:eastAsia="Calibri"/>
          <w:iCs/>
          <w:sz w:val="28"/>
          <w:szCs w:val="28"/>
          <w:lang w:eastAsia="en-US"/>
        </w:rPr>
        <w:t>ой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3846C3" w:rsidRPr="00B97AC9">
        <w:rPr>
          <w:bCs/>
          <w:sz w:val="28"/>
          <w:szCs w:val="28"/>
        </w:rPr>
        <w:t>фосфор</w:t>
      </w:r>
      <w:r w:rsidR="003A44C1" w:rsidRPr="00B97AC9">
        <w:rPr>
          <w:bCs/>
          <w:sz w:val="28"/>
          <w:szCs w:val="28"/>
        </w:rPr>
        <w:t>а</w:t>
      </w:r>
      <w:r w:rsidR="007C17C5" w:rsidRPr="00B97AC9">
        <w:rPr>
          <w:bCs/>
          <w:sz w:val="28"/>
          <w:szCs w:val="28"/>
        </w:rPr>
        <w:t xml:space="preserve"> </w:t>
      </w:r>
      <w:r w:rsidR="003846C3" w:rsidRPr="00B97AC9">
        <w:rPr>
          <w:bCs/>
          <w:sz w:val="28"/>
          <w:szCs w:val="28"/>
        </w:rPr>
        <w:t>(V) оксид</w:t>
      </w:r>
      <w:r w:rsidR="00361EBB" w:rsidRPr="00B97AC9">
        <w:rPr>
          <w:bCs/>
          <w:sz w:val="28"/>
          <w:szCs w:val="28"/>
        </w:rPr>
        <w:t>а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, </w:t>
      </w:r>
      <w:r w:rsidR="007A06CA" w:rsidRPr="00B97AC9">
        <w:rPr>
          <w:rFonts w:eastAsia="Calibri"/>
          <w:iCs/>
          <w:sz w:val="28"/>
          <w:szCs w:val="28"/>
          <w:lang w:eastAsia="en-US"/>
        </w:rPr>
        <w:t>расположенной между</w:t>
      </w:r>
      <w:r w:rsidR="007259C7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46258A" w:rsidRPr="00B97AC9">
        <w:rPr>
          <w:rFonts w:eastAsia="Calibri"/>
          <w:iCs/>
          <w:sz w:val="28"/>
          <w:szCs w:val="28"/>
          <w:lang w:eastAsia="en-US"/>
        </w:rPr>
        <w:t>2 платиновыми п</w:t>
      </w:r>
      <w:r w:rsidRPr="00B97AC9">
        <w:rPr>
          <w:rFonts w:eastAsia="Calibri"/>
          <w:iCs/>
          <w:sz w:val="28"/>
          <w:szCs w:val="28"/>
          <w:lang w:eastAsia="en-US"/>
        </w:rPr>
        <w:t>роводами в качестве электродов.</w:t>
      </w:r>
    </w:p>
    <w:p w:rsidR="00BD6F82" w:rsidRPr="00B97AC9" w:rsidRDefault="00B23805" w:rsidP="00A21D7B">
      <w:pPr>
        <w:spacing w:line="360" w:lineRule="auto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46258A" w:rsidRPr="00B97AC9">
        <w:rPr>
          <w:rFonts w:eastAsia="Calibri"/>
          <w:iCs/>
          <w:sz w:val="28"/>
          <w:szCs w:val="28"/>
          <w:lang w:eastAsia="en-US"/>
        </w:rPr>
        <w:t>Вод</w:t>
      </w:r>
      <w:r w:rsidRPr="00B97AC9">
        <w:rPr>
          <w:rFonts w:eastAsia="Calibri"/>
          <w:iCs/>
          <w:sz w:val="28"/>
          <w:szCs w:val="28"/>
          <w:lang w:eastAsia="en-US"/>
        </w:rPr>
        <w:t>яно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й пар в исследуемом газе </w:t>
      </w:r>
      <w:r w:rsidRPr="00B97AC9">
        <w:rPr>
          <w:rFonts w:eastAsia="Calibri"/>
          <w:iCs/>
          <w:sz w:val="28"/>
          <w:szCs w:val="28"/>
          <w:lang w:eastAsia="en-US"/>
        </w:rPr>
        <w:t>поглощается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7A06CA" w:rsidRPr="00B97AC9">
        <w:rPr>
          <w:noProof/>
          <w:sz w:val="28"/>
          <w:szCs w:val="28"/>
        </w:rPr>
        <w:t>фосфора (</w:t>
      </w:r>
      <w:r w:rsidR="007A06CA" w:rsidRPr="00B97AC9">
        <w:rPr>
          <w:noProof/>
          <w:sz w:val="28"/>
          <w:szCs w:val="28"/>
          <w:lang w:val="en-US"/>
        </w:rPr>
        <w:t>V</w:t>
      </w:r>
      <w:r w:rsidR="007A06CA" w:rsidRPr="00B97AC9">
        <w:rPr>
          <w:noProof/>
          <w:sz w:val="28"/>
          <w:szCs w:val="28"/>
        </w:rPr>
        <w:t>) оксидом,</w:t>
      </w:r>
      <w:r w:rsidR="007A06CA" w:rsidRPr="00B97AC9">
        <w:rPr>
          <w:bCs/>
          <w:sz w:val="28"/>
          <w:szCs w:val="28"/>
        </w:rPr>
        <w:t xml:space="preserve"> 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который преобразуется в фосфорную кислоту, являющуюся электрическим проводником. Постоянное напряжение вокруг электродов </w:t>
      </w:r>
      <w:r w:rsidR="00361EBB" w:rsidRPr="00B97AC9">
        <w:rPr>
          <w:rFonts w:eastAsia="Calibri"/>
          <w:iCs/>
          <w:sz w:val="28"/>
          <w:szCs w:val="28"/>
          <w:lang w:eastAsia="en-US"/>
        </w:rPr>
        <w:t>приводит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361EBB" w:rsidRPr="00B97AC9">
        <w:rPr>
          <w:rFonts w:eastAsia="Calibri"/>
          <w:iCs/>
          <w:sz w:val="28"/>
          <w:szCs w:val="28"/>
          <w:lang w:eastAsia="en-US"/>
        </w:rPr>
        <w:t xml:space="preserve">к </w:t>
      </w:r>
      <w:r w:rsidR="0046258A" w:rsidRPr="00B97AC9">
        <w:rPr>
          <w:rFonts w:eastAsia="Calibri"/>
          <w:iCs/>
          <w:sz w:val="28"/>
          <w:szCs w:val="28"/>
          <w:lang w:eastAsia="en-US"/>
        </w:rPr>
        <w:t>электролиз</w:t>
      </w:r>
      <w:r w:rsidR="00361EBB" w:rsidRPr="00B97AC9">
        <w:rPr>
          <w:rFonts w:eastAsia="Calibri"/>
          <w:iCs/>
          <w:sz w:val="28"/>
          <w:szCs w:val="28"/>
          <w:lang w:eastAsia="en-US"/>
        </w:rPr>
        <w:t>у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воды и регенераци</w:t>
      </w:r>
      <w:r w:rsidR="00361EBB" w:rsidRPr="00B97AC9">
        <w:rPr>
          <w:rFonts w:eastAsia="Calibri"/>
          <w:iCs/>
          <w:sz w:val="28"/>
          <w:szCs w:val="28"/>
          <w:lang w:eastAsia="en-US"/>
        </w:rPr>
        <w:t>и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7A06CA" w:rsidRPr="00B97AC9">
        <w:rPr>
          <w:noProof/>
          <w:sz w:val="28"/>
          <w:szCs w:val="28"/>
        </w:rPr>
        <w:t>фосфора (</w:t>
      </w:r>
      <w:r w:rsidR="007A06CA" w:rsidRPr="00B97AC9">
        <w:rPr>
          <w:noProof/>
          <w:sz w:val="28"/>
          <w:szCs w:val="28"/>
          <w:lang w:val="en-US"/>
        </w:rPr>
        <w:t>V</w:t>
      </w:r>
      <w:r w:rsidR="007A06CA" w:rsidRPr="00B97AC9">
        <w:rPr>
          <w:noProof/>
          <w:sz w:val="28"/>
          <w:szCs w:val="28"/>
        </w:rPr>
        <w:t>) оксида</w:t>
      </w:r>
      <w:r w:rsidR="007A06CA" w:rsidRPr="00B97AC9">
        <w:rPr>
          <w:bCs/>
          <w:sz w:val="28"/>
          <w:szCs w:val="28"/>
        </w:rPr>
        <w:t>.</w:t>
      </w:r>
      <w:r w:rsidR="007A06CA"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Затем измеряется </w:t>
      </w:r>
      <w:r w:rsidR="0046258A" w:rsidRPr="00B97AC9">
        <w:rPr>
          <w:rFonts w:eastAsia="Calibri"/>
          <w:iCs/>
          <w:color w:val="000000"/>
          <w:sz w:val="28"/>
          <w:szCs w:val="28"/>
          <w:lang w:eastAsia="en-US"/>
        </w:rPr>
        <w:t>возникающий электрический ток</w:t>
      </w:r>
      <w:r w:rsidR="0046258A" w:rsidRPr="00B97AC9">
        <w:rPr>
          <w:rFonts w:eastAsia="Calibri"/>
          <w:iCs/>
          <w:sz w:val="28"/>
          <w:szCs w:val="28"/>
          <w:lang w:eastAsia="en-US"/>
        </w:rPr>
        <w:t>, который пропорционален содержанию воды в исследуемом газе. Данная система является</w:t>
      </w:r>
      <w:r w:rsidRPr="00B97AC9">
        <w:rPr>
          <w:rFonts w:eastAsia="Calibri"/>
          <w:iCs/>
          <w:sz w:val="28"/>
          <w:szCs w:val="28"/>
          <w:lang w:eastAsia="en-US"/>
        </w:rPr>
        <w:t xml:space="preserve"> с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амокалибрующейся, </w:t>
      </w:r>
      <w:r w:rsidRPr="00B97AC9">
        <w:rPr>
          <w:rFonts w:eastAsia="Calibri"/>
          <w:iCs/>
          <w:sz w:val="28"/>
          <w:szCs w:val="28"/>
          <w:lang w:eastAsia="en-US"/>
        </w:rPr>
        <w:t>так как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 соответствует закону Фарадея. </w:t>
      </w:r>
      <w:r w:rsidRPr="00B97AC9">
        <w:rPr>
          <w:rFonts w:eastAsia="Calibri"/>
          <w:iCs/>
          <w:sz w:val="28"/>
          <w:szCs w:val="28"/>
          <w:lang w:eastAsia="en-US"/>
        </w:rPr>
        <w:t>О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бразец </w:t>
      </w:r>
      <w:r w:rsidR="00D2298F" w:rsidRPr="00B97AC9">
        <w:rPr>
          <w:rFonts w:eastAsia="Calibri"/>
          <w:iCs/>
          <w:sz w:val="28"/>
          <w:szCs w:val="28"/>
          <w:lang w:eastAsia="en-US"/>
        </w:rPr>
        <w:t>исследуемого газа</w:t>
      </w:r>
      <w:r w:rsidRPr="00B97AC9">
        <w:rPr>
          <w:rFonts w:eastAsia="Calibri"/>
          <w:iCs/>
          <w:sz w:val="28"/>
          <w:szCs w:val="28"/>
          <w:lang w:eastAsia="en-US"/>
        </w:rPr>
        <w:t xml:space="preserve"> </w:t>
      </w:r>
      <w:r w:rsidR="00D2298F" w:rsidRPr="00B97AC9">
        <w:rPr>
          <w:rFonts w:eastAsia="Calibri"/>
          <w:iCs/>
          <w:sz w:val="28"/>
          <w:szCs w:val="28"/>
          <w:lang w:eastAsia="en-US"/>
        </w:rPr>
        <w:t xml:space="preserve">оставляют 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для уравновешивания при комнатной температуре. </w:t>
      </w:r>
      <w:r w:rsidR="00361EBB" w:rsidRPr="00B97AC9">
        <w:rPr>
          <w:rFonts w:eastAsia="Calibri"/>
          <w:iCs/>
          <w:sz w:val="28"/>
          <w:szCs w:val="28"/>
          <w:lang w:eastAsia="en-US"/>
        </w:rPr>
        <w:t>Г</w:t>
      </w:r>
      <w:r w:rsidR="0046258A" w:rsidRPr="00B97AC9">
        <w:rPr>
          <w:rFonts w:eastAsia="Calibri"/>
          <w:iCs/>
          <w:sz w:val="28"/>
          <w:szCs w:val="28"/>
          <w:lang w:eastAsia="en-US"/>
        </w:rPr>
        <w:t xml:space="preserve">аз </w:t>
      </w:r>
      <w:r w:rsidR="00361EBB" w:rsidRPr="00B97AC9">
        <w:rPr>
          <w:rFonts w:eastAsia="Calibri"/>
          <w:iCs/>
          <w:sz w:val="28"/>
          <w:szCs w:val="28"/>
          <w:lang w:eastAsia="en-US"/>
        </w:rPr>
        <w:t xml:space="preserve">пропускают </w:t>
      </w:r>
      <w:r w:rsidR="0046258A" w:rsidRPr="00B97AC9">
        <w:rPr>
          <w:rFonts w:eastAsia="Calibri"/>
          <w:iCs/>
          <w:sz w:val="28"/>
          <w:szCs w:val="28"/>
          <w:lang w:eastAsia="en-US"/>
        </w:rPr>
        <w:t>через камеру</w:t>
      </w:r>
      <w:r w:rsidR="00BD6F82" w:rsidRPr="00B97AC9">
        <w:rPr>
          <w:rFonts w:eastAsia="Calibri"/>
          <w:iCs/>
          <w:sz w:val="28"/>
          <w:szCs w:val="28"/>
          <w:lang w:eastAsia="en-US"/>
        </w:rPr>
        <w:t>.</w:t>
      </w:r>
    </w:p>
    <w:p w:rsidR="00CB06D7" w:rsidRPr="00B2716A" w:rsidRDefault="00A21D7B" w:rsidP="005D7759">
      <w:pPr>
        <w:spacing w:line="360" w:lineRule="auto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B97AC9">
        <w:rPr>
          <w:rFonts w:eastAsia="Calibri"/>
          <w:iCs/>
          <w:sz w:val="28"/>
          <w:szCs w:val="28"/>
          <w:lang w:eastAsia="en-US"/>
        </w:rPr>
        <w:t>Диапазон измерения газоанализатора с электрохимической ячейкой от 0 до 50 ppm с погрешностью измерений не более ± 5 %. Прибор в автоматическом режиме определяет долю содерж</w:t>
      </w:r>
      <w:r>
        <w:rPr>
          <w:rFonts w:eastAsia="Calibri"/>
          <w:iCs/>
          <w:sz w:val="28"/>
          <w:szCs w:val="28"/>
          <w:lang w:eastAsia="en-US"/>
        </w:rPr>
        <w:t>ания воды (водяных паров)</w:t>
      </w:r>
      <w:r w:rsidRPr="00A21D7B">
        <w:rPr>
          <w:rFonts w:eastAsia="Calibri"/>
          <w:iCs/>
          <w:sz w:val="28"/>
          <w:szCs w:val="28"/>
          <w:lang w:eastAsia="en-US"/>
        </w:rPr>
        <w:t>. Межкалибровочный интервал соблюдают согласно документации производителя прибора.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B23805">
        <w:rPr>
          <w:rFonts w:eastAsia="Calibri"/>
          <w:iCs/>
          <w:sz w:val="28"/>
          <w:szCs w:val="28"/>
          <w:lang w:eastAsia="en-US"/>
        </w:rPr>
        <w:t>Фиксируют показатели прибора.</w:t>
      </w:r>
      <w:r w:rsidR="0046258A" w:rsidRPr="0046258A">
        <w:rPr>
          <w:rFonts w:eastAsia="Calibri"/>
          <w:iCs/>
          <w:sz w:val="28"/>
          <w:szCs w:val="28"/>
          <w:lang w:eastAsia="en-US"/>
        </w:rPr>
        <w:t xml:space="preserve"> Необходимо следить,</w:t>
      </w:r>
      <w:r w:rsidR="0046258A">
        <w:rPr>
          <w:rFonts w:eastAsia="Calibri"/>
          <w:iCs/>
          <w:sz w:val="28"/>
          <w:szCs w:val="28"/>
          <w:lang w:eastAsia="en-US"/>
        </w:rPr>
        <w:t xml:space="preserve"> </w:t>
      </w:r>
      <w:r w:rsidR="0046258A" w:rsidRPr="0046258A">
        <w:rPr>
          <w:rFonts w:eastAsia="Calibri"/>
          <w:iCs/>
          <w:sz w:val="28"/>
          <w:szCs w:val="28"/>
          <w:lang w:eastAsia="en-US"/>
        </w:rPr>
        <w:t>чтобы в течение всего периода работы прибора температура была постоянной.</w:t>
      </w:r>
      <w:r w:rsidRPr="00A21D7B">
        <w:rPr>
          <w:rFonts w:eastAsia="Calibri"/>
          <w:iCs/>
          <w:sz w:val="28"/>
          <w:szCs w:val="28"/>
          <w:lang w:eastAsia="en-US"/>
        </w:rPr>
        <w:t xml:space="preserve"> Для калибровки нуля прибора используют азот повышенной чистоты (с объемной долей азота не менее 99,999 и объемной долей кислорода не более 0,0005). Для линеаризации и калибровки шкалы </w:t>
      </w:r>
      <w:r w:rsidRPr="00A21D7B">
        <w:rPr>
          <w:rFonts w:eastAsia="Calibri"/>
          <w:iCs/>
          <w:sz w:val="28"/>
          <w:szCs w:val="28"/>
          <w:lang w:eastAsia="en-US"/>
        </w:rPr>
        <w:lastRenderedPageBreak/>
        <w:t>используют поверочные газовые смеси (эталонные газ</w:t>
      </w:r>
      <w:r>
        <w:rPr>
          <w:rFonts w:eastAsia="Calibri"/>
          <w:iCs/>
          <w:sz w:val="28"/>
          <w:szCs w:val="28"/>
          <w:lang w:eastAsia="en-US"/>
        </w:rPr>
        <w:t>ы) с содержанием воды</w:t>
      </w:r>
      <w:r w:rsidRPr="00A21D7B">
        <w:rPr>
          <w:rFonts w:eastAsia="Calibri"/>
          <w:iCs/>
          <w:sz w:val="28"/>
          <w:szCs w:val="28"/>
          <w:lang w:eastAsia="en-US"/>
        </w:rPr>
        <w:t>.</w:t>
      </w:r>
    </w:p>
    <w:p w:rsidR="000E7186" w:rsidRPr="00A21D7B" w:rsidRDefault="0070128B" w:rsidP="003F6234">
      <w:pPr>
        <w:pStyle w:val="af5"/>
        <w:widowControl w:val="0"/>
        <w:spacing w:line="360" w:lineRule="auto"/>
        <w:ind w:left="0"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A21D7B">
        <w:rPr>
          <w:b/>
          <w:sz w:val="28"/>
          <w:szCs w:val="28"/>
        </w:rPr>
        <w:t xml:space="preserve">3. </w:t>
      </w:r>
      <w:r w:rsidR="00A21D7B" w:rsidRPr="00A21D7B">
        <w:rPr>
          <w:b/>
          <w:sz w:val="28"/>
          <w:szCs w:val="28"/>
        </w:rPr>
        <w:t>Определение воды в газах медицинских с помощью конденсационного метода по «точке росы»</w:t>
      </w:r>
    </w:p>
    <w:p w:rsidR="00047AED" w:rsidRDefault="00CE602A" w:rsidP="007136E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E602A">
        <w:rPr>
          <w:sz w:val="28"/>
          <w:szCs w:val="28"/>
        </w:rPr>
        <w:t>Метод основан на измерении температуры насыщения газа водяными парами при появлении росы на охлажденной зеркальной поверхности</w:t>
      </w:r>
      <w:r w:rsidR="00B23805">
        <w:rPr>
          <w:sz w:val="28"/>
          <w:szCs w:val="28"/>
        </w:rPr>
        <w:t xml:space="preserve">, </w:t>
      </w:r>
      <w:r w:rsidR="00B23805" w:rsidRPr="007370B0">
        <w:rPr>
          <w:sz w:val="28"/>
          <w:szCs w:val="28"/>
        </w:rPr>
        <w:t>при которой</w:t>
      </w:r>
      <w:r w:rsidR="00B23805">
        <w:rPr>
          <w:sz w:val="28"/>
          <w:szCs w:val="28"/>
        </w:rPr>
        <w:t xml:space="preserve"> </w:t>
      </w:r>
      <w:r w:rsidR="00B23805" w:rsidRPr="007370B0">
        <w:rPr>
          <w:sz w:val="28"/>
          <w:szCs w:val="28"/>
        </w:rPr>
        <w:t>достигается термодинамическое равновесие между конденсацией и испарением водяного</w:t>
      </w:r>
      <w:r w:rsidR="00B2380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B23805" w:rsidRPr="007370B0">
        <w:rPr>
          <w:sz w:val="28"/>
          <w:szCs w:val="28"/>
        </w:rPr>
        <w:t>пара с поверхности зеркала при установившейся толщине конденсированного слоя воды</w:t>
      </w:r>
      <w:r w:rsidR="00736DF5">
        <w:rPr>
          <w:sz w:val="28"/>
          <w:szCs w:val="28"/>
        </w:rPr>
        <w:t xml:space="preserve"> </w:t>
      </w:r>
      <w:r w:rsidR="00B23805" w:rsidRPr="007370B0">
        <w:rPr>
          <w:sz w:val="28"/>
          <w:szCs w:val="28"/>
        </w:rPr>
        <w:t xml:space="preserve">либо льда. </w:t>
      </w:r>
    </w:p>
    <w:p w:rsidR="007370B0" w:rsidRDefault="00047AED" w:rsidP="007136E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1AB1">
        <w:rPr>
          <w:sz w:val="28"/>
          <w:szCs w:val="28"/>
        </w:rPr>
        <w:t>Чувствительный элемент гигрометров представляет собой плоское полированное</w:t>
      </w:r>
      <w:r w:rsidRPr="00C41C7E">
        <w:rPr>
          <w:sz w:val="28"/>
          <w:szCs w:val="28"/>
        </w:rPr>
        <w:t xml:space="preserve"> </w:t>
      </w:r>
      <w:r w:rsidRPr="00AB1AB1">
        <w:rPr>
          <w:sz w:val="28"/>
          <w:szCs w:val="28"/>
        </w:rPr>
        <w:t>зеркало, выполненное из меди с золотым покрытием, установленное на термоэлектрической</w:t>
      </w:r>
      <w:r w:rsidRPr="00C41C7E">
        <w:rPr>
          <w:sz w:val="28"/>
          <w:szCs w:val="28"/>
        </w:rPr>
        <w:t xml:space="preserve"> </w:t>
      </w:r>
      <w:r w:rsidRPr="00AB1AB1">
        <w:rPr>
          <w:sz w:val="28"/>
          <w:szCs w:val="28"/>
        </w:rPr>
        <w:t>батарее Пельтье, и оптическую систему фиксации толщины конденсированного слоя воды</w:t>
      </w:r>
      <w:r w:rsidRPr="00C41C7E">
        <w:rPr>
          <w:sz w:val="28"/>
          <w:szCs w:val="28"/>
        </w:rPr>
        <w:t xml:space="preserve"> </w:t>
      </w:r>
      <w:r w:rsidRPr="00AB1AB1">
        <w:rPr>
          <w:sz w:val="28"/>
          <w:szCs w:val="28"/>
        </w:rPr>
        <w:t xml:space="preserve">или льда. </w:t>
      </w:r>
      <w:r w:rsidR="007370B0" w:rsidRPr="007370B0">
        <w:rPr>
          <w:sz w:val="28"/>
          <w:szCs w:val="28"/>
        </w:rPr>
        <w:t>Оптическая система в непрерывном режиме определяет толщину осаждаемого на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поверхности зеркала слоя воды или льда и управляет охлаждением и нагревом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термоэлектрической батареи Пельтье. Измеренное значение температуры точки росы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фиксируется встроенным в зеркало плат</w:t>
      </w:r>
      <w:r w:rsidR="00D4011E">
        <w:rPr>
          <w:sz w:val="28"/>
          <w:szCs w:val="28"/>
        </w:rPr>
        <w:t>иновым термометром сопротивления</w:t>
      </w:r>
      <w:r w:rsidR="00736DF5">
        <w:rPr>
          <w:sz w:val="28"/>
          <w:szCs w:val="28"/>
        </w:rPr>
        <w:t xml:space="preserve"> </w:t>
      </w:r>
      <w:r w:rsidR="00736DF5" w:rsidRPr="002B3A8F">
        <w:rPr>
          <w:sz w:val="28"/>
          <w:szCs w:val="28"/>
        </w:rPr>
        <w:t>(рис</w:t>
      </w:r>
      <w:r w:rsidR="002B3A8F" w:rsidRPr="002B3A8F">
        <w:rPr>
          <w:sz w:val="28"/>
          <w:szCs w:val="28"/>
        </w:rPr>
        <w:t>унок</w:t>
      </w:r>
      <w:r w:rsidR="00736DF5" w:rsidRPr="002B3A8F">
        <w:rPr>
          <w:sz w:val="28"/>
          <w:szCs w:val="28"/>
        </w:rPr>
        <w:t xml:space="preserve"> 2)</w:t>
      </w:r>
      <w:r w:rsidR="007370B0" w:rsidRPr="002B3A8F">
        <w:rPr>
          <w:sz w:val="28"/>
          <w:szCs w:val="28"/>
        </w:rPr>
        <w:t>.</w:t>
      </w:r>
      <w:r w:rsidR="007370B0" w:rsidRPr="007370B0">
        <w:rPr>
          <w:sz w:val="28"/>
          <w:szCs w:val="28"/>
        </w:rPr>
        <w:t xml:space="preserve"> Светодиод (1) создает луч света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постоянной интенсивности, который фокусируется системой линз (2) и падает на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поверхность зеркала (3). Прежде чем луч света достигнет зеркала</w:t>
      </w:r>
      <w:r w:rsidR="00714948">
        <w:rPr>
          <w:sz w:val="28"/>
          <w:szCs w:val="28"/>
        </w:rPr>
        <w:t> </w:t>
      </w:r>
      <w:r w:rsidR="007370B0" w:rsidRPr="007370B0">
        <w:rPr>
          <w:sz w:val="28"/>
          <w:szCs w:val="28"/>
        </w:rPr>
        <w:t>(3), светоделитель (4)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направляет часть пучка через систему линз (5) на фотоприёмник (6), который контролирует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интенсивность света и создает контур обратной связи. Два фотоприёмника (7 и 8)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>контролируют интенсивность света, отражаемого зеркалом. Один из фотоприёмников</w:t>
      </w:r>
      <w:r w:rsidR="00714948">
        <w:rPr>
          <w:sz w:val="28"/>
          <w:szCs w:val="28"/>
        </w:rPr>
        <w:t> </w:t>
      </w:r>
      <w:r w:rsidR="007370B0" w:rsidRPr="007370B0">
        <w:rPr>
          <w:sz w:val="28"/>
          <w:szCs w:val="28"/>
        </w:rPr>
        <w:t>(7) определяет интенсивность отраженного пучка, другой</w:t>
      </w:r>
      <w:r w:rsidR="007136E0">
        <w:rPr>
          <w:sz w:val="28"/>
          <w:szCs w:val="28"/>
        </w:rPr>
        <w:t> </w:t>
      </w:r>
      <w:r w:rsidR="007370B0" w:rsidRPr="007370B0">
        <w:rPr>
          <w:sz w:val="28"/>
          <w:szCs w:val="28"/>
        </w:rPr>
        <w:t xml:space="preserve">(8) </w:t>
      </w:r>
      <w:r w:rsidR="007136E0" w:rsidRPr="002B3A8F">
        <w:rPr>
          <w:sz w:val="28"/>
          <w:szCs w:val="28"/>
        </w:rPr>
        <w:t>–</w:t>
      </w:r>
      <w:r w:rsidR="007370B0" w:rsidRPr="007370B0">
        <w:rPr>
          <w:sz w:val="28"/>
          <w:szCs w:val="28"/>
        </w:rPr>
        <w:t xml:space="preserve"> интенсивность</w:t>
      </w:r>
      <w:r w:rsidR="007370B0">
        <w:rPr>
          <w:sz w:val="28"/>
          <w:szCs w:val="28"/>
        </w:rPr>
        <w:t xml:space="preserve"> </w:t>
      </w:r>
      <w:r w:rsidR="007370B0" w:rsidRPr="007370B0">
        <w:rPr>
          <w:sz w:val="28"/>
          <w:szCs w:val="28"/>
        </w:rPr>
        <w:t xml:space="preserve">рассеянного света </w:t>
      </w:r>
      <w:r w:rsidR="00D4011E" w:rsidRPr="007370B0">
        <w:rPr>
          <w:sz w:val="28"/>
          <w:szCs w:val="28"/>
        </w:rPr>
        <w:t>вследствие</w:t>
      </w:r>
      <w:r w:rsidR="007370B0">
        <w:rPr>
          <w:sz w:val="28"/>
          <w:szCs w:val="28"/>
        </w:rPr>
        <w:t xml:space="preserve"> образования воды или льда на </w:t>
      </w:r>
      <w:r w:rsidR="00D4011E">
        <w:rPr>
          <w:sz w:val="28"/>
          <w:szCs w:val="28"/>
        </w:rPr>
        <w:t>поверхности зеркала.</w:t>
      </w:r>
    </w:p>
    <w:p w:rsidR="007370B0" w:rsidRDefault="007370B0" w:rsidP="007370B0">
      <w:pPr>
        <w:widowControl w:val="0"/>
        <w:spacing w:line="360" w:lineRule="auto"/>
        <w:jc w:val="both"/>
        <w:rPr>
          <w:sz w:val="28"/>
          <w:szCs w:val="28"/>
        </w:rPr>
      </w:pPr>
    </w:p>
    <w:p w:rsidR="007370B0" w:rsidRDefault="00BA24A0" w:rsidP="007370B0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00325" cy="205168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1E" w:rsidRPr="00D4011E" w:rsidRDefault="00831F12" w:rsidP="007370B0">
      <w:pPr>
        <w:widowControl w:val="0"/>
        <w:spacing w:line="360" w:lineRule="auto"/>
        <w:jc w:val="center"/>
        <w:rPr>
          <w:szCs w:val="28"/>
        </w:rPr>
      </w:pPr>
      <w:r w:rsidRPr="002B3A8F">
        <w:rPr>
          <w:szCs w:val="28"/>
        </w:rPr>
        <w:t>Рис</w:t>
      </w:r>
      <w:r w:rsidR="00736DF5" w:rsidRPr="002B3A8F">
        <w:rPr>
          <w:szCs w:val="28"/>
        </w:rPr>
        <w:t xml:space="preserve">унок </w:t>
      </w:r>
      <w:r w:rsidRPr="002B3A8F">
        <w:rPr>
          <w:szCs w:val="28"/>
        </w:rPr>
        <w:t>2</w:t>
      </w:r>
      <w:r w:rsidR="00736DF5" w:rsidRPr="002B3A8F">
        <w:rPr>
          <w:szCs w:val="28"/>
        </w:rPr>
        <w:t xml:space="preserve"> –</w:t>
      </w:r>
      <w:r w:rsidR="00D4011E" w:rsidRPr="00D4011E">
        <w:rPr>
          <w:szCs w:val="28"/>
        </w:rPr>
        <w:t xml:space="preserve"> Схема светочувствительного элемента гигрометра точки росы</w:t>
      </w:r>
    </w:p>
    <w:p w:rsidR="00D4011E" w:rsidRDefault="00D4011E" w:rsidP="007370B0">
      <w:pPr>
        <w:widowControl w:val="0"/>
        <w:spacing w:line="360" w:lineRule="auto"/>
        <w:jc w:val="both"/>
        <w:rPr>
          <w:sz w:val="28"/>
          <w:szCs w:val="28"/>
        </w:rPr>
      </w:pPr>
    </w:p>
    <w:p w:rsidR="00667750" w:rsidRDefault="007370B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370B0">
        <w:rPr>
          <w:sz w:val="28"/>
          <w:szCs w:val="28"/>
        </w:rPr>
        <w:t>Каждый фотоприёмник имеет собственную сист</w:t>
      </w:r>
      <w:r>
        <w:rPr>
          <w:sz w:val="28"/>
          <w:szCs w:val="28"/>
        </w:rPr>
        <w:t>ему оптических линз</w:t>
      </w:r>
      <w:r w:rsidR="007136E0">
        <w:rPr>
          <w:sz w:val="28"/>
          <w:szCs w:val="28"/>
        </w:rPr>
        <w:t> </w:t>
      </w:r>
      <w:r>
        <w:rPr>
          <w:sz w:val="28"/>
          <w:szCs w:val="28"/>
        </w:rPr>
        <w:t xml:space="preserve">(9) и (10). </w:t>
      </w:r>
      <w:r w:rsidRPr="007370B0">
        <w:rPr>
          <w:sz w:val="28"/>
          <w:szCs w:val="28"/>
        </w:rPr>
        <w:t>Выходные сигналы каждого фотоприёмника сравниваются, а</w:t>
      </w:r>
      <w:r w:rsidR="004107BA">
        <w:rPr>
          <w:sz w:val="28"/>
          <w:szCs w:val="28"/>
        </w:rPr>
        <w:t> </w:t>
      </w:r>
      <w:r w:rsidRPr="007370B0">
        <w:rPr>
          <w:sz w:val="28"/>
          <w:szCs w:val="28"/>
        </w:rPr>
        <w:t>затем используются для</w:t>
      </w:r>
      <w:r>
        <w:rPr>
          <w:sz w:val="28"/>
          <w:szCs w:val="28"/>
        </w:rPr>
        <w:t xml:space="preserve"> </w:t>
      </w:r>
      <w:r w:rsidRPr="007370B0">
        <w:rPr>
          <w:sz w:val="28"/>
          <w:szCs w:val="28"/>
        </w:rPr>
        <w:t>управления термоэлектрической батареей Пельтье</w:t>
      </w:r>
      <w:r w:rsidR="004107BA">
        <w:rPr>
          <w:sz w:val="28"/>
          <w:szCs w:val="28"/>
        </w:rPr>
        <w:t> </w:t>
      </w:r>
      <w:r w:rsidRPr="007370B0">
        <w:rPr>
          <w:sz w:val="28"/>
          <w:szCs w:val="28"/>
        </w:rPr>
        <w:t>(11). В зависимости от результата</w:t>
      </w:r>
      <w:r>
        <w:rPr>
          <w:sz w:val="28"/>
          <w:szCs w:val="28"/>
        </w:rPr>
        <w:t xml:space="preserve"> </w:t>
      </w:r>
      <w:r w:rsidRPr="007370B0">
        <w:rPr>
          <w:sz w:val="28"/>
          <w:szCs w:val="28"/>
        </w:rPr>
        <w:t>сравнения система управления дает команду термоэлектрической батарее (11) нагревать или</w:t>
      </w:r>
      <w:r>
        <w:rPr>
          <w:sz w:val="28"/>
          <w:szCs w:val="28"/>
        </w:rPr>
        <w:t xml:space="preserve"> </w:t>
      </w:r>
      <w:r w:rsidRPr="007370B0">
        <w:rPr>
          <w:sz w:val="28"/>
          <w:szCs w:val="28"/>
        </w:rPr>
        <w:t>охлаждать зеркало (3), чтобы поддерживать необходимую толщину слоя конденсата на</w:t>
      </w:r>
      <w:r>
        <w:rPr>
          <w:sz w:val="28"/>
          <w:szCs w:val="28"/>
        </w:rPr>
        <w:t xml:space="preserve"> </w:t>
      </w:r>
      <w:r w:rsidRPr="007370B0">
        <w:rPr>
          <w:sz w:val="28"/>
          <w:szCs w:val="28"/>
        </w:rPr>
        <w:t>поверхности</w:t>
      </w:r>
      <w:r w:rsidR="005342FD">
        <w:rPr>
          <w:sz w:val="28"/>
          <w:szCs w:val="28"/>
        </w:rPr>
        <w:t xml:space="preserve"> зеркала</w:t>
      </w:r>
      <w:r w:rsidRPr="007370B0">
        <w:rPr>
          <w:sz w:val="28"/>
          <w:szCs w:val="28"/>
        </w:rPr>
        <w:t>. Температура зеркала определяется платиновым термометром</w:t>
      </w:r>
      <w:r w:rsidR="0006338A">
        <w:rPr>
          <w:sz w:val="28"/>
          <w:szCs w:val="28"/>
        </w:rPr>
        <w:t xml:space="preserve"> </w:t>
      </w:r>
      <w:r w:rsidR="00A96285">
        <w:rPr>
          <w:sz w:val="28"/>
          <w:szCs w:val="28"/>
        </w:rPr>
        <w:t>с</w:t>
      </w:r>
      <w:r w:rsidRPr="007370B0">
        <w:rPr>
          <w:sz w:val="28"/>
          <w:szCs w:val="28"/>
        </w:rPr>
        <w:t>оп</w:t>
      </w:r>
      <w:r w:rsidR="00D4011E">
        <w:rPr>
          <w:sz w:val="28"/>
          <w:szCs w:val="28"/>
        </w:rPr>
        <w:t xml:space="preserve">ротивления </w:t>
      </w:r>
      <w:r w:rsidRPr="007370B0">
        <w:rPr>
          <w:sz w:val="28"/>
          <w:szCs w:val="28"/>
        </w:rPr>
        <w:t>(12), встроенным в зеркало. «Горя</w:t>
      </w:r>
      <w:r>
        <w:rPr>
          <w:sz w:val="28"/>
          <w:szCs w:val="28"/>
        </w:rPr>
        <w:t xml:space="preserve">чая» сторона термоэлектрической </w:t>
      </w:r>
      <w:r w:rsidRPr="007370B0">
        <w:rPr>
          <w:sz w:val="28"/>
          <w:szCs w:val="28"/>
        </w:rPr>
        <w:t>батареи Пельтье соединена с вспомогательной системой охлаждения посредством</w:t>
      </w:r>
      <w:r>
        <w:rPr>
          <w:sz w:val="28"/>
          <w:szCs w:val="28"/>
        </w:rPr>
        <w:t xml:space="preserve"> </w:t>
      </w:r>
      <w:r w:rsidRPr="007370B0">
        <w:rPr>
          <w:sz w:val="28"/>
          <w:szCs w:val="28"/>
        </w:rPr>
        <w:t>теплообменника (13). Система охлаждения отводит тепло от термоэлектрической батареи,</w:t>
      </w:r>
      <w:r>
        <w:rPr>
          <w:sz w:val="28"/>
          <w:szCs w:val="28"/>
        </w:rPr>
        <w:t xml:space="preserve"> </w:t>
      </w:r>
      <w:r w:rsidRPr="007370B0">
        <w:rPr>
          <w:sz w:val="28"/>
          <w:szCs w:val="28"/>
        </w:rPr>
        <w:t>охлаждая ее до необходимой температуры.</w:t>
      </w:r>
    </w:p>
    <w:p w:rsidR="00E21D5E" w:rsidRPr="005A4256" w:rsidRDefault="00E21D5E" w:rsidP="00E21D5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Пробу газа медицинского</w:t>
      </w:r>
      <w:r w:rsidRPr="00E21D5E">
        <w:rPr>
          <w:noProof/>
          <w:sz w:val="28"/>
          <w:szCs w:val="28"/>
        </w:rPr>
        <w:t xml:space="preserve"> отбирают, непосредственно присоединяя прибор к источнику анализируемого газа.</w:t>
      </w:r>
      <w:r>
        <w:rPr>
          <w:noProof/>
          <w:sz w:val="28"/>
          <w:szCs w:val="28"/>
        </w:rPr>
        <w:t xml:space="preserve"> </w:t>
      </w:r>
      <w:r w:rsidRPr="00E21D5E">
        <w:rPr>
          <w:noProof/>
          <w:sz w:val="28"/>
          <w:szCs w:val="28"/>
        </w:rPr>
        <w:t>В пробоотборных линиях не должно быть конденсации паров и их десорбции со стенок пробоотборных линий. Для этого температура на пробоотборной линии должна быть не менее чем на 3</w:t>
      </w:r>
      <w:r w:rsidR="00015DC2">
        <w:rPr>
          <w:sz w:val="28"/>
          <w:szCs w:val="28"/>
        </w:rPr>
        <w:t>°</w:t>
      </w:r>
      <w:r w:rsidRPr="00E21D5E">
        <w:rPr>
          <w:noProof/>
          <w:sz w:val="28"/>
          <w:szCs w:val="28"/>
        </w:rPr>
        <w:t xml:space="preserve">С выше предполагаемой температуры точки росы газа. Перед анализом пробоотборную линию и линию прибора продувают </w:t>
      </w:r>
      <w:r>
        <w:rPr>
          <w:noProof/>
          <w:sz w:val="28"/>
          <w:szCs w:val="28"/>
        </w:rPr>
        <w:t xml:space="preserve">не </w:t>
      </w:r>
      <w:r w:rsidR="00A62B34">
        <w:rPr>
          <w:noProof/>
          <w:sz w:val="28"/>
          <w:szCs w:val="28"/>
        </w:rPr>
        <w:t>менее</w:t>
      </w:r>
      <w:r w:rsidR="00B212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10 мин </w:t>
      </w:r>
      <w:r w:rsidRPr="00E21D5E">
        <w:rPr>
          <w:noProof/>
          <w:sz w:val="28"/>
          <w:szCs w:val="28"/>
        </w:rPr>
        <w:t xml:space="preserve">осушенным </w:t>
      </w:r>
      <w:r>
        <w:rPr>
          <w:noProof/>
          <w:sz w:val="28"/>
          <w:szCs w:val="28"/>
        </w:rPr>
        <w:t xml:space="preserve">испытуемым </w:t>
      </w:r>
      <w:r w:rsidRPr="00E21D5E">
        <w:rPr>
          <w:noProof/>
          <w:sz w:val="28"/>
          <w:szCs w:val="28"/>
        </w:rPr>
        <w:t xml:space="preserve">газом. При необходимости пробоотборную линию теплоизолируют или нагревают. </w:t>
      </w:r>
      <w:r w:rsidRPr="00E21D5E">
        <w:rPr>
          <w:sz w:val="28"/>
          <w:szCs w:val="28"/>
        </w:rPr>
        <w:t>В измерительную камеру гигрометра направляют поток и</w:t>
      </w:r>
      <w:r w:rsidR="00015DC2">
        <w:rPr>
          <w:sz w:val="28"/>
          <w:szCs w:val="28"/>
        </w:rPr>
        <w:t xml:space="preserve">спытуемого газа со скоростью </w:t>
      </w:r>
      <w:r w:rsidR="00DC42C6">
        <w:rPr>
          <w:sz w:val="28"/>
          <w:szCs w:val="28"/>
        </w:rPr>
        <w:t xml:space="preserve">               </w:t>
      </w:r>
      <w:r w:rsidR="00015DC2">
        <w:rPr>
          <w:sz w:val="28"/>
          <w:szCs w:val="28"/>
        </w:rPr>
        <w:lastRenderedPageBreak/>
        <w:t>1-</w:t>
      </w:r>
      <w:r w:rsidRPr="00E21D5E">
        <w:rPr>
          <w:sz w:val="28"/>
          <w:szCs w:val="28"/>
        </w:rPr>
        <w:t>3 дм</w:t>
      </w:r>
      <w:r w:rsidRPr="00E21D5E">
        <w:rPr>
          <w:sz w:val="28"/>
          <w:szCs w:val="28"/>
          <w:vertAlign w:val="superscript"/>
        </w:rPr>
        <w:t>3</w:t>
      </w:r>
      <w:r w:rsidRPr="00E21D5E">
        <w:rPr>
          <w:sz w:val="28"/>
          <w:szCs w:val="28"/>
        </w:rPr>
        <w:t>/мин, измеренной при атмосферном давлении при полностью открытом впускном вентиле гигрометра. Скорость регулируют выпускным вентилем так, чтобы давление в измерительной камере соответствовало давлению в контролируемой системе.</w:t>
      </w:r>
      <w:r>
        <w:rPr>
          <w:sz w:val="28"/>
          <w:szCs w:val="28"/>
        </w:rPr>
        <w:t xml:space="preserve"> </w:t>
      </w:r>
      <w:r w:rsidRPr="00E21D5E">
        <w:rPr>
          <w:noProof/>
          <w:sz w:val="28"/>
          <w:szCs w:val="28"/>
        </w:rPr>
        <w:t>Поток испытуемого газа пропускают</w:t>
      </w:r>
      <w:r w:rsidRPr="00076A6C">
        <w:rPr>
          <w:noProof/>
          <w:sz w:val="28"/>
          <w:szCs w:val="28"/>
        </w:rPr>
        <w:t xml:space="preserve"> через </w:t>
      </w:r>
      <w:r>
        <w:rPr>
          <w:noProof/>
          <w:sz w:val="28"/>
          <w:szCs w:val="28"/>
        </w:rPr>
        <w:t>генератор точки росы</w:t>
      </w:r>
      <w:r w:rsidRPr="00076A6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 регистрируют показатели прибора</w:t>
      </w:r>
      <w:r w:rsidRPr="00076A6C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A21D7B" w:rsidRPr="00E21D5E">
        <w:rPr>
          <w:noProof/>
          <w:sz w:val="28"/>
          <w:szCs w:val="28"/>
        </w:rPr>
        <w:t>Предел допускаемой абсол</w:t>
      </w:r>
      <w:r w:rsidR="006B035F">
        <w:rPr>
          <w:noProof/>
          <w:sz w:val="28"/>
          <w:szCs w:val="28"/>
        </w:rPr>
        <w:t>ю</w:t>
      </w:r>
      <w:r w:rsidR="00A21D7B" w:rsidRPr="00E21D5E">
        <w:rPr>
          <w:noProof/>
          <w:sz w:val="28"/>
          <w:szCs w:val="28"/>
        </w:rPr>
        <w:t>тной погрешности ±</w:t>
      </w:r>
      <w:r w:rsidR="00A21D7B" w:rsidRPr="00831F12">
        <w:rPr>
          <w:noProof/>
          <w:sz w:val="28"/>
          <w:szCs w:val="28"/>
        </w:rPr>
        <w:t>2</w:t>
      </w:r>
      <w:r w:rsidR="00015DC2">
        <w:rPr>
          <w:noProof/>
          <w:sz w:val="28"/>
          <w:szCs w:val="28"/>
          <w:vertAlign w:val="superscript"/>
        </w:rPr>
        <w:t> </w:t>
      </w:r>
      <w:r w:rsidR="00015DC2">
        <w:rPr>
          <w:sz w:val="28"/>
          <w:szCs w:val="28"/>
        </w:rPr>
        <w:t>°</w:t>
      </w:r>
      <w:r w:rsidR="00A21D7B" w:rsidRPr="00831F12">
        <w:rPr>
          <w:noProof/>
          <w:sz w:val="28"/>
          <w:szCs w:val="28"/>
        </w:rPr>
        <w:t xml:space="preserve">С. </w:t>
      </w:r>
      <w:r w:rsidRPr="00E21D5E">
        <w:rPr>
          <w:sz w:val="28"/>
          <w:szCs w:val="28"/>
        </w:rPr>
        <w:t xml:space="preserve">Концентрацию водяных паров в газе </w:t>
      </w:r>
      <w:r w:rsidRPr="00E21D5E">
        <w:rPr>
          <w:i/>
          <w:iCs/>
          <w:sz w:val="28"/>
          <w:szCs w:val="28"/>
        </w:rPr>
        <w:t xml:space="preserve">(W) </w:t>
      </w:r>
      <w:r w:rsidRPr="00E21D5E">
        <w:rPr>
          <w:sz w:val="28"/>
          <w:szCs w:val="28"/>
        </w:rPr>
        <w:t xml:space="preserve">при температуре 20 </w:t>
      </w:r>
      <w:r w:rsidR="00015DC2">
        <w:rPr>
          <w:sz w:val="28"/>
          <w:szCs w:val="28"/>
        </w:rPr>
        <w:t>°</w:t>
      </w:r>
      <w:r w:rsidRPr="00E21D5E">
        <w:rPr>
          <w:sz w:val="28"/>
          <w:szCs w:val="28"/>
        </w:rPr>
        <w:t>C и давлении 101,325 кПа в г/м</w:t>
      </w:r>
      <w:r w:rsidRPr="00E21D5E">
        <w:rPr>
          <w:sz w:val="28"/>
          <w:szCs w:val="28"/>
          <w:vertAlign w:val="superscript"/>
        </w:rPr>
        <w:t>3</w:t>
      </w:r>
      <w:r w:rsidRPr="00E21D5E">
        <w:rPr>
          <w:sz w:val="28"/>
          <w:szCs w:val="28"/>
        </w:rPr>
        <w:t xml:space="preserve"> вычисляют по формуле</w:t>
      </w:r>
      <w:r w:rsidRPr="00831F12">
        <w:rPr>
          <w:sz w:val="28"/>
          <w:szCs w:val="28"/>
        </w:rPr>
        <w:t>:</w:t>
      </w:r>
    </w:p>
    <w:p w:rsidR="00831F12" w:rsidRPr="005A4256" w:rsidRDefault="00831F12" w:rsidP="00E21D5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21D5E" w:rsidRPr="00831F12" w:rsidRDefault="00BA24A0" w:rsidP="00E21D5E">
      <w:pPr>
        <w:widowControl w:val="0"/>
        <w:spacing w:line="360" w:lineRule="auto"/>
        <w:ind w:firstLine="708"/>
        <w:jc w:val="both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W=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 ×101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,325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P</m:t>
                  </m:r>
                </m:den>
              </m:f>
            </m:e>
            <m:sup/>
          </m:sSup>
          <m:r>
            <w:rPr>
              <w:rFonts w:ascii="Cambria Math" w:hAnsi="Cambria Math"/>
              <w:noProof/>
              <w:sz w:val="28"/>
              <w:szCs w:val="28"/>
            </w:rPr>
            <m:t>+B,</m:t>
          </m:r>
        </m:oMath>
      </m:oMathPara>
    </w:p>
    <w:p w:rsidR="00831F12" w:rsidRPr="00831F12" w:rsidRDefault="00831F12" w:rsidP="00E21D5E">
      <w:pPr>
        <w:widowControl w:val="0"/>
        <w:spacing w:line="360" w:lineRule="auto"/>
        <w:ind w:firstLine="708"/>
        <w:jc w:val="both"/>
        <w:rPr>
          <w:noProof/>
          <w:sz w:val="28"/>
          <w:szCs w:val="28"/>
          <w:lang w:val="en-US"/>
        </w:rPr>
      </w:pPr>
    </w:p>
    <w:p w:rsidR="00E21D5E" w:rsidRPr="00E21D5E" w:rsidRDefault="00DC42C6" w:rsidP="00E21D5E">
      <w:pPr>
        <w:widowControl w:val="0"/>
        <w:spacing w:line="360" w:lineRule="auto"/>
        <w:jc w:val="both"/>
        <w:rPr>
          <w:noProof/>
          <w:sz w:val="32"/>
          <w:szCs w:val="28"/>
        </w:rPr>
      </w:pPr>
      <w:r>
        <w:rPr>
          <w:sz w:val="28"/>
        </w:rPr>
        <w:t>г</w:t>
      </w:r>
      <w:r w:rsidR="00E21D5E" w:rsidRPr="00E21D5E">
        <w:rPr>
          <w:sz w:val="28"/>
        </w:rPr>
        <w:t>де</w:t>
      </w:r>
      <w:r>
        <w:rPr>
          <w:sz w:val="28"/>
        </w:rPr>
        <w:t>:</w:t>
      </w:r>
      <w:r w:rsidR="00E21D5E" w:rsidRPr="00E21D5E">
        <w:rPr>
          <w:sz w:val="28"/>
        </w:rPr>
        <w:t xml:space="preserve"> </w:t>
      </w:r>
      <w:r w:rsidR="00E21D5E" w:rsidRPr="00E21D5E">
        <w:rPr>
          <w:i/>
          <w:iCs/>
          <w:sz w:val="28"/>
        </w:rPr>
        <w:t>А</w:t>
      </w:r>
      <w:r w:rsidR="00E21D5E" w:rsidRPr="00E21D5E">
        <w:rPr>
          <w:sz w:val="28"/>
        </w:rPr>
        <w:t xml:space="preserve"> - коэффициент зависимости содержания воды от давления водяного пара при измеренной температуре точки росы влаги;</w:t>
      </w:r>
    </w:p>
    <w:p w:rsidR="00E21D5E" w:rsidRPr="00E21D5E" w:rsidRDefault="00E21D5E" w:rsidP="00E21D5E">
      <w:pPr>
        <w:spacing w:line="360" w:lineRule="auto"/>
        <w:rPr>
          <w:sz w:val="28"/>
        </w:rPr>
      </w:pPr>
      <w:r w:rsidRPr="00E21D5E">
        <w:rPr>
          <w:sz w:val="28"/>
        </w:rPr>
        <w:t>101,325 - нормальное атмосферное давление, кПа;</w:t>
      </w:r>
    </w:p>
    <w:p w:rsidR="00E21D5E" w:rsidRPr="00E21D5E" w:rsidRDefault="00E21D5E" w:rsidP="00E21D5E">
      <w:pPr>
        <w:spacing w:line="360" w:lineRule="auto"/>
        <w:rPr>
          <w:sz w:val="28"/>
        </w:rPr>
      </w:pPr>
      <w:r w:rsidRPr="00E21D5E">
        <w:rPr>
          <w:i/>
          <w:iCs/>
          <w:sz w:val="28"/>
        </w:rPr>
        <w:t>P</w:t>
      </w:r>
      <w:r w:rsidRPr="00E21D5E">
        <w:rPr>
          <w:sz w:val="28"/>
        </w:rPr>
        <w:t xml:space="preserve"> - абсолютное давление испытуемого газа в измерительной камере, кПа;</w:t>
      </w:r>
    </w:p>
    <w:p w:rsidR="00831F12" w:rsidRPr="00831F12" w:rsidRDefault="00E21D5E" w:rsidP="00831F12">
      <w:pPr>
        <w:spacing w:line="360" w:lineRule="auto"/>
        <w:rPr>
          <w:sz w:val="28"/>
        </w:rPr>
      </w:pPr>
      <w:r w:rsidRPr="00E21D5E">
        <w:rPr>
          <w:i/>
          <w:iCs/>
          <w:sz w:val="28"/>
        </w:rPr>
        <w:t>В</w:t>
      </w:r>
      <w:r w:rsidRPr="00E21D5E">
        <w:rPr>
          <w:sz w:val="28"/>
        </w:rPr>
        <w:t xml:space="preserve"> - коэффициент зависимости содержания воды от температуры точки росы влаги и состава газа.</w:t>
      </w:r>
    </w:p>
    <w:p w:rsidR="002B3A8F" w:rsidRDefault="00E21D5E" w:rsidP="002B3A8F">
      <w:pPr>
        <w:spacing w:line="360" w:lineRule="auto"/>
        <w:ind w:firstLine="708"/>
        <w:jc w:val="both"/>
        <w:rPr>
          <w:sz w:val="28"/>
        </w:rPr>
      </w:pPr>
      <w:r w:rsidRPr="00E21D5E">
        <w:rPr>
          <w:sz w:val="28"/>
        </w:rPr>
        <w:t xml:space="preserve">Коэффициенты </w:t>
      </w:r>
      <w:r w:rsidRPr="00E21D5E">
        <w:rPr>
          <w:i/>
          <w:iCs/>
          <w:sz w:val="28"/>
        </w:rPr>
        <w:t xml:space="preserve">А </w:t>
      </w:r>
      <w:r w:rsidRPr="00E21D5E">
        <w:rPr>
          <w:sz w:val="28"/>
        </w:rPr>
        <w:t xml:space="preserve">и </w:t>
      </w:r>
      <w:r w:rsidRPr="00E21D5E">
        <w:rPr>
          <w:i/>
          <w:iCs/>
          <w:sz w:val="28"/>
        </w:rPr>
        <w:t xml:space="preserve">В </w:t>
      </w:r>
      <w:r w:rsidR="00015DC2">
        <w:rPr>
          <w:sz w:val="28"/>
        </w:rPr>
        <w:t>определяют по таблице</w:t>
      </w:r>
      <w:r w:rsidR="00831F12" w:rsidRPr="00831F12">
        <w:rPr>
          <w:sz w:val="28"/>
        </w:rPr>
        <w:t xml:space="preserve"> 1</w:t>
      </w:r>
      <w:r w:rsidRPr="00E21D5E">
        <w:rPr>
          <w:sz w:val="28"/>
        </w:rPr>
        <w:t xml:space="preserve">. </w:t>
      </w:r>
    </w:p>
    <w:p w:rsidR="00E21D5E" w:rsidRPr="00831F12" w:rsidRDefault="00E21D5E" w:rsidP="002B3A8F">
      <w:pPr>
        <w:spacing w:line="360" w:lineRule="auto"/>
        <w:ind w:firstLine="708"/>
        <w:jc w:val="both"/>
        <w:rPr>
          <w:sz w:val="28"/>
        </w:rPr>
      </w:pPr>
      <w:r w:rsidRPr="00E21D5E">
        <w:rPr>
          <w:sz w:val="28"/>
        </w:rPr>
        <w:t>Промежуточные значения коэффициентов находят интерполяцией.</w:t>
      </w:r>
    </w:p>
    <w:p w:rsidR="00831F12" w:rsidRPr="00015DC2" w:rsidRDefault="00831F12" w:rsidP="00B2129D">
      <w:pPr>
        <w:spacing w:before="100" w:beforeAutospacing="1" w:after="100" w:afterAutospacing="1"/>
      </w:pPr>
      <w:r w:rsidRPr="00015DC2">
        <w:rPr>
          <w:bCs/>
        </w:rPr>
        <w:t>Таблица 1</w:t>
      </w:r>
      <w:r w:rsidR="00B2129D" w:rsidRPr="00015DC2">
        <w:rPr>
          <w:bCs/>
        </w:rPr>
        <w:t xml:space="preserve"> – </w:t>
      </w:r>
      <w:r w:rsidRPr="00015DC2">
        <w:rPr>
          <w:b/>
          <w:bCs/>
        </w:rPr>
        <w:t>Значения коэффициентов А и В для газов средней плотности 0,7 кг/м</w:t>
      </w:r>
      <w:r w:rsidRPr="00015DC2">
        <w:rPr>
          <w:b/>
          <w:bCs/>
          <w:vertAlign w:val="superscript"/>
        </w:rPr>
        <w:t>3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5"/>
        <w:gridCol w:w="937"/>
        <w:gridCol w:w="937"/>
        <w:gridCol w:w="2531"/>
        <w:gridCol w:w="1031"/>
        <w:gridCol w:w="1031"/>
      </w:tblGrid>
      <w:tr w:rsidR="00831F12" w:rsidTr="00831F12">
        <w:trPr>
          <w:tblHeader/>
          <w:tblCellSpacing w:w="0" w:type="dxa"/>
          <w:jc w:val="center"/>
        </w:trPr>
        <w:tc>
          <w:tcPr>
            <w:tcW w:w="1400" w:type="pct"/>
            <w:shd w:val="clear" w:color="auto" w:fill="FFFFFF"/>
            <w:vAlign w:val="center"/>
            <w:hideMark/>
          </w:tcPr>
          <w:p w:rsidR="00B2129D" w:rsidRDefault="00831F12" w:rsidP="00B2129D">
            <w:pPr>
              <w:jc w:val="center"/>
            </w:pPr>
            <w:bookmarkStart w:id="0" w:name="i148606"/>
            <w:r>
              <w:t xml:space="preserve">Температура </w:t>
            </w:r>
          </w:p>
          <w:p w:rsidR="00831F12" w:rsidRDefault="00831F12" w:rsidP="00B2129D">
            <w:pPr>
              <w:jc w:val="center"/>
            </w:pPr>
            <w:r>
              <w:t xml:space="preserve">точки росы, </w:t>
            </w:r>
            <w:bookmarkEnd w:id="0"/>
            <w:r>
              <w:t>°С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31F12" w:rsidRDefault="00831F12" w:rsidP="00B2129D">
            <w:pPr>
              <w:jc w:val="center"/>
            </w:pPr>
            <w:r>
              <w:rPr>
                <w:i/>
                <w:iCs/>
              </w:rPr>
              <w:t>А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31F12" w:rsidRDefault="00831F12" w:rsidP="00B2129D">
            <w:pPr>
              <w:jc w:val="center"/>
            </w:pPr>
            <w:r>
              <w:rPr>
                <w:i/>
                <w:iCs/>
              </w:rPr>
              <w:t>В</w:t>
            </w:r>
          </w:p>
        </w:tc>
        <w:tc>
          <w:tcPr>
            <w:tcW w:w="1350" w:type="pct"/>
            <w:shd w:val="clear" w:color="auto" w:fill="FFFFFF"/>
            <w:vAlign w:val="center"/>
            <w:hideMark/>
          </w:tcPr>
          <w:p w:rsidR="00B2129D" w:rsidRDefault="00831F12" w:rsidP="00B2129D">
            <w:pPr>
              <w:jc w:val="center"/>
            </w:pPr>
            <w:r>
              <w:t xml:space="preserve">Температура </w:t>
            </w:r>
          </w:p>
          <w:p w:rsidR="00831F12" w:rsidRDefault="00831F12" w:rsidP="00B2129D">
            <w:pPr>
              <w:jc w:val="center"/>
            </w:pPr>
            <w:r>
              <w:t>точки росы, °С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831F12" w:rsidRDefault="00831F12" w:rsidP="00B2129D">
            <w:pPr>
              <w:jc w:val="center"/>
            </w:pPr>
            <w:r>
              <w:rPr>
                <w:i/>
                <w:iCs/>
              </w:rPr>
              <w:t>А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831F12" w:rsidRDefault="00831F12" w:rsidP="00B2129D">
            <w:pPr>
              <w:jc w:val="center"/>
            </w:pPr>
            <w:r>
              <w:rPr>
                <w:i/>
                <w:iCs/>
              </w:rPr>
              <w:t>В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-40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0,1451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0,00347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</w:rPr>
              <w:t>+</w:t>
            </w:r>
            <w:r>
              <w:t>2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5,400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0,04610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-38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0,1780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0,00402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+4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6,225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0,05150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-36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0,2189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0,00465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+6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7,150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0,05710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-34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0,2670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0,00538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+8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8,200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0,06300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-32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0,3235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0,00623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+10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9,390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0,06960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-30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0,3910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0,00710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+12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10,72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0,07670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-28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0,4715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0,00806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+14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12,39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0,08550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-26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0,5660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0,00921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+16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13,94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0,09300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-24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0,6775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0,01043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+18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15,75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0,1020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-22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0,8090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0,01168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+20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17,87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0,1120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-20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0,9600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0,01310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+22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20,15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0,1227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-18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1,1440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0,01510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+24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22,80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0,1343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lastRenderedPageBreak/>
              <w:t>-16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1,350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0,01705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+26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25,50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0,1463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-14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1,590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0,01927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+28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28,70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0,1595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-12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1,868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0,02155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+30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32,30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0,1710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-10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2,188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0,02290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+32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36,10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0,1895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-8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2,550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0,02710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+34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40,50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0,2070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-6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2,990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0,03035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+36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45,20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0,2240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-4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3,480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0,03380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+38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50,80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0,2425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-2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4,030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0,03770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+40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56,25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0,2630</w:t>
            </w:r>
          </w:p>
        </w:tc>
      </w:tr>
      <w:tr w:rsidR="00831F12" w:rsidTr="00831F12">
        <w:trPr>
          <w:tblCellSpacing w:w="0" w:type="dxa"/>
          <w:jc w:val="center"/>
        </w:trPr>
        <w:tc>
          <w:tcPr>
            <w:tcW w:w="14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4,670</w:t>
            </w:r>
          </w:p>
        </w:tc>
        <w:tc>
          <w:tcPr>
            <w:tcW w:w="50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0,04180</w:t>
            </w:r>
          </w:p>
        </w:tc>
        <w:tc>
          <w:tcPr>
            <w:tcW w:w="13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831F12" w:rsidRDefault="00831F12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:rsidR="00831F12" w:rsidRPr="00E21D5E" w:rsidRDefault="00831F12" w:rsidP="00831F12">
      <w:pPr>
        <w:spacing w:line="360" w:lineRule="auto"/>
        <w:ind w:firstLine="708"/>
      </w:pPr>
    </w:p>
    <w:p w:rsidR="00031334" w:rsidRDefault="00873C95" w:rsidP="00873C9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31F12">
        <w:rPr>
          <w:b/>
          <w:noProof/>
          <w:sz w:val="28"/>
        </w:rPr>
        <w:t xml:space="preserve">4. </w:t>
      </w:r>
      <w:r w:rsidR="00831F12" w:rsidRPr="00831F12">
        <w:rPr>
          <w:b/>
          <w:noProof/>
          <w:sz w:val="28"/>
        </w:rPr>
        <w:t>Определение воды</w:t>
      </w:r>
      <w:r w:rsidR="00031334" w:rsidRPr="00831F12">
        <w:rPr>
          <w:b/>
          <w:noProof/>
          <w:sz w:val="28"/>
        </w:rPr>
        <w:t xml:space="preserve"> </w:t>
      </w:r>
      <w:r w:rsidR="00831F12" w:rsidRPr="00831F12">
        <w:rPr>
          <w:b/>
          <w:sz w:val="28"/>
          <w:szCs w:val="28"/>
        </w:rPr>
        <w:t xml:space="preserve">в газах медицинских </w:t>
      </w:r>
      <w:r w:rsidR="00831F12" w:rsidRPr="00831F12">
        <w:rPr>
          <w:b/>
          <w:noProof/>
          <w:sz w:val="28"/>
        </w:rPr>
        <w:t>с помощью индикаторн</w:t>
      </w:r>
      <w:r w:rsidR="00B2129D">
        <w:rPr>
          <w:b/>
          <w:noProof/>
          <w:sz w:val="28"/>
        </w:rPr>
        <w:t>ых</w:t>
      </w:r>
      <w:r w:rsidR="00831F12" w:rsidRPr="00831F12">
        <w:rPr>
          <w:b/>
          <w:noProof/>
          <w:sz w:val="28"/>
        </w:rPr>
        <w:t xml:space="preserve"> труб</w:t>
      </w:r>
      <w:r w:rsidR="00B2129D">
        <w:rPr>
          <w:b/>
          <w:noProof/>
          <w:sz w:val="28"/>
        </w:rPr>
        <w:t>ок</w:t>
      </w:r>
      <w:r w:rsidR="00831F12" w:rsidRPr="00831F12">
        <w:rPr>
          <w:sz w:val="28"/>
          <w:szCs w:val="28"/>
        </w:rPr>
        <w:t xml:space="preserve"> </w:t>
      </w:r>
    </w:p>
    <w:p w:rsidR="001C76F6" w:rsidRDefault="001C76F6" w:rsidP="001C76F6">
      <w:pPr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 xml:space="preserve">Метод основан на изменении окраски массы-наполнителя индикаторных трубок при взаимодействии с определяемым компонентом в анализируемой пробе и измерении длины прореагировавшего слоя. </w:t>
      </w:r>
    </w:p>
    <w:p w:rsidR="001C76F6" w:rsidRDefault="001C76F6" w:rsidP="001C76F6">
      <w:pPr>
        <w:spacing w:line="360" w:lineRule="auto"/>
        <w:ind w:firstLine="709"/>
        <w:jc w:val="both"/>
        <w:rPr>
          <w:sz w:val="28"/>
          <w:szCs w:val="28"/>
        </w:rPr>
      </w:pPr>
      <w:r w:rsidRPr="002B3053">
        <w:rPr>
          <w:sz w:val="28"/>
          <w:szCs w:val="28"/>
        </w:rPr>
        <w:t>Длина слоя, изменившего окраску, является функцией и мерой содержания определяемого компонента и объема отобранной на анализ пробы. Значение содержания определяемого компонента в анализируемой пробе определяется по шкале, нанесенной на индикаторную трубку.</w:t>
      </w:r>
      <w:r w:rsidRPr="0048380F">
        <w:rPr>
          <w:sz w:val="28"/>
          <w:szCs w:val="28"/>
        </w:rPr>
        <w:t xml:space="preserve"> </w:t>
      </w:r>
    </w:p>
    <w:p w:rsidR="001C76F6" w:rsidRPr="002B3053" w:rsidRDefault="001C76F6" w:rsidP="001C76F6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sz w:val="28"/>
          <w:lang w:eastAsia="en-US"/>
        </w:rPr>
        <w:t>Испытания проводят путем пропускания требуемого объема газа через индикаторную трубку. Длина окрашенного слоя или интенсивность измен</w:t>
      </w:r>
      <w:r>
        <w:rPr>
          <w:rFonts w:eastAsia="Calibri"/>
          <w:sz w:val="28"/>
          <w:lang w:eastAsia="en-US"/>
        </w:rPr>
        <w:t>ен</w:t>
      </w:r>
      <w:r w:rsidRPr="002B3053">
        <w:rPr>
          <w:rFonts w:eastAsia="Calibri"/>
          <w:sz w:val="28"/>
          <w:lang w:eastAsia="en-US"/>
        </w:rPr>
        <w:t xml:space="preserve">ия цвета на градуировочной шкале является функцией и мерой массовой концентрации определяемого компонента. Проверка индикаторных трубок проводится в соответствии с инструкциями изготовителя. </w:t>
      </w:r>
    </w:p>
    <w:p w:rsidR="001C76F6" w:rsidRDefault="001C76F6" w:rsidP="001C76F6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sz w:val="28"/>
          <w:lang w:eastAsia="en-US"/>
        </w:rPr>
        <w:t xml:space="preserve">Подготовка к измерению. Проводится согласно инструкциям изготовителя или следующим образом. Устройство для подачи газа подсоединяют к регулятору давления с игольчатым клапаном. Соединяют гибкий шланг трубки с Т- образным участком клапана и продувают систему (рисунок </w:t>
      </w:r>
      <w:r>
        <w:rPr>
          <w:rFonts w:eastAsia="Calibri"/>
          <w:sz w:val="28"/>
          <w:lang w:eastAsia="en-US"/>
        </w:rPr>
        <w:t>3</w:t>
      </w:r>
      <w:r w:rsidRPr="002B3053">
        <w:rPr>
          <w:rFonts w:eastAsia="Calibri"/>
          <w:sz w:val="28"/>
          <w:lang w:eastAsia="en-US"/>
        </w:rPr>
        <w:t xml:space="preserve">). </w:t>
      </w:r>
    </w:p>
    <w:p w:rsidR="001C76F6" w:rsidRDefault="001C76F6" w:rsidP="001C76F6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0637C4">
        <w:rPr>
          <w:rFonts w:eastAsia="Calibri"/>
          <w:noProof/>
          <w:sz w:val="28"/>
        </w:rPr>
        <w:lastRenderedPageBreak/>
        <w:drawing>
          <wp:inline distT="0" distB="0" distL="0" distR="0">
            <wp:extent cx="4243070" cy="2150745"/>
            <wp:effectExtent l="19050" t="0" r="5080" b="0"/>
            <wp:docPr id="5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F6" w:rsidRDefault="001C76F6" w:rsidP="001C76F6">
      <w:pPr>
        <w:jc w:val="center"/>
      </w:pPr>
      <w:r w:rsidRPr="000C3B10">
        <w:t xml:space="preserve">Рисунок </w:t>
      </w:r>
      <w:r>
        <w:t>3</w:t>
      </w:r>
      <w:r w:rsidRPr="00253B3E">
        <w:t xml:space="preserve"> –</w:t>
      </w:r>
      <w:r w:rsidRPr="000C3B10">
        <w:t xml:space="preserve"> </w:t>
      </w:r>
      <w:r>
        <w:t>Схема действия индикаторных трубок</w:t>
      </w:r>
      <w:r w:rsidRPr="000C3B10">
        <w:t xml:space="preserve"> </w:t>
      </w:r>
    </w:p>
    <w:p w:rsidR="001C76F6" w:rsidRDefault="001C76F6" w:rsidP="001C76F6">
      <w:pPr>
        <w:jc w:val="center"/>
      </w:pPr>
      <w:r w:rsidRPr="000C3B10">
        <w:t>1</w:t>
      </w:r>
      <w:r>
        <w:rPr>
          <w:color w:val="FF0000"/>
        </w:rPr>
        <w:t xml:space="preserve"> </w:t>
      </w:r>
      <w:r w:rsidRPr="00253B3E">
        <w:t>- п</w:t>
      </w:r>
      <w:r w:rsidRPr="000C3B10">
        <w:t>одача газа; 2</w:t>
      </w:r>
      <w:r>
        <w:rPr>
          <w:color w:val="FF0000"/>
        </w:rPr>
        <w:t xml:space="preserve"> </w:t>
      </w:r>
      <w:r w:rsidRPr="00253B3E">
        <w:t>- р</w:t>
      </w:r>
      <w:r w:rsidRPr="000C3B10">
        <w:t>егулятор давления; 3</w:t>
      </w:r>
      <w:r>
        <w:rPr>
          <w:color w:val="FF0000"/>
        </w:rPr>
        <w:t xml:space="preserve"> </w:t>
      </w:r>
      <w:r w:rsidRPr="00253B3E">
        <w:t>- и</w:t>
      </w:r>
      <w:r w:rsidRPr="000C3B10">
        <w:t>гольчатый клапан; 4</w:t>
      </w:r>
      <w:r>
        <w:rPr>
          <w:color w:val="FF0000"/>
        </w:rPr>
        <w:t xml:space="preserve"> </w:t>
      </w:r>
      <w:r w:rsidRPr="00253B3E">
        <w:t>-</w:t>
      </w:r>
      <w:r w:rsidRPr="000C3B10">
        <w:t xml:space="preserve"> T-образный участок; </w:t>
      </w:r>
      <w:r>
        <w:t xml:space="preserve">                   </w:t>
      </w:r>
      <w:r w:rsidRPr="000C3B10">
        <w:t>5</w:t>
      </w:r>
      <w:r>
        <w:rPr>
          <w:color w:val="FF0000"/>
        </w:rPr>
        <w:t xml:space="preserve"> </w:t>
      </w:r>
      <w:r w:rsidRPr="00253B3E">
        <w:t>- и</w:t>
      </w:r>
      <w:r w:rsidRPr="000C3B10">
        <w:t>ндикаторная трубка; 6</w:t>
      </w:r>
      <w:r>
        <w:rPr>
          <w:color w:val="FF0000"/>
        </w:rPr>
        <w:t xml:space="preserve"> </w:t>
      </w:r>
      <w:r w:rsidRPr="00253B3E">
        <w:t>- н</w:t>
      </w:r>
      <w:r w:rsidRPr="000C3B10">
        <w:t xml:space="preserve">асос для индикаторной трубки; </w:t>
      </w:r>
      <w:r>
        <w:t xml:space="preserve">                                                            </w:t>
      </w:r>
      <w:r w:rsidRPr="000C3B10">
        <w:t>7</w:t>
      </w:r>
      <w:r>
        <w:rPr>
          <w:color w:val="FF0000"/>
        </w:rPr>
        <w:t xml:space="preserve"> </w:t>
      </w:r>
      <w:r w:rsidRPr="00253B3E">
        <w:t>- о</w:t>
      </w:r>
      <w:r w:rsidRPr="000C3B10">
        <w:t>ткрытый ко</w:t>
      </w:r>
      <w:r>
        <w:t>нец для выхода газа в атмосферу</w:t>
      </w:r>
    </w:p>
    <w:p w:rsidR="001C76F6" w:rsidRDefault="001C76F6" w:rsidP="001C76F6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</w:p>
    <w:p w:rsidR="001C76F6" w:rsidRDefault="001C76F6" w:rsidP="001C76F6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</w:t>
      </w:r>
      <w:r w:rsidRPr="002B3053">
        <w:rPr>
          <w:rFonts w:eastAsia="Calibri"/>
          <w:sz w:val="28"/>
          <w:lang w:eastAsia="en-US"/>
        </w:rPr>
        <w:t xml:space="preserve">ткрытый конец индикаторный трубки </w:t>
      </w:r>
      <w:r>
        <w:rPr>
          <w:rFonts w:eastAsia="Calibri"/>
          <w:sz w:val="28"/>
          <w:lang w:eastAsia="en-US"/>
        </w:rPr>
        <w:t xml:space="preserve">присоединяют </w:t>
      </w:r>
      <w:r w:rsidRPr="002B3053">
        <w:rPr>
          <w:rFonts w:eastAsia="Calibri"/>
          <w:sz w:val="28"/>
          <w:lang w:eastAsia="en-US"/>
        </w:rPr>
        <w:t xml:space="preserve">к короткому концу шланга и регулируют насосом объем анализируемого газа, проходящего через трубку. Записывают значения, соответствующие длине окрашенного слоя или интенсивности цвета на градуировочной шкале. </w:t>
      </w:r>
    </w:p>
    <w:p w:rsidR="001C76F6" w:rsidRPr="002B3053" w:rsidRDefault="001C76F6" w:rsidP="001C76F6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B3053">
        <w:rPr>
          <w:rFonts w:eastAsia="Calibri"/>
          <w:sz w:val="28"/>
          <w:lang w:eastAsia="en-US"/>
        </w:rPr>
        <w:t xml:space="preserve">При отрицательном результате анализа индикаторная трубка должна быть проверена с помощью калибровочного газа, содержащего соответствующую примесь. </w:t>
      </w:r>
    </w:p>
    <w:p w:rsidR="00873C95" w:rsidRPr="002D243D" w:rsidRDefault="00F804F8" w:rsidP="00873C95">
      <w:pPr>
        <w:widowControl w:val="0"/>
        <w:spacing w:line="360" w:lineRule="auto"/>
        <w:ind w:firstLine="708"/>
        <w:jc w:val="both"/>
        <w:rPr>
          <w:noProof/>
          <w:sz w:val="28"/>
        </w:rPr>
      </w:pPr>
      <w:r w:rsidRPr="002D243D">
        <w:rPr>
          <w:noProof/>
          <w:sz w:val="28"/>
        </w:rPr>
        <w:t xml:space="preserve">Минимальная определяемая </w:t>
      </w:r>
      <w:r w:rsidR="00B2129D" w:rsidRPr="002D243D">
        <w:rPr>
          <w:noProof/>
          <w:sz w:val="28"/>
        </w:rPr>
        <w:t xml:space="preserve">    </w:t>
      </w:r>
      <w:r w:rsidRPr="002D243D">
        <w:rPr>
          <w:noProof/>
          <w:sz w:val="28"/>
        </w:rPr>
        <w:t xml:space="preserve">концентрация </w:t>
      </w:r>
      <w:r w:rsidR="00B2129D" w:rsidRPr="002D243D">
        <w:rPr>
          <w:noProof/>
          <w:sz w:val="28"/>
        </w:rPr>
        <w:t>–</w:t>
      </w:r>
      <w:r w:rsidRPr="002D243D">
        <w:rPr>
          <w:noProof/>
          <w:sz w:val="28"/>
        </w:rPr>
        <w:t xml:space="preserve"> 67 ppm или менее с относительным стандартным отклонением ±20 %.</w:t>
      </w:r>
    </w:p>
    <w:p w:rsidR="005A4256" w:rsidRPr="002D243D" w:rsidRDefault="00854081" w:rsidP="00854081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2D243D">
        <w:rPr>
          <w:rFonts w:eastAsia="Calibri"/>
          <w:sz w:val="28"/>
          <w:lang w:eastAsia="en-US"/>
        </w:rPr>
        <w:t>Метод применим для оценки качества газа в нестационарных, полевых условиях.</w:t>
      </w:r>
    </w:p>
    <w:p w:rsidR="000E689C" w:rsidRPr="00B2716A" w:rsidRDefault="000E689C" w:rsidP="005A4256">
      <w:pPr>
        <w:widowControl w:val="0"/>
        <w:spacing w:line="360" w:lineRule="auto"/>
        <w:jc w:val="both"/>
        <w:rPr>
          <w:sz w:val="32"/>
          <w:szCs w:val="28"/>
        </w:rPr>
      </w:pPr>
    </w:p>
    <w:sectPr w:rsidR="000E689C" w:rsidRPr="00B2716A" w:rsidSect="000E689C">
      <w:headerReference w:type="default" r:id="rId12"/>
      <w:footerReference w:type="default" r:id="rId13"/>
      <w:footerReference w:type="first" r:id="rId14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10" w:rsidRDefault="004D1F10">
      <w:r>
        <w:separator/>
      </w:r>
    </w:p>
  </w:endnote>
  <w:endnote w:type="continuationSeparator" w:id="0">
    <w:p w:rsidR="004D1F10" w:rsidRDefault="004D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33" w:rsidRPr="003C4DFB" w:rsidRDefault="002057C4" w:rsidP="003C4DFB">
    <w:pPr>
      <w:pStyle w:val="a8"/>
      <w:jc w:val="center"/>
    </w:pPr>
    <w:r w:rsidRPr="003C4DFB">
      <w:rPr>
        <w:sz w:val="28"/>
        <w:szCs w:val="28"/>
      </w:rPr>
      <w:fldChar w:fldCharType="begin"/>
    </w:r>
    <w:r w:rsidR="001A1433" w:rsidRPr="003C4DFB">
      <w:rPr>
        <w:sz w:val="28"/>
        <w:szCs w:val="28"/>
      </w:rPr>
      <w:instrText xml:space="preserve"> PAGE   \* MERGEFORMAT </w:instrText>
    </w:r>
    <w:r w:rsidRPr="003C4DFB">
      <w:rPr>
        <w:sz w:val="28"/>
        <w:szCs w:val="28"/>
      </w:rPr>
      <w:fldChar w:fldCharType="separate"/>
    </w:r>
    <w:r w:rsidR="00956B3A">
      <w:rPr>
        <w:noProof/>
        <w:sz w:val="28"/>
        <w:szCs w:val="28"/>
      </w:rPr>
      <w:t>2</w:t>
    </w:r>
    <w:r w:rsidRPr="003C4DFB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33" w:rsidRPr="003C4DFB" w:rsidRDefault="001A1433" w:rsidP="003C4DFB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10" w:rsidRDefault="004D1F10">
      <w:r>
        <w:separator/>
      </w:r>
    </w:p>
  </w:footnote>
  <w:footnote w:type="continuationSeparator" w:id="0">
    <w:p w:rsidR="004D1F10" w:rsidRDefault="004D1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33" w:rsidRPr="001C2340" w:rsidRDefault="001A1433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17"/>
    <w:multiLevelType w:val="hybridMultilevel"/>
    <w:tmpl w:val="0A56CCAE"/>
    <w:lvl w:ilvl="0" w:tplc="E800F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906AA"/>
    <w:multiLevelType w:val="hybridMultilevel"/>
    <w:tmpl w:val="8FA41CB6"/>
    <w:lvl w:ilvl="0" w:tplc="34CCE1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500977"/>
    <w:multiLevelType w:val="multilevel"/>
    <w:tmpl w:val="A972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B28C9"/>
    <w:multiLevelType w:val="hybridMultilevel"/>
    <w:tmpl w:val="62222FA2"/>
    <w:lvl w:ilvl="0" w:tplc="E28475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E879CE"/>
    <w:multiLevelType w:val="hybridMultilevel"/>
    <w:tmpl w:val="8B12DB24"/>
    <w:lvl w:ilvl="0" w:tplc="F82084A0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617AD3"/>
    <w:multiLevelType w:val="hybridMultilevel"/>
    <w:tmpl w:val="ADC01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B54D79"/>
    <w:multiLevelType w:val="hybridMultilevel"/>
    <w:tmpl w:val="B4F8357A"/>
    <w:lvl w:ilvl="0" w:tplc="58788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8550A5"/>
    <w:multiLevelType w:val="hybridMultilevel"/>
    <w:tmpl w:val="3CD2B288"/>
    <w:lvl w:ilvl="0" w:tplc="34CCE1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653A8"/>
    <w:multiLevelType w:val="hybridMultilevel"/>
    <w:tmpl w:val="7764DA82"/>
    <w:lvl w:ilvl="0" w:tplc="4DDED074">
      <w:start w:val="1"/>
      <w:numFmt w:val="decimal"/>
      <w:lvlText w:val="%1)"/>
      <w:lvlJc w:val="left"/>
      <w:pPr>
        <w:ind w:left="6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9">
    <w:nsid w:val="70FF45C0"/>
    <w:multiLevelType w:val="hybridMultilevel"/>
    <w:tmpl w:val="CC3C9EDC"/>
    <w:lvl w:ilvl="0" w:tplc="7E5C1A12">
      <w:start w:val="1"/>
      <w:numFmt w:val="decimal"/>
      <w:lvlText w:val="%1)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1F"/>
    <w:rsid w:val="00000633"/>
    <w:rsid w:val="0000484E"/>
    <w:rsid w:val="00013207"/>
    <w:rsid w:val="00014BA5"/>
    <w:rsid w:val="00015DC2"/>
    <w:rsid w:val="00021527"/>
    <w:rsid w:val="0002709E"/>
    <w:rsid w:val="00031067"/>
    <w:rsid w:val="00031227"/>
    <w:rsid w:val="00031334"/>
    <w:rsid w:val="000347A3"/>
    <w:rsid w:val="000362C7"/>
    <w:rsid w:val="00043318"/>
    <w:rsid w:val="0004458D"/>
    <w:rsid w:val="00045C40"/>
    <w:rsid w:val="0004680D"/>
    <w:rsid w:val="00047AED"/>
    <w:rsid w:val="00051F75"/>
    <w:rsid w:val="00053ABA"/>
    <w:rsid w:val="00062257"/>
    <w:rsid w:val="000628C2"/>
    <w:rsid w:val="0006338A"/>
    <w:rsid w:val="000643EB"/>
    <w:rsid w:val="0006735A"/>
    <w:rsid w:val="00067F27"/>
    <w:rsid w:val="00073D00"/>
    <w:rsid w:val="00074192"/>
    <w:rsid w:val="0007683F"/>
    <w:rsid w:val="00076A6C"/>
    <w:rsid w:val="0008072B"/>
    <w:rsid w:val="00080A5E"/>
    <w:rsid w:val="00080E87"/>
    <w:rsid w:val="000825CB"/>
    <w:rsid w:val="00094748"/>
    <w:rsid w:val="000A18DD"/>
    <w:rsid w:val="000B37DA"/>
    <w:rsid w:val="000B4D8E"/>
    <w:rsid w:val="000B7B65"/>
    <w:rsid w:val="000C3B47"/>
    <w:rsid w:val="000D6B48"/>
    <w:rsid w:val="000D6DBB"/>
    <w:rsid w:val="000D74CE"/>
    <w:rsid w:val="000E1392"/>
    <w:rsid w:val="000E57E1"/>
    <w:rsid w:val="000E689C"/>
    <w:rsid w:val="000E7186"/>
    <w:rsid w:val="000E74A5"/>
    <w:rsid w:val="000F312C"/>
    <w:rsid w:val="00100C75"/>
    <w:rsid w:val="001107C3"/>
    <w:rsid w:val="00110882"/>
    <w:rsid w:val="001157CF"/>
    <w:rsid w:val="00116238"/>
    <w:rsid w:val="0011636F"/>
    <w:rsid w:val="00120DDA"/>
    <w:rsid w:val="00120E3D"/>
    <w:rsid w:val="0013430A"/>
    <w:rsid w:val="00137B7C"/>
    <w:rsid w:val="001448BA"/>
    <w:rsid w:val="0014709D"/>
    <w:rsid w:val="001474B2"/>
    <w:rsid w:val="00147860"/>
    <w:rsid w:val="00150467"/>
    <w:rsid w:val="0015165C"/>
    <w:rsid w:val="00157541"/>
    <w:rsid w:val="0016724B"/>
    <w:rsid w:val="00171B8A"/>
    <w:rsid w:val="0017573D"/>
    <w:rsid w:val="001812E2"/>
    <w:rsid w:val="00191C79"/>
    <w:rsid w:val="00193D18"/>
    <w:rsid w:val="00195FDE"/>
    <w:rsid w:val="00196808"/>
    <w:rsid w:val="00197C18"/>
    <w:rsid w:val="001A1433"/>
    <w:rsid w:val="001A3BC3"/>
    <w:rsid w:val="001A5C24"/>
    <w:rsid w:val="001A5C4B"/>
    <w:rsid w:val="001B04D2"/>
    <w:rsid w:val="001B0990"/>
    <w:rsid w:val="001B3AF2"/>
    <w:rsid w:val="001B70B5"/>
    <w:rsid w:val="001C1B3D"/>
    <w:rsid w:val="001C2340"/>
    <w:rsid w:val="001C3127"/>
    <w:rsid w:val="001C3DE3"/>
    <w:rsid w:val="001C76F6"/>
    <w:rsid w:val="001D41AF"/>
    <w:rsid w:val="001D7752"/>
    <w:rsid w:val="001E0AF4"/>
    <w:rsid w:val="001E24EF"/>
    <w:rsid w:val="001F18F4"/>
    <w:rsid w:val="001F2A39"/>
    <w:rsid w:val="001F4637"/>
    <w:rsid w:val="00201800"/>
    <w:rsid w:val="002057C4"/>
    <w:rsid w:val="00206997"/>
    <w:rsid w:val="002112D3"/>
    <w:rsid w:val="0021275A"/>
    <w:rsid w:val="002147EF"/>
    <w:rsid w:val="00215A3D"/>
    <w:rsid w:val="00216CA3"/>
    <w:rsid w:val="002211BB"/>
    <w:rsid w:val="00223282"/>
    <w:rsid w:val="0022349D"/>
    <w:rsid w:val="00225BC7"/>
    <w:rsid w:val="00231D80"/>
    <w:rsid w:val="002359F5"/>
    <w:rsid w:val="002373EB"/>
    <w:rsid w:val="00240A8F"/>
    <w:rsid w:val="0024121F"/>
    <w:rsid w:val="00242373"/>
    <w:rsid w:val="00242EBD"/>
    <w:rsid w:val="002431B5"/>
    <w:rsid w:val="0024400B"/>
    <w:rsid w:val="002447FD"/>
    <w:rsid w:val="0025021E"/>
    <w:rsid w:val="0025059E"/>
    <w:rsid w:val="00252A1A"/>
    <w:rsid w:val="0025483D"/>
    <w:rsid w:val="0025792E"/>
    <w:rsid w:val="002609A7"/>
    <w:rsid w:val="00262912"/>
    <w:rsid w:val="00263FB0"/>
    <w:rsid w:val="00264999"/>
    <w:rsid w:val="00264DC5"/>
    <w:rsid w:val="00267097"/>
    <w:rsid w:val="00267210"/>
    <w:rsid w:val="00267266"/>
    <w:rsid w:val="002703CD"/>
    <w:rsid w:val="0027047D"/>
    <w:rsid w:val="002710E0"/>
    <w:rsid w:val="0027154D"/>
    <w:rsid w:val="0027487B"/>
    <w:rsid w:val="00274E80"/>
    <w:rsid w:val="002800A2"/>
    <w:rsid w:val="00281F02"/>
    <w:rsid w:val="0028455B"/>
    <w:rsid w:val="00284B0E"/>
    <w:rsid w:val="0028762D"/>
    <w:rsid w:val="002A19BB"/>
    <w:rsid w:val="002A2F2A"/>
    <w:rsid w:val="002A3FC5"/>
    <w:rsid w:val="002A4138"/>
    <w:rsid w:val="002A42CD"/>
    <w:rsid w:val="002A5E5E"/>
    <w:rsid w:val="002A6D83"/>
    <w:rsid w:val="002A7C5F"/>
    <w:rsid w:val="002B17C9"/>
    <w:rsid w:val="002B3A8F"/>
    <w:rsid w:val="002B6561"/>
    <w:rsid w:val="002B656B"/>
    <w:rsid w:val="002C1B44"/>
    <w:rsid w:val="002C3395"/>
    <w:rsid w:val="002C6950"/>
    <w:rsid w:val="002D0C3E"/>
    <w:rsid w:val="002D243D"/>
    <w:rsid w:val="002D26E3"/>
    <w:rsid w:val="002D4BE4"/>
    <w:rsid w:val="002D4E02"/>
    <w:rsid w:val="002D716D"/>
    <w:rsid w:val="002D7C58"/>
    <w:rsid w:val="002D7EC6"/>
    <w:rsid w:val="002E2C08"/>
    <w:rsid w:val="002E753B"/>
    <w:rsid w:val="002F2E29"/>
    <w:rsid w:val="002F4B7B"/>
    <w:rsid w:val="00302B64"/>
    <w:rsid w:val="00304EAA"/>
    <w:rsid w:val="0030517C"/>
    <w:rsid w:val="00320F03"/>
    <w:rsid w:val="00323275"/>
    <w:rsid w:val="003257A6"/>
    <w:rsid w:val="00327DC3"/>
    <w:rsid w:val="00330BB6"/>
    <w:rsid w:val="00331911"/>
    <w:rsid w:val="003343E1"/>
    <w:rsid w:val="00334F69"/>
    <w:rsid w:val="003367CA"/>
    <w:rsid w:val="0034715E"/>
    <w:rsid w:val="00352C56"/>
    <w:rsid w:val="00361EBB"/>
    <w:rsid w:val="003647AE"/>
    <w:rsid w:val="003669F9"/>
    <w:rsid w:val="00366F04"/>
    <w:rsid w:val="00367354"/>
    <w:rsid w:val="00370CA6"/>
    <w:rsid w:val="0037110D"/>
    <w:rsid w:val="003716F1"/>
    <w:rsid w:val="003765A5"/>
    <w:rsid w:val="00376A41"/>
    <w:rsid w:val="00377F1F"/>
    <w:rsid w:val="003846C3"/>
    <w:rsid w:val="003945AD"/>
    <w:rsid w:val="003A44C1"/>
    <w:rsid w:val="003A64FA"/>
    <w:rsid w:val="003A6E76"/>
    <w:rsid w:val="003B1A14"/>
    <w:rsid w:val="003B2C51"/>
    <w:rsid w:val="003C0E4A"/>
    <w:rsid w:val="003C13FC"/>
    <w:rsid w:val="003C4DFB"/>
    <w:rsid w:val="003C4E50"/>
    <w:rsid w:val="003C4FDC"/>
    <w:rsid w:val="003C53C4"/>
    <w:rsid w:val="003C5997"/>
    <w:rsid w:val="003C6C66"/>
    <w:rsid w:val="003C7848"/>
    <w:rsid w:val="003D0DF2"/>
    <w:rsid w:val="003D2539"/>
    <w:rsid w:val="003D2668"/>
    <w:rsid w:val="003D2CDE"/>
    <w:rsid w:val="003D43C2"/>
    <w:rsid w:val="003D446B"/>
    <w:rsid w:val="003D744B"/>
    <w:rsid w:val="003E2C1B"/>
    <w:rsid w:val="003E5BF2"/>
    <w:rsid w:val="003E5D97"/>
    <w:rsid w:val="003E5EA9"/>
    <w:rsid w:val="003F229E"/>
    <w:rsid w:val="003F418B"/>
    <w:rsid w:val="003F6234"/>
    <w:rsid w:val="003F7A94"/>
    <w:rsid w:val="0040036A"/>
    <w:rsid w:val="0040066D"/>
    <w:rsid w:val="004107BA"/>
    <w:rsid w:val="004108B1"/>
    <w:rsid w:val="00413632"/>
    <w:rsid w:val="00414FF4"/>
    <w:rsid w:val="00415205"/>
    <w:rsid w:val="0041531D"/>
    <w:rsid w:val="0041686D"/>
    <w:rsid w:val="00433F1D"/>
    <w:rsid w:val="004363BA"/>
    <w:rsid w:val="00437A00"/>
    <w:rsid w:val="00442282"/>
    <w:rsid w:val="00450A80"/>
    <w:rsid w:val="004528B9"/>
    <w:rsid w:val="0045361D"/>
    <w:rsid w:val="00453D85"/>
    <w:rsid w:val="004606C0"/>
    <w:rsid w:val="0046258A"/>
    <w:rsid w:val="00462D39"/>
    <w:rsid w:val="00464630"/>
    <w:rsid w:val="00465709"/>
    <w:rsid w:val="0047201B"/>
    <w:rsid w:val="00472B5E"/>
    <w:rsid w:val="00473967"/>
    <w:rsid w:val="00482342"/>
    <w:rsid w:val="004842BE"/>
    <w:rsid w:val="004860E6"/>
    <w:rsid w:val="0049035F"/>
    <w:rsid w:val="00494E1E"/>
    <w:rsid w:val="0049780F"/>
    <w:rsid w:val="004A26B6"/>
    <w:rsid w:val="004A4869"/>
    <w:rsid w:val="004B081F"/>
    <w:rsid w:val="004B122C"/>
    <w:rsid w:val="004B4525"/>
    <w:rsid w:val="004B6A3C"/>
    <w:rsid w:val="004C0908"/>
    <w:rsid w:val="004C1BB9"/>
    <w:rsid w:val="004C355A"/>
    <w:rsid w:val="004C60AC"/>
    <w:rsid w:val="004C66F5"/>
    <w:rsid w:val="004D028F"/>
    <w:rsid w:val="004D1326"/>
    <w:rsid w:val="004D1F10"/>
    <w:rsid w:val="004E08E5"/>
    <w:rsid w:val="004E1C1D"/>
    <w:rsid w:val="004E2832"/>
    <w:rsid w:val="004E504B"/>
    <w:rsid w:val="004E55B3"/>
    <w:rsid w:val="004E74D0"/>
    <w:rsid w:val="004F00CA"/>
    <w:rsid w:val="0050007C"/>
    <w:rsid w:val="005071B2"/>
    <w:rsid w:val="005105C1"/>
    <w:rsid w:val="005128BA"/>
    <w:rsid w:val="00512A35"/>
    <w:rsid w:val="0051407E"/>
    <w:rsid w:val="00514916"/>
    <w:rsid w:val="0051698F"/>
    <w:rsid w:val="005169EC"/>
    <w:rsid w:val="0052114C"/>
    <w:rsid w:val="005219CB"/>
    <w:rsid w:val="00525492"/>
    <w:rsid w:val="00526F2C"/>
    <w:rsid w:val="00531A35"/>
    <w:rsid w:val="00532F61"/>
    <w:rsid w:val="005342FD"/>
    <w:rsid w:val="00543BD7"/>
    <w:rsid w:val="0055172A"/>
    <w:rsid w:val="00551EE0"/>
    <w:rsid w:val="005547EE"/>
    <w:rsid w:val="00560882"/>
    <w:rsid w:val="00562585"/>
    <w:rsid w:val="0056595F"/>
    <w:rsid w:val="00567706"/>
    <w:rsid w:val="00571A91"/>
    <w:rsid w:val="00571E8D"/>
    <w:rsid w:val="00571F2A"/>
    <w:rsid w:val="0057221B"/>
    <w:rsid w:val="00586836"/>
    <w:rsid w:val="005A138A"/>
    <w:rsid w:val="005A1786"/>
    <w:rsid w:val="005A1E9F"/>
    <w:rsid w:val="005A293A"/>
    <w:rsid w:val="005A4256"/>
    <w:rsid w:val="005C7756"/>
    <w:rsid w:val="005D2AFB"/>
    <w:rsid w:val="005D50EA"/>
    <w:rsid w:val="005D7759"/>
    <w:rsid w:val="005D7E4B"/>
    <w:rsid w:val="005E13CE"/>
    <w:rsid w:val="005E4611"/>
    <w:rsid w:val="005F1481"/>
    <w:rsid w:val="005F54E5"/>
    <w:rsid w:val="0060005A"/>
    <w:rsid w:val="006020B7"/>
    <w:rsid w:val="00603B9E"/>
    <w:rsid w:val="00607A85"/>
    <w:rsid w:val="00610593"/>
    <w:rsid w:val="006114A3"/>
    <w:rsid w:val="006120C3"/>
    <w:rsid w:val="006215B5"/>
    <w:rsid w:val="00621665"/>
    <w:rsid w:val="00622B1F"/>
    <w:rsid w:val="00623954"/>
    <w:rsid w:val="006239E8"/>
    <w:rsid w:val="006257D5"/>
    <w:rsid w:val="00627AA9"/>
    <w:rsid w:val="006308B0"/>
    <w:rsid w:val="00630AF5"/>
    <w:rsid w:val="00637589"/>
    <w:rsid w:val="00641B5B"/>
    <w:rsid w:val="006423A8"/>
    <w:rsid w:val="00643334"/>
    <w:rsid w:val="00646EC0"/>
    <w:rsid w:val="0064735C"/>
    <w:rsid w:val="00647ACB"/>
    <w:rsid w:val="00653747"/>
    <w:rsid w:val="006550CA"/>
    <w:rsid w:val="00655708"/>
    <w:rsid w:val="006637C4"/>
    <w:rsid w:val="006654C5"/>
    <w:rsid w:val="006660D0"/>
    <w:rsid w:val="00667750"/>
    <w:rsid w:val="006708C8"/>
    <w:rsid w:val="00676F4C"/>
    <w:rsid w:val="00693376"/>
    <w:rsid w:val="006A5543"/>
    <w:rsid w:val="006A7424"/>
    <w:rsid w:val="006B035F"/>
    <w:rsid w:val="006B0ED4"/>
    <w:rsid w:val="006B1DC7"/>
    <w:rsid w:val="006B2175"/>
    <w:rsid w:val="006B6EAE"/>
    <w:rsid w:val="006C0E5D"/>
    <w:rsid w:val="006C49D7"/>
    <w:rsid w:val="006C7190"/>
    <w:rsid w:val="006D4215"/>
    <w:rsid w:val="006D4B7C"/>
    <w:rsid w:val="006D543A"/>
    <w:rsid w:val="006D6416"/>
    <w:rsid w:val="006E3A5B"/>
    <w:rsid w:val="006E458F"/>
    <w:rsid w:val="006E63CF"/>
    <w:rsid w:val="006E6A81"/>
    <w:rsid w:val="006E6E66"/>
    <w:rsid w:val="006F3E1E"/>
    <w:rsid w:val="0070106B"/>
    <w:rsid w:val="0070128B"/>
    <w:rsid w:val="00701F44"/>
    <w:rsid w:val="007049BB"/>
    <w:rsid w:val="00705C80"/>
    <w:rsid w:val="007136E0"/>
    <w:rsid w:val="007136FC"/>
    <w:rsid w:val="00714948"/>
    <w:rsid w:val="00714E02"/>
    <w:rsid w:val="007259C7"/>
    <w:rsid w:val="00730197"/>
    <w:rsid w:val="007332D0"/>
    <w:rsid w:val="00733757"/>
    <w:rsid w:val="00734F8B"/>
    <w:rsid w:val="00736DF5"/>
    <w:rsid w:val="007370B0"/>
    <w:rsid w:val="00744E79"/>
    <w:rsid w:val="00751951"/>
    <w:rsid w:val="00752528"/>
    <w:rsid w:val="00752FB4"/>
    <w:rsid w:val="0075340A"/>
    <w:rsid w:val="00767430"/>
    <w:rsid w:val="0077236B"/>
    <w:rsid w:val="007803D8"/>
    <w:rsid w:val="00781953"/>
    <w:rsid w:val="007822EC"/>
    <w:rsid w:val="0078352C"/>
    <w:rsid w:val="00783F3A"/>
    <w:rsid w:val="00785D80"/>
    <w:rsid w:val="00792CB0"/>
    <w:rsid w:val="0079677F"/>
    <w:rsid w:val="007A06CA"/>
    <w:rsid w:val="007A499B"/>
    <w:rsid w:val="007B1C3E"/>
    <w:rsid w:val="007B7266"/>
    <w:rsid w:val="007B7FED"/>
    <w:rsid w:val="007C17C5"/>
    <w:rsid w:val="007C2E8C"/>
    <w:rsid w:val="007C4BD4"/>
    <w:rsid w:val="007D038F"/>
    <w:rsid w:val="007D2B59"/>
    <w:rsid w:val="007D4A7A"/>
    <w:rsid w:val="007D6D7B"/>
    <w:rsid w:val="007E098E"/>
    <w:rsid w:val="007E1F6C"/>
    <w:rsid w:val="007E6D8F"/>
    <w:rsid w:val="007E78C7"/>
    <w:rsid w:val="007F019D"/>
    <w:rsid w:val="00802876"/>
    <w:rsid w:val="008056F7"/>
    <w:rsid w:val="00810B39"/>
    <w:rsid w:val="0081201C"/>
    <w:rsid w:val="00813475"/>
    <w:rsid w:val="00814DB8"/>
    <w:rsid w:val="0081504A"/>
    <w:rsid w:val="00815A9F"/>
    <w:rsid w:val="00817FC0"/>
    <w:rsid w:val="00820377"/>
    <w:rsid w:val="0082252D"/>
    <w:rsid w:val="00826BE4"/>
    <w:rsid w:val="00827C9A"/>
    <w:rsid w:val="00831297"/>
    <w:rsid w:val="00831F12"/>
    <w:rsid w:val="00836D53"/>
    <w:rsid w:val="00837450"/>
    <w:rsid w:val="008405C9"/>
    <w:rsid w:val="00842530"/>
    <w:rsid w:val="00846509"/>
    <w:rsid w:val="00847889"/>
    <w:rsid w:val="00847BB3"/>
    <w:rsid w:val="00850E6A"/>
    <w:rsid w:val="0085224D"/>
    <w:rsid w:val="0085364C"/>
    <w:rsid w:val="00854081"/>
    <w:rsid w:val="00856E2B"/>
    <w:rsid w:val="00864539"/>
    <w:rsid w:val="008645C8"/>
    <w:rsid w:val="008658D0"/>
    <w:rsid w:val="00865A69"/>
    <w:rsid w:val="00865D57"/>
    <w:rsid w:val="0087210A"/>
    <w:rsid w:val="00873C95"/>
    <w:rsid w:val="00882B87"/>
    <w:rsid w:val="00883B68"/>
    <w:rsid w:val="00883BC1"/>
    <w:rsid w:val="008842A6"/>
    <w:rsid w:val="00884EC4"/>
    <w:rsid w:val="00890897"/>
    <w:rsid w:val="00891FF4"/>
    <w:rsid w:val="00892044"/>
    <w:rsid w:val="008978F7"/>
    <w:rsid w:val="008A0A63"/>
    <w:rsid w:val="008A3D9C"/>
    <w:rsid w:val="008A48A8"/>
    <w:rsid w:val="008C5407"/>
    <w:rsid w:val="008D1ED3"/>
    <w:rsid w:val="008D3575"/>
    <w:rsid w:val="008D5360"/>
    <w:rsid w:val="008E176B"/>
    <w:rsid w:val="008E3190"/>
    <w:rsid w:val="008E31B9"/>
    <w:rsid w:val="008E3B3D"/>
    <w:rsid w:val="008E5AB7"/>
    <w:rsid w:val="008F0EAD"/>
    <w:rsid w:val="008F1431"/>
    <w:rsid w:val="008F52B7"/>
    <w:rsid w:val="008F55C0"/>
    <w:rsid w:val="009017EB"/>
    <w:rsid w:val="00903814"/>
    <w:rsid w:val="00904572"/>
    <w:rsid w:val="00911BE1"/>
    <w:rsid w:val="00916E44"/>
    <w:rsid w:val="00917E5A"/>
    <w:rsid w:val="00922CE1"/>
    <w:rsid w:val="00923855"/>
    <w:rsid w:val="009244BB"/>
    <w:rsid w:val="009244EA"/>
    <w:rsid w:val="009250F0"/>
    <w:rsid w:val="00925F58"/>
    <w:rsid w:val="0093004B"/>
    <w:rsid w:val="00931F2F"/>
    <w:rsid w:val="00933559"/>
    <w:rsid w:val="00941A36"/>
    <w:rsid w:val="00943AA4"/>
    <w:rsid w:val="00952B35"/>
    <w:rsid w:val="0095440D"/>
    <w:rsid w:val="00956B3A"/>
    <w:rsid w:val="00960BAA"/>
    <w:rsid w:val="009707DB"/>
    <w:rsid w:val="00972D3D"/>
    <w:rsid w:val="00975649"/>
    <w:rsid w:val="009807C8"/>
    <w:rsid w:val="00981C56"/>
    <w:rsid w:val="009829CA"/>
    <w:rsid w:val="00983B5D"/>
    <w:rsid w:val="00983FA9"/>
    <w:rsid w:val="00991B6B"/>
    <w:rsid w:val="009923AD"/>
    <w:rsid w:val="0099286C"/>
    <w:rsid w:val="009A3554"/>
    <w:rsid w:val="009A559C"/>
    <w:rsid w:val="009B1D48"/>
    <w:rsid w:val="009B284E"/>
    <w:rsid w:val="009B2B79"/>
    <w:rsid w:val="009B4F39"/>
    <w:rsid w:val="009B6989"/>
    <w:rsid w:val="009B6BE1"/>
    <w:rsid w:val="009C27DF"/>
    <w:rsid w:val="009C45F2"/>
    <w:rsid w:val="009D0DA5"/>
    <w:rsid w:val="009D1768"/>
    <w:rsid w:val="009D3CBB"/>
    <w:rsid w:val="009E7831"/>
    <w:rsid w:val="009F4661"/>
    <w:rsid w:val="00A02EC7"/>
    <w:rsid w:val="00A104DA"/>
    <w:rsid w:val="00A21D7B"/>
    <w:rsid w:val="00A25FCE"/>
    <w:rsid w:val="00A30D59"/>
    <w:rsid w:val="00A3236F"/>
    <w:rsid w:val="00A362BC"/>
    <w:rsid w:val="00A37C8D"/>
    <w:rsid w:val="00A426FC"/>
    <w:rsid w:val="00A43267"/>
    <w:rsid w:val="00A44136"/>
    <w:rsid w:val="00A467C4"/>
    <w:rsid w:val="00A51352"/>
    <w:rsid w:val="00A51C3E"/>
    <w:rsid w:val="00A56004"/>
    <w:rsid w:val="00A62B34"/>
    <w:rsid w:val="00A66DB3"/>
    <w:rsid w:val="00A67F1F"/>
    <w:rsid w:val="00A70A96"/>
    <w:rsid w:val="00A72036"/>
    <w:rsid w:val="00A77903"/>
    <w:rsid w:val="00A82226"/>
    <w:rsid w:val="00A82E18"/>
    <w:rsid w:val="00A93379"/>
    <w:rsid w:val="00A93BC9"/>
    <w:rsid w:val="00A96285"/>
    <w:rsid w:val="00A968C2"/>
    <w:rsid w:val="00AA4BA6"/>
    <w:rsid w:val="00AA70C1"/>
    <w:rsid w:val="00AB2292"/>
    <w:rsid w:val="00AB4D10"/>
    <w:rsid w:val="00AC06A1"/>
    <w:rsid w:val="00AC14EB"/>
    <w:rsid w:val="00AC1531"/>
    <w:rsid w:val="00AC4EED"/>
    <w:rsid w:val="00AC7996"/>
    <w:rsid w:val="00AD4CFC"/>
    <w:rsid w:val="00AE1D92"/>
    <w:rsid w:val="00AE3C14"/>
    <w:rsid w:val="00AE418F"/>
    <w:rsid w:val="00AE4F5D"/>
    <w:rsid w:val="00AE57DF"/>
    <w:rsid w:val="00AE752C"/>
    <w:rsid w:val="00AF2B77"/>
    <w:rsid w:val="00AF6DCD"/>
    <w:rsid w:val="00B0103A"/>
    <w:rsid w:val="00B05B5E"/>
    <w:rsid w:val="00B10F6E"/>
    <w:rsid w:val="00B2129D"/>
    <w:rsid w:val="00B22335"/>
    <w:rsid w:val="00B23805"/>
    <w:rsid w:val="00B2716A"/>
    <w:rsid w:val="00B27FA5"/>
    <w:rsid w:val="00B31A78"/>
    <w:rsid w:val="00B32412"/>
    <w:rsid w:val="00B33CB6"/>
    <w:rsid w:val="00B35277"/>
    <w:rsid w:val="00B3768D"/>
    <w:rsid w:val="00B4078D"/>
    <w:rsid w:val="00B4264F"/>
    <w:rsid w:val="00B42841"/>
    <w:rsid w:val="00B473F7"/>
    <w:rsid w:val="00B4782D"/>
    <w:rsid w:val="00B518A1"/>
    <w:rsid w:val="00B569CD"/>
    <w:rsid w:val="00B615C4"/>
    <w:rsid w:val="00B6652E"/>
    <w:rsid w:val="00B67291"/>
    <w:rsid w:val="00B70365"/>
    <w:rsid w:val="00B73CC0"/>
    <w:rsid w:val="00B74D2C"/>
    <w:rsid w:val="00B80944"/>
    <w:rsid w:val="00B82FB8"/>
    <w:rsid w:val="00B83699"/>
    <w:rsid w:val="00B83B12"/>
    <w:rsid w:val="00B83DFB"/>
    <w:rsid w:val="00B8636C"/>
    <w:rsid w:val="00B87992"/>
    <w:rsid w:val="00B912B8"/>
    <w:rsid w:val="00B92AE6"/>
    <w:rsid w:val="00B96570"/>
    <w:rsid w:val="00B97AC9"/>
    <w:rsid w:val="00BA0BE4"/>
    <w:rsid w:val="00BA24A0"/>
    <w:rsid w:val="00BA45DB"/>
    <w:rsid w:val="00BA6951"/>
    <w:rsid w:val="00BB1374"/>
    <w:rsid w:val="00BB5CBA"/>
    <w:rsid w:val="00BC0075"/>
    <w:rsid w:val="00BC0C72"/>
    <w:rsid w:val="00BC1CC8"/>
    <w:rsid w:val="00BC214F"/>
    <w:rsid w:val="00BD12A7"/>
    <w:rsid w:val="00BD1D18"/>
    <w:rsid w:val="00BD4279"/>
    <w:rsid w:val="00BD6F82"/>
    <w:rsid w:val="00BE1C95"/>
    <w:rsid w:val="00BE1D4C"/>
    <w:rsid w:val="00BE38A9"/>
    <w:rsid w:val="00BE61D9"/>
    <w:rsid w:val="00BF1221"/>
    <w:rsid w:val="00BF65E5"/>
    <w:rsid w:val="00C006C8"/>
    <w:rsid w:val="00C02D77"/>
    <w:rsid w:val="00C06A92"/>
    <w:rsid w:val="00C07D22"/>
    <w:rsid w:val="00C11D39"/>
    <w:rsid w:val="00C13E35"/>
    <w:rsid w:val="00C13E5F"/>
    <w:rsid w:val="00C14E5B"/>
    <w:rsid w:val="00C163DA"/>
    <w:rsid w:val="00C202A9"/>
    <w:rsid w:val="00C20B69"/>
    <w:rsid w:val="00C234CC"/>
    <w:rsid w:val="00C27BF2"/>
    <w:rsid w:val="00C304B7"/>
    <w:rsid w:val="00C3226D"/>
    <w:rsid w:val="00C36B85"/>
    <w:rsid w:val="00C37A64"/>
    <w:rsid w:val="00C41C7E"/>
    <w:rsid w:val="00C45EE6"/>
    <w:rsid w:val="00C461ED"/>
    <w:rsid w:val="00C53992"/>
    <w:rsid w:val="00C5632B"/>
    <w:rsid w:val="00C66EB3"/>
    <w:rsid w:val="00C71DD3"/>
    <w:rsid w:val="00C725BD"/>
    <w:rsid w:val="00C77F55"/>
    <w:rsid w:val="00C81C15"/>
    <w:rsid w:val="00C83CCD"/>
    <w:rsid w:val="00C84F6B"/>
    <w:rsid w:val="00C8607D"/>
    <w:rsid w:val="00C90C89"/>
    <w:rsid w:val="00C91357"/>
    <w:rsid w:val="00C94D56"/>
    <w:rsid w:val="00C94E0A"/>
    <w:rsid w:val="00CA2215"/>
    <w:rsid w:val="00CA2E0E"/>
    <w:rsid w:val="00CA2E39"/>
    <w:rsid w:val="00CB06D7"/>
    <w:rsid w:val="00CB1CA2"/>
    <w:rsid w:val="00CB1F28"/>
    <w:rsid w:val="00CB62D1"/>
    <w:rsid w:val="00CB7C34"/>
    <w:rsid w:val="00CC2E0D"/>
    <w:rsid w:val="00CC4FA0"/>
    <w:rsid w:val="00CC61E4"/>
    <w:rsid w:val="00CD07FF"/>
    <w:rsid w:val="00CD23E9"/>
    <w:rsid w:val="00CD314D"/>
    <w:rsid w:val="00CD459C"/>
    <w:rsid w:val="00CD4A56"/>
    <w:rsid w:val="00CE48EA"/>
    <w:rsid w:val="00CE602A"/>
    <w:rsid w:val="00CE603C"/>
    <w:rsid w:val="00CF0EEB"/>
    <w:rsid w:val="00CF1724"/>
    <w:rsid w:val="00CF24DF"/>
    <w:rsid w:val="00CF44BC"/>
    <w:rsid w:val="00CF6B41"/>
    <w:rsid w:val="00CF6FB2"/>
    <w:rsid w:val="00CF7B5F"/>
    <w:rsid w:val="00D04BCD"/>
    <w:rsid w:val="00D11D2B"/>
    <w:rsid w:val="00D12237"/>
    <w:rsid w:val="00D16170"/>
    <w:rsid w:val="00D17CEC"/>
    <w:rsid w:val="00D17E45"/>
    <w:rsid w:val="00D21B56"/>
    <w:rsid w:val="00D2298F"/>
    <w:rsid w:val="00D265D8"/>
    <w:rsid w:val="00D26BAC"/>
    <w:rsid w:val="00D363A8"/>
    <w:rsid w:val="00D36430"/>
    <w:rsid w:val="00D4011E"/>
    <w:rsid w:val="00D42090"/>
    <w:rsid w:val="00D426E1"/>
    <w:rsid w:val="00D42EF8"/>
    <w:rsid w:val="00D602D3"/>
    <w:rsid w:val="00D64BD6"/>
    <w:rsid w:val="00D7044B"/>
    <w:rsid w:val="00D7154B"/>
    <w:rsid w:val="00D719C7"/>
    <w:rsid w:val="00D73ADC"/>
    <w:rsid w:val="00D80597"/>
    <w:rsid w:val="00D91356"/>
    <w:rsid w:val="00D9227C"/>
    <w:rsid w:val="00D95E34"/>
    <w:rsid w:val="00D96128"/>
    <w:rsid w:val="00D97303"/>
    <w:rsid w:val="00D97F28"/>
    <w:rsid w:val="00DA2A90"/>
    <w:rsid w:val="00DA2E66"/>
    <w:rsid w:val="00DA34EF"/>
    <w:rsid w:val="00DA38FD"/>
    <w:rsid w:val="00DA3BA1"/>
    <w:rsid w:val="00DA5DE6"/>
    <w:rsid w:val="00DA76D4"/>
    <w:rsid w:val="00DB10BE"/>
    <w:rsid w:val="00DB2A1C"/>
    <w:rsid w:val="00DB3117"/>
    <w:rsid w:val="00DB36A6"/>
    <w:rsid w:val="00DB4511"/>
    <w:rsid w:val="00DB72FF"/>
    <w:rsid w:val="00DC1DCC"/>
    <w:rsid w:val="00DC31CE"/>
    <w:rsid w:val="00DC42C6"/>
    <w:rsid w:val="00DD2C57"/>
    <w:rsid w:val="00DD7959"/>
    <w:rsid w:val="00DE2340"/>
    <w:rsid w:val="00DE269D"/>
    <w:rsid w:val="00DF4184"/>
    <w:rsid w:val="00DF6379"/>
    <w:rsid w:val="00DF74EB"/>
    <w:rsid w:val="00E006AB"/>
    <w:rsid w:val="00E04315"/>
    <w:rsid w:val="00E054AB"/>
    <w:rsid w:val="00E1031D"/>
    <w:rsid w:val="00E16199"/>
    <w:rsid w:val="00E16CD1"/>
    <w:rsid w:val="00E21D5E"/>
    <w:rsid w:val="00E222E7"/>
    <w:rsid w:val="00E23DC4"/>
    <w:rsid w:val="00E244CA"/>
    <w:rsid w:val="00E2538C"/>
    <w:rsid w:val="00E263AA"/>
    <w:rsid w:val="00E45B2E"/>
    <w:rsid w:val="00E5577D"/>
    <w:rsid w:val="00E61342"/>
    <w:rsid w:val="00E6217C"/>
    <w:rsid w:val="00E64EAA"/>
    <w:rsid w:val="00E65222"/>
    <w:rsid w:val="00E65855"/>
    <w:rsid w:val="00E65C85"/>
    <w:rsid w:val="00E665EA"/>
    <w:rsid w:val="00E85B5B"/>
    <w:rsid w:val="00E864A9"/>
    <w:rsid w:val="00E91E48"/>
    <w:rsid w:val="00E920E0"/>
    <w:rsid w:val="00E953C6"/>
    <w:rsid w:val="00E97B7D"/>
    <w:rsid w:val="00EA10C6"/>
    <w:rsid w:val="00EA252B"/>
    <w:rsid w:val="00EA3FC8"/>
    <w:rsid w:val="00EA622F"/>
    <w:rsid w:val="00EA63BF"/>
    <w:rsid w:val="00EB0604"/>
    <w:rsid w:val="00EB0658"/>
    <w:rsid w:val="00EB1141"/>
    <w:rsid w:val="00EB15AF"/>
    <w:rsid w:val="00EB16D2"/>
    <w:rsid w:val="00EB3B74"/>
    <w:rsid w:val="00EB3D9F"/>
    <w:rsid w:val="00EB5770"/>
    <w:rsid w:val="00EB599B"/>
    <w:rsid w:val="00EB6AC3"/>
    <w:rsid w:val="00EC3500"/>
    <w:rsid w:val="00EC40ED"/>
    <w:rsid w:val="00EC422F"/>
    <w:rsid w:val="00EC6979"/>
    <w:rsid w:val="00EC6DB6"/>
    <w:rsid w:val="00ED0B24"/>
    <w:rsid w:val="00ED10DD"/>
    <w:rsid w:val="00ED1380"/>
    <w:rsid w:val="00ED17ED"/>
    <w:rsid w:val="00ED5BDC"/>
    <w:rsid w:val="00EE6E2C"/>
    <w:rsid w:val="00EF1320"/>
    <w:rsid w:val="00EF19AE"/>
    <w:rsid w:val="00EF3D75"/>
    <w:rsid w:val="00EF3F81"/>
    <w:rsid w:val="00EF49DB"/>
    <w:rsid w:val="00EF7D0E"/>
    <w:rsid w:val="00F00746"/>
    <w:rsid w:val="00F0107D"/>
    <w:rsid w:val="00F0308E"/>
    <w:rsid w:val="00F052DA"/>
    <w:rsid w:val="00F06E8B"/>
    <w:rsid w:val="00F15A34"/>
    <w:rsid w:val="00F171ED"/>
    <w:rsid w:val="00F2176B"/>
    <w:rsid w:val="00F27586"/>
    <w:rsid w:val="00F31E38"/>
    <w:rsid w:val="00F4173C"/>
    <w:rsid w:val="00F4538C"/>
    <w:rsid w:val="00F45C5C"/>
    <w:rsid w:val="00F50A1F"/>
    <w:rsid w:val="00F5138D"/>
    <w:rsid w:val="00F51A11"/>
    <w:rsid w:val="00F577E1"/>
    <w:rsid w:val="00F61A0E"/>
    <w:rsid w:val="00F62390"/>
    <w:rsid w:val="00F62CE4"/>
    <w:rsid w:val="00F651F8"/>
    <w:rsid w:val="00F6728F"/>
    <w:rsid w:val="00F72D62"/>
    <w:rsid w:val="00F7596A"/>
    <w:rsid w:val="00F760FC"/>
    <w:rsid w:val="00F76BD6"/>
    <w:rsid w:val="00F804F8"/>
    <w:rsid w:val="00F93124"/>
    <w:rsid w:val="00F93A9E"/>
    <w:rsid w:val="00F93BE0"/>
    <w:rsid w:val="00F94B1F"/>
    <w:rsid w:val="00FA2249"/>
    <w:rsid w:val="00FA29C3"/>
    <w:rsid w:val="00FA3325"/>
    <w:rsid w:val="00FA73DD"/>
    <w:rsid w:val="00FA7CB8"/>
    <w:rsid w:val="00FC1BC5"/>
    <w:rsid w:val="00FC6E44"/>
    <w:rsid w:val="00FC74C7"/>
    <w:rsid w:val="00FD5172"/>
    <w:rsid w:val="00FE644F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6E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0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6453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645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64539"/>
  </w:style>
  <w:style w:type="character" w:customStyle="1" w:styleId="a4">
    <w:name w:val="Текст выноски Знак"/>
    <w:basedOn w:val="a0"/>
    <w:link w:val="a3"/>
    <w:uiPriority w:val="99"/>
    <w:semiHidden/>
    <w:rsid w:val="00BC1CC8"/>
    <w:rPr>
      <w:rFonts w:ascii="Tahoma" w:hAnsi="Tahoma" w:cs="Tahoma"/>
      <w:sz w:val="16"/>
      <w:szCs w:val="16"/>
    </w:rPr>
  </w:style>
  <w:style w:type="character" w:customStyle="1" w:styleId="b1">
    <w:name w:val="b1"/>
    <w:basedOn w:val="a0"/>
    <w:rsid w:val="00BC1CC8"/>
    <w:rPr>
      <w:b/>
      <w:bCs/>
    </w:rPr>
  </w:style>
  <w:style w:type="paragraph" w:styleId="ab">
    <w:name w:val="Body Text"/>
    <w:basedOn w:val="a"/>
    <w:link w:val="ac"/>
    <w:rsid w:val="003E2C1B"/>
    <w:pPr>
      <w:jc w:val="both"/>
    </w:pPr>
  </w:style>
  <w:style w:type="character" w:customStyle="1" w:styleId="ac">
    <w:name w:val="Основной текст Знак"/>
    <w:basedOn w:val="a0"/>
    <w:link w:val="ab"/>
    <w:rsid w:val="003E2C1B"/>
    <w:rPr>
      <w:sz w:val="24"/>
      <w:szCs w:val="24"/>
    </w:rPr>
  </w:style>
  <w:style w:type="paragraph" w:customStyle="1" w:styleId="1">
    <w:name w:val="Обычный1"/>
    <w:rsid w:val="00EC6979"/>
    <w:pPr>
      <w:widowControl w:val="0"/>
      <w:ind w:firstLine="320"/>
      <w:jc w:val="both"/>
    </w:pPr>
  </w:style>
  <w:style w:type="character" w:styleId="ad">
    <w:name w:val="Emphasis"/>
    <w:uiPriority w:val="20"/>
    <w:qFormat/>
    <w:rsid w:val="00ED0B24"/>
    <w:rPr>
      <w:b/>
      <w:bCs/>
      <w:i/>
      <w:iCs/>
      <w:spacing w:val="10"/>
    </w:rPr>
  </w:style>
  <w:style w:type="paragraph" w:styleId="ae">
    <w:name w:val="Plain Text"/>
    <w:basedOn w:val="a"/>
    <w:link w:val="af"/>
    <w:rsid w:val="00ED0B2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D0B24"/>
    <w:rPr>
      <w:rFonts w:ascii="Courier New" w:hAnsi="Courier New"/>
    </w:rPr>
  </w:style>
  <w:style w:type="paragraph" w:customStyle="1" w:styleId="10">
    <w:name w:val="Основной текст1"/>
    <w:basedOn w:val="a"/>
    <w:rsid w:val="00ED0B24"/>
    <w:pPr>
      <w:spacing w:after="120"/>
    </w:pPr>
    <w:rPr>
      <w:rFonts w:ascii="NTHarmonica" w:hAnsi="NTHarmonica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2340"/>
    <w:rPr>
      <w:sz w:val="24"/>
      <w:szCs w:val="24"/>
    </w:rPr>
  </w:style>
  <w:style w:type="character" w:styleId="af0">
    <w:name w:val="annotation reference"/>
    <w:basedOn w:val="a0"/>
    <w:rsid w:val="00543BD7"/>
    <w:rPr>
      <w:sz w:val="16"/>
      <w:szCs w:val="16"/>
    </w:rPr>
  </w:style>
  <w:style w:type="paragraph" w:styleId="af1">
    <w:name w:val="annotation text"/>
    <w:basedOn w:val="a"/>
    <w:link w:val="af2"/>
    <w:rsid w:val="00543BD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43BD7"/>
  </w:style>
  <w:style w:type="paragraph" w:styleId="af3">
    <w:name w:val="annotation subject"/>
    <w:basedOn w:val="af1"/>
    <w:next w:val="af1"/>
    <w:link w:val="af4"/>
    <w:rsid w:val="00543BD7"/>
    <w:rPr>
      <w:b/>
      <w:bCs/>
    </w:rPr>
  </w:style>
  <w:style w:type="character" w:customStyle="1" w:styleId="af4">
    <w:name w:val="Тема примечания Знак"/>
    <w:basedOn w:val="af2"/>
    <w:link w:val="af3"/>
    <w:rsid w:val="00543BD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3C4DFB"/>
    <w:rPr>
      <w:sz w:val="24"/>
      <w:szCs w:val="24"/>
    </w:rPr>
  </w:style>
  <w:style w:type="paragraph" w:styleId="af5">
    <w:name w:val="List Paragraph"/>
    <w:basedOn w:val="a"/>
    <w:qFormat/>
    <w:rsid w:val="007D4A7A"/>
    <w:pPr>
      <w:ind w:left="720"/>
      <w:contextualSpacing/>
    </w:pPr>
  </w:style>
  <w:style w:type="paragraph" w:styleId="af6">
    <w:name w:val="Body Text Indent"/>
    <w:basedOn w:val="a"/>
    <w:link w:val="af7"/>
    <w:semiHidden/>
    <w:unhideWhenUsed/>
    <w:rsid w:val="00137B7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137B7C"/>
    <w:rPr>
      <w:sz w:val="24"/>
      <w:szCs w:val="24"/>
    </w:rPr>
  </w:style>
  <w:style w:type="paragraph" w:customStyle="1" w:styleId="2">
    <w:name w:val="Основной текст2"/>
    <w:basedOn w:val="a"/>
    <w:rsid w:val="00000633"/>
    <w:pPr>
      <w:spacing w:after="120"/>
    </w:pPr>
    <w:rPr>
      <w:rFonts w:ascii="NTHarmonica" w:hAnsi="NTHarmonica"/>
      <w:szCs w:val="20"/>
    </w:rPr>
  </w:style>
  <w:style w:type="character" w:styleId="af8">
    <w:name w:val="Hyperlink"/>
    <w:basedOn w:val="a0"/>
    <w:uiPriority w:val="99"/>
    <w:unhideWhenUsed/>
    <w:rsid w:val="00882B87"/>
    <w:rPr>
      <w:color w:val="0000FF"/>
      <w:u w:val="single"/>
    </w:rPr>
  </w:style>
  <w:style w:type="character" w:styleId="af9">
    <w:name w:val="Placeholder Text"/>
    <w:basedOn w:val="a0"/>
    <w:uiPriority w:val="99"/>
    <w:semiHidden/>
    <w:rsid w:val="00E21D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opoeia.ru/ofs-1-2-3-0002-15-opredelenie-vod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7624-5C74-43CC-8A8A-8A356608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1182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ФАРМАКОПЕЙНАЯ СТАТЬЯ</vt:lpstr>
    </vt:vector>
  </TitlesOfParts>
  <Company>NCESMP</Company>
  <LinksUpToDate>false</LinksUpToDate>
  <CharactersWithSpaces>9528</CharactersWithSpaces>
  <SharedDoc>false</SharedDoc>
  <HLinks>
    <vt:vector size="6" baseType="variant">
      <vt:variant>
        <vt:i4>4980809</vt:i4>
      </vt:variant>
      <vt:variant>
        <vt:i4>0</vt:i4>
      </vt:variant>
      <vt:variant>
        <vt:i4>0</vt:i4>
      </vt:variant>
      <vt:variant>
        <vt:i4>5</vt:i4>
      </vt:variant>
      <vt:variant>
        <vt:lpwstr>https://pharmacopoeia.ru/ofs-1-2-3-0002-15-opredelenie-vody/</vt:lpwstr>
      </vt:variant>
      <vt:variant>
        <vt:lpwstr>123000215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ФАРМАКОПЕЙНАЯ СТАТЬЯ</dc:title>
  <dc:creator>Prokopov</dc:creator>
  <cp:lastModifiedBy>Razov</cp:lastModifiedBy>
  <cp:revision>3</cp:revision>
  <cp:lastPrinted>2018-09-18T07:05:00Z</cp:lastPrinted>
  <dcterms:created xsi:type="dcterms:W3CDTF">2018-11-08T14:12:00Z</dcterms:created>
  <dcterms:modified xsi:type="dcterms:W3CDTF">2018-11-09T11:43:00Z</dcterms:modified>
</cp:coreProperties>
</file>