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04" w:rsidRPr="00064F05" w:rsidRDefault="00505F04" w:rsidP="00064F0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05F04" w:rsidRPr="00064F05" w:rsidRDefault="00505F04" w:rsidP="00064F0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064F05">
        <w:rPr>
          <w:rFonts w:ascii="Times New Roman" w:hAnsi="Times New Roman"/>
          <w:b/>
          <w:color w:val="000000"/>
          <w:sz w:val="32"/>
          <w:szCs w:val="32"/>
        </w:rPr>
        <w:t>Мет</w:t>
      </w:r>
      <w:r w:rsidR="007A1BB3">
        <w:rPr>
          <w:rFonts w:ascii="Times New Roman" w:hAnsi="Times New Roman"/>
          <w:b/>
          <w:color w:val="000000"/>
          <w:sz w:val="32"/>
          <w:szCs w:val="32"/>
        </w:rPr>
        <w:t>азид</w:t>
      </w:r>
      <w:proofErr w:type="spellEnd"/>
      <w:r w:rsidR="007A1BB3">
        <w:rPr>
          <w:rFonts w:ascii="Times New Roman" w:hAnsi="Times New Roman"/>
          <w:b/>
          <w:color w:val="000000"/>
          <w:sz w:val="32"/>
          <w:szCs w:val="32"/>
        </w:rPr>
        <w:tab/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>ФС</w:t>
      </w:r>
    </w:p>
    <w:p w:rsidR="00505F04" w:rsidRPr="00064F05" w:rsidRDefault="00505F04" w:rsidP="00064F0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064F05">
        <w:rPr>
          <w:rFonts w:ascii="Times New Roman" w:hAnsi="Times New Roman"/>
          <w:b/>
          <w:color w:val="000000"/>
          <w:sz w:val="32"/>
          <w:szCs w:val="32"/>
        </w:rPr>
        <w:t>Метазид</w:t>
      </w:r>
      <w:proofErr w:type="spellEnd"/>
      <w:r w:rsidRPr="00064F0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505F04" w:rsidRPr="00FF1E80" w:rsidRDefault="00505F04" w:rsidP="007A1BB3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64F05">
        <w:rPr>
          <w:rFonts w:ascii="Times New Roman" w:hAnsi="Times New Roman"/>
          <w:b/>
          <w:sz w:val="32"/>
          <w:szCs w:val="32"/>
          <w:lang w:val="en-US"/>
        </w:rPr>
        <w:t>Metazidum</w:t>
      </w:r>
      <w:proofErr w:type="spellEnd"/>
      <w:r w:rsidRPr="00064F05">
        <w:rPr>
          <w:rFonts w:ascii="Times New Roman" w:hAnsi="Times New Roman"/>
          <w:b/>
          <w:color w:val="000000"/>
          <w:sz w:val="32"/>
          <w:szCs w:val="32"/>
        </w:rPr>
        <w:tab/>
      </w:r>
      <w:r w:rsidRPr="00FF1E80">
        <w:rPr>
          <w:rFonts w:ascii="Times New Roman" w:hAnsi="Times New Roman"/>
          <w:b/>
          <w:color w:val="000000"/>
          <w:sz w:val="28"/>
          <w:szCs w:val="28"/>
        </w:rPr>
        <w:t>Взамен ФС 42-2468-96</w:t>
      </w:r>
    </w:p>
    <w:p w:rsidR="00505F04" w:rsidRPr="00FF1E80" w:rsidRDefault="00505F04" w:rsidP="00505F04">
      <w:pPr>
        <w:spacing w:before="24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FF1E8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N'</w:t>
      </w:r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FF1E8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N'''</w:t>
      </w:r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FF1E80">
        <w:rPr>
          <w:rFonts w:ascii="Times New Roman" w:hAnsi="Times New Roman" w:cs="Times New Roman"/>
          <w:sz w:val="28"/>
          <w:szCs w:val="28"/>
        </w:rPr>
        <w:t>Метилен</w:t>
      </w:r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proofErr w:type="gramStart"/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proofErr w:type="spellEnd"/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proofErr w:type="gramEnd"/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пиридин-4-карбогидразид)</w:t>
      </w:r>
    </w:p>
    <w:p w:rsidR="00505F04" w:rsidRPr="00FF1E80" w:rsidRDefault="00505F04" w:rsidP="007A1BB3">
      <w:pPr>
        <w:spacing w:after="240" w:line="240" w:lineRule="auto"/>
        <w:ind w:firstLine="2342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sz w:val="28"/>
          <w:szCs w:val="28"/>
        </w:rPr>
        <w:object w:dxaOrig="43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in" o:ole="">
            <v:imagedata r:id="rId7" o:title=""/>
          </v:shape>
          <o:OLEObject Type="Embed" ProgID="ChemWindow.Document" ShapeID="_x0000_i1025" DrawAspect="Content" ObjectID="_1599034611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505F04" w:rsidRPr="00FF1E80" w:rsidTr="00505F04">
        <w:tc>
          <w:tcPr>
            <w:tcW w:w="5069" w:type="dxa"/>
          </w:tcPr>
          <w:p w:rsidR="00505F04" w:rsidRPr="00FF1E80" w:rsidRDefault="00505F04" w:rsidP="00505F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3" w:type="dxa"/>
          </w:tcPr>
          <w:p w:rsidR="00505F04" w:rsidRPr="00FF1E80" w:rsidRDefault="00505F04" w:rsidP="00505F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м. 286,29</w:t>
            </w:r>
          </w:p>
        </w:tc>
      </w:tr>
    </w:tbl>
    <w:p w:rsidR="00505F04" w:rsidRPr="00FF1E80" w:rsidRDefault="00505F04" w:rsidP="00505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5F04" w:rsidRPr="00FF1E80" w:rsidRDefault="00505F04" w:rsidP="00FF1E80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606C23" w:rsidRPr="00FF1E80">
        <w:rPr>
          <w:rFonts w:ascii="Times New Roman" w:hAnsi="Times New Roman"/>
          <w:b w:val="0"/>
          <w:color w:val="000000"/>
          <w:szCs w:val="28"/>
        </w:rPr>
        <w:t>98</w:t>
      </w:r>
      <w:proofErr w:type="gramStart"/>
      <w:r w:rsidR="003C70BA">
        <w:rPr>
          <w:rFonts w:ascii="Times New Roman" w:hAnsi="Times New Roman"/>
          <w:b w:val="0"/>
          <w:color w:val="000000"/>
          <w:szCs w:val="28"/>
        </w:rPr>
        <w:t>,</w:t>
      </w:r>
      <w:r w:rsidR="003C70BA" w:rsidRPr="00FF1E80">
        <w:rPr>
          <w:rFonts w:ascii="Times New Roman" w:hAnsi="Times New Roman"/>
          <w:b w:val="0"/>
          <w:color w:val="000000"/>
          <w:szCs w:val="28"/>
        </w:rPr>
        <w:t>5</w:t>
      </w:r>
      <w:proofErr w:type="gramEnd"/>
      <w:r w:rsidRPr="00FF1E80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606C23"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606C23" w:rsidRPr="00FF1E80">
        <w:rPr>
          <w:rFonts w:ascii="Times New Roman" w:hAnsi="Times New Roman"/>
          <w:b w:val="0"/>
          <w:color w:val="000000"/>
          <w:szCs w:val="28"/>
        </w:rPr>
        <w:t>метазида</w:t>
      </w:r>
      <w:proofErr w:type="spellEnd"/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06C23" w:rsidRPr="00FF1E80">
        <w:rPr>
          <w:rFonts w:ascii="Times New Roman" w:hAnsi="Times New Roman"/>
          <w:b w:val="0"/>
          <w:szCs w:val="28"/>
        </w:rPr>
        <w:t>C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13</w:t>
      </w:r>
      <w:r w:rsidR="00606C23" w:rsidRPr="00FF1E80">
        <w:rPr>
          <w:rFonts w:ascii="Times New Roman" w:hAnsi="Times New Roman"/>
          <w:b w:val="0"/>
          <w:szCs w:val="28"/>
        </w:rPr>
        <w:t>H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14</w:t>
      </w:r>
      <w:r w:rsidR="00606C23" w:rsidRPr="00FF1E80">
        <w:rPr>
          <w:rFonts w:ascii="Times New Roman" w:hAnsi="Times New Roman"/>
          <w:b w:val="0"/>
          <w:szCs w:val="28"/>
        </w:rPr>
        <w:t>N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6</w:t>
      </w:r>
      <w:r w:rsidR="00606C23" w:rsidRPr="00FF1E80">
        <w:rPr>
          <w:rFonts w:ascii="Times New Roman" w:hAnsi="Times New Roman"/>
          <w:b w:val="0"/>
          <w:szCs w:val="28"/>
        </w:rPr>
        <w:t>O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2</w:t>
      </w:r>
      <w:r w:rsidR="00606C23" w:rsidRPr="00FF1E80">
        <w:rPr>
          <w:rFonts w:ascii="Times New Roman" w:hAnsi="Times New Roman"/>
          <w:b w:val="0"/>
          <w:color w:val="000000"/>
          <w:szCs w:val="28"/>
        </w:rPr>
        <w:t xml:space="preserve"> в пересчете на сухое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вещество.</w:t>
      </w:r>
    </w:p>
    <w:p w:rsidR="00505F04" w:rsidRPr="00FF1E80" w:rsidRDefault="00505F04" w:rsidP="00FF1E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D23" w:rsidRPr="00FF1E80" w:rsidRDefault="00111D23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8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FF1E80">
        <w:rPr>
          <w:rFonts w:ascii="Times New Roman" w:hAnsi="Times New Roman" w:cs="Times New Roman"/>
          <w:sz w:val="28"/>
          <w:szCs w:val="28"/>
        </w:rPr>
        <w:t xml:space="preserve">Белый или белый с </w:t>
      </w:r>
      <w:proofErr w:type="spellStart"/>
      <w:r w:rsidRPr="00FF1E80">
        <w:rPr>
          <w:rFonts w:ascii="Times New Roman" w:hAnsi="Times New Roman" w:cs="Times New Roman"/>
          <w:sz w:val="28"/>
          <w:szCs w:val="28"/>
        </w:rPr>
        <w:t>кремоватым</w:t>
      </w:r>
      <w:proofErr w:type="spellEnd"/>
      <w:r w:rsidRPr="00FF1E80">
        <w:rPr>
          <w:rFonts w:ascii="Times New Roman" w:hAnsi="Times New Roman" w:cs="Times New Roman"/>
          <w:sz w:val="28"/>
          <w:szCs w:val="28"/>
        </w:rPr>
        <w:t xml:space="preserve"> оттенком кристаллический порошок.</w:t>
      </w:r>
    </w:p>
    <w:p w:rsidR="00111D23" w:rsidRPr="00FF1E80" w:rsidRDefault="00111D23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Легко растворим в разведенных неорганических кислотах, практически </w:t>
      </w:r>
      <w:proofErr w:type="gram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нерастворим</w:t>
      </w:r>
      <w:proofErr w:type="gram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в воде, спирте 9</w:t>
      </w:r>
      <w:r w:rsidR="0072035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64F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и хлороформе.</w:t>
      </w:r>
    </w:p>
    <w:p w:rsidR="0052053C" w:rsidRPr="00FF1E80" w:rsidRDefault="0008347D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Подлинность. </w:t>
      </w:r>
      <w:r w:rsidR="00064F05" w:rsidRPr="00064F05"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Инфракрасный спектр субстанции, снятый в вазелиновом масле, в области от </w:t>
      </w:r>
      <w:r w:rsidR="00B63F7E">
        <w:rPr>
          <w:rFonts w:ascii="Times New Roman" w:hAnsi="Times New Roman" w:cs="Times New Roman"/>
          <w:color w:val="000000"/>
          <w:sz w:val="28"/>
          <w:szCs w:val="28"/>
        </w:rPr>
        <w:t xml:space="preserve">4000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FF1E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до 400 см</w:t>
      </w:r>
      <w:r w:rsidRPr="00FF1E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 п</w:t>
      </w:r>
      <w:r w:rsidRPr="00FF1E8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1E80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1E8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F1E80">
        <w:rPr>
          <w:rFonts w:ascii="Times New Roman" w:hAnsi="Times New Roman" w:cs="Times New Roman"/>
          <w:color w:val="000000"/>
          <w:spacing w:val="-13"/>
          <w:sz w:val="28"/>
          <w:szCs w:val="28"/>
        </w:rPr>
        <w:t>г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лощения должен соответствовать спектру стандартного образца. </w:t>
      </w:r>
    </w:p>
    <w:p w:rsidR="0008347D" w:rsidRPr="00FF1E80" w:rsidRDefault="00064F05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proofErr w:type="spellStart"/>
      <w:r w:rsidR="0008347D" w:rsidRPr="00FF1E80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proofErr w:type="spellEnd"/>
      <w:r w:rsidR="0008347D" w:rsidRPr="00FF1E8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>пектр</w:t>
      </w:r>
      <w:proofErr w:type="spellEnd"/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поглощения 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>0,0015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% раствора субстанции в 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6F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>М растворе хлористоводородной кислоты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длин волн от </w:t>
      </w:r>
      <w:r w:rsidR="009E49A5" w:rsidRPr="00FF1E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>310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нм должен иметь максимум при 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>267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нм</w:t>
      </w:r>
      <w:r w:rsidR="007A1BB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F7E">
        <w:rPr>
          <w:rFonts w:ascii="Times New Roman" w:hAnsi="Times New Roman" w:cs="Times New Roman"/>
          <w:color w:val="000000"/>
          <w:sz w:val="28"/>
          <w:szCs w:val="28"/>
        </w:rPr>
        <w:t>минимум при 235 </w:t>
      </w:r>
      <w:r w:rsidR="009E49A5" w:rsidRPr="00FF1E80">
        <w:rPr>
          <w:rFonts w:ascii="Times New Roman" w:hAnsi="Times New Roman" w:cs="Times New Roman"/>
          <w:color w:val="000000"/>
          <w:sz w:val="28"/>
          <w:szCs w:val="28"/>
        </w:rPr>
        <w:t>нм</w:t>
      </w:r>
      <w:r w:rsidR="0008347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раствора сравнения используют </w:t>
      </w:r>
      <w:r w:rsidR="00FF1E80" w:rsidRPr="00FF1E80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174101" w:rsidRPr="00FF1E80">
        <w:rPr>
          <w:rFonts w:ascii="Times New Roman" w:hAnsi="Times New Roman" w:cs="Times New Roman"/>
          <w:color w:val="000000"/>
          <w:sz w:val="28"/>
          <w:szCs w:val="28"/>
        </w:rPr>
        <w:t>1 М раствор хлористоводородной кислоты.</w:t>
      </w:r>
    </w:p>
    <w:p w:rsidR="0052053C" w:rsidRPr="00FF1E80" w:rsidRDefault="00064F05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="0052053C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г субстанции прибавляют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г 2,4-динитрохлорбензола, 3 мл с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пирта 96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% и кипятят 3 мин. После охлаждения 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прибавляют две капли</w:t>
      </w:r>
      <w:r w:rsidR="009B2E21">
        <w:rPr>
          <w:rFonts w:ascii="Times New Roman" w:hAnsi="Times New Roman" w:cs="Times New Roman"/>
          <w:color w:val="000000"/>
          <w:sz w:val="28"/>
          <w:szCs w:val="28"/>
        </w:rPr>
        <w:t xml:space="preserve"> 10 %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натрия </w:t>
      </w:r>
      <w:proofErr w:type="spellStart"/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 xml:space="preserve">должно появиться 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7A1BB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лтое окрашивание, переходящие </w:t>
      </w:r>
      <w:proofErr w:type="gramStart"/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красновато-коричневое.</w:t>
      </w:r>
    </w:p>
    <w:p w:rsidR="0052053C" w:rsidRPr="00FF1E80" w:rsidRDefault="00064F05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</w:t>
      </w:r>
      <w:r w:rsidR="006F7127" w:rsidRPr="006F7127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="006F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21F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5 мл 2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% раствора </w:t>
      </w:r>
      <w:proofErr w:type="spellStart"/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динатриевой</w:t>
      </w:r>
      <w:proofErr w:type="spellEnd"/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соли кислоты </w:t>
      </w:r>
      <w:proofErr w:type="spellStart"/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хромотроповой</w:t>
      </w:r>
      <w:proofErr w:type="spellEnd"/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5 мл кислоты серной концентрированной и 2 </w:t>
      </w:r>
      <w:r w:rsidR="000078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г субстанции;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оявиться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красно-фиолетовое окрашивание, тотчас переходящее </w:t>
      </w:r>
      <w:proofErr w:type="gramStart"/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фиолетовое. </w:t>
      </w:r>
    </w:p>
    <w:p w:rsidR="00632004" w:rsidRPr="00FF1E80" w:rsidRDefault="00632004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От 176 до 182</w:t>
      </w:r>
      <w:proofErr w:type="gramStart"/>
      <w:r w:rsidR="00DE4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(с разложением</w:t>
      </w:r>
      <w:r w:rsidR="00064F05">
        <w:rPr>
          <w:rFonts w:ascii="Times New Roman" w:hAnsi="Times New Roman" w:cs="Times New Roman"/>
          <w:color w:val="000000"/>
          <w:sz w:val="28"/>
          <w:szCs w:val="28"/>
        </w:rPr>
        <w:t>, ОФС «Температура плавления»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5F0F"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F0F" w:rsidRPr="00FF1E80" w:rsidRDefault="007A7F74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>Гидразид</w:t>
      </w:r>
      <w:proofErr w:type="spellEnd"/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изоникотиновой кислоты.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7A7F74" w:rsidRPr="00FF1E80" w:rsidRDefault="007A7F74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Вода – уксусная кислота – 25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раствор аммиака  80:1:1</w:t>
      </w:r>
    </w:p>
    <w:p w:rsidR="007A7F74" w:rsidRPr="00FF1E80" w:rsidRDefault="007A7F74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Около 1,0 г (точная навеска) субстанции встряхивают с 10 мл спирта 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в течение 10 мин, фильтруют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отбрасывая первые порции фильтрата.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Раствор используют </w:t>
      </w:r>
      <w:proofErr w:type="gramStart"/>
      <w:r w:rsidR="00E70F96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439" w:rsidRPr="00FF1E80" w:rsidRDefault="006A0439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>10 м</w:t>
      </w:r>
      <w:r w:rsidR="00FF1E80">
        <w:rPr>
          <w:rFonts w:ascii="Times New Roman" w:hAnsi="Times New Roman" w:cs="Times New Roman"/>
          <w:color w:val="000000"/>
          <w:sz w:val="28"/>
          <w:szCs w:val="28"/>
        </w:rPr>
        <w:t>г (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точная навеска) </w:t>
      </w:r>
      <w:proofErr w:type="spell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гидразида</w:t>
      </w:r>
      <w:proofErr w:type="spell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изоникатиновой</w:t>
      </w:r>
      <w:proofErr w:type="spell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помещают в мерную колбу вместимостью 100 мл, растворяют в 20 мл спирта 9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и доводят объем раствора спиртом 9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до метки. Срок годности раствора 10 суток.</w:t>
      </w:r>
    </w:p>
    <w:p w:rsidR="006A0439" w:rsidRPr="00FF1E80" w:rsidRDefault="006A0439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В мерной колбе вместимостью 10 мл смешивают 9 мл стандартного раствора и 1 мл испытуемого </w:t>
      </w:r>
      <w:r w:rsidR="00266DAC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Раствор используют </w:t>
      </w:r>
      <w:proofErr w:type="gramStart"/>
      <w:r w:rsidR="00E70F96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4388" w:rsidRPr="00FF1E80" w:rsidRDefault="00D94388" w:rsidP="00FF1E8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10 мкл испытуемого раствора (1000 мкг), по 10 мкл стандартного раствора </w:t>
      </w:r>
      <w:r w:rsidR="00E70F96">
        <w:rPr>
          <w:rFonts w:ascii="Times New Roman" w:hAnsi="Times New Roman"/>
          <w:b w:val="0"/>
          <w:color w:val="000000"/>
          <w:szCs w:val="28"/>
        </w:rPr>
        <w:t>(1 мкг)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, раствора </w:t>
      </w:r>
      <w:r w:rsidR="00266DAC">
        <w:rPr>
          <w:rFonts w:ascii="Times New Roman" w:hAnsi="Times New Roman"/>
          <w:b w:val="0"/>
          <w:color w:val="000000"/>
          <w:szCs w:val="28"/>
        </w:rPr>
        <w:t xml:space="preserve">для проверки 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пригодности </w:t>
      </w:r>
      <w:proofErr w:type="spellStart"/>
      <w:r w:rsidRPr="00FF1E80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Pr="00FF1E80">
        <w:rPr>
          <w:rFonts w:ascii="Times New Roman" w:hAnsi="Times New Roman"/>
          <w:b w:val="0"/>
          <w:color w:val="000000"/>
          <w:szCs w:val="28"/>
        </w:rPr>
        <w:t xml:space="preserve"> системы</w:t>
      </w:r>
      <w:r w:rsidR="00E70F96">
        <w:rPr>
          <w:rFonts w:ascii="Times New Roman" w:hAnsi="Times New Roman"/>
          <w:b w:val="0"/>
          <w:color w:val="000000"/>
          <w:szCs w:val="28"/>
        </w:rPr>
        <w:t xml:space="preserve"> (0,9 мкг </w:t>
      </w:r>
      <w:proofErr w:type="spellStart"/>
      <w:r w:rsidR="00E70F96">
        <w:rPr>
          <w:rFonts w:ascii="Times New Roman" w:hAnsi="Times New Roman"/>
          <w:b w:val="0"/>
          <w:color w:val="000000"/>
          <w:szCs w:val="28"/>
        </w:rPr>
        <w:t>гидразида</w:t>
      </w:r>
      <w:proofErr w:type="spellEnd"/>
      <w:r w:rsidR="00E70F96">
        <w:rPr>
          <w:rFonts w:ascii="Times New Roman" w:hAnsi="Times New Roman"/>
          <w:b w:val="0"/>
          <w:color w:val="000000"/>
          <w:szCs w:val="28"/>
        </w:rPr>
        <w:t xml:space="preserve"> изоникотиновой кислоты, 100 мкг </w:t>
      </w:r>
      <w:proofErr w:type="spellStart"/>
      <w:r w:rsidR="00E70F96">
        <w:rPr>
          <w:rFonts w:ascii="Times New Roman" w:hAnsi="Times New Roman"/>
          <w:b w:val="0"/>
          <w:color w:val="000000"/>
          <w:szCs w:val="28"/>
        </w:rPr>
        <w:t>метазида</w:t>
      </w:r>
      <w:proofErr w:type="spellEnd"/>
      <w:r w:rsidR="00E70F96">
        <w:rPr>
          <w:rFonts w:ascii="Times New Roman" w:hAnsi="Times New Roman"/>
          <w:b w:val="0"/>
          <w:color w:val="000000"/>
          <w:szCs w:val="28"/>
        </w:rPr>
        <w:t>)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. Пластинку с нанесенными пробами высушивают на воздухе в течение 10 мин, помещают в камеру с ПФ и </w:t>
      </w:r>
      <w:proofErr w:type="spellStart"/>
      <w:r w:rsidRPr="00FF1E80">
        <w:rPr>
          <w:rFonts w:ascii="Times New Roman" w:hAnsi="Times New Roman"/>
          <w:b w:val="0"/>
          <w:color w:val="000000"/>
          <w:szCs w:val="28"/>
        </w:rPr>
        <w:t>хроматографируют</w:t>
      </w:r>
      <w:proofErr w:type="spellEnd"/>
      <w:r w:rsidRPr="00FF1E80">
        <w:rPr>
          <w:rFonts w:ascii="Times New Roman" w:hAnsi="Times New Roman"/>
          <w:b w:val="0"/>
          <w:color w:val="000000"/>
          <w:szCs w:val="28"/>
        </w:rPr>
        <w:t xml:space="preserve"> восходящим способом. Когда фронт ПФ пройдет около 80 – 90 % длины пластинки от линии старта, ее вынимают из камеры, сушат </w:t>
      </w:r>
      <w:r w:rsidR="00FF2896" w:rsidRPr="00FF1E80">
        <w:rPr>
          <w:rFonts w:ascii="Times New Roman" w:hAnsi="Times New Roman"/>
          <w:b w:val="0"/>
          <w:color w:val="000000"/>
          <w:szCs w:val="28"/>
        </w:rPr>
        <w:t xml:space="preserve">на воздухе в течение 10 мин и просматривают в </w:t>
      </w:r>
      <w:proofErr w:type="spellStart"/>
      <w:proofErr w:type="gramStart"/>
      <w:r w:rsidR="00FF2896" w:rsidRPr="00FF1E80">
        <w:rPr>
          <w:rFonts w:ascii="Times New Roman" w:hAnsi="Times New Roman"/>
          <w:b w:val="0"/>
          <w:color w:val="000000"/>
          <w:szCs w:val="28"/>
        </w:rPr>
        <w:t>УФ-свете</w:t>
      </w:r>
      <w:proofErr w:type="spellEnd"/>
      <w:proofErr w:type="gramEnd"/>
      <w:r w:rsidR="00FF2896" w:rsidRPr="00FF1E80">
        <w:rPr>
          <w:rFonts w:ascii="Times New Roman" w:hAnsi="Times New Roman"/>
          <w:b w:val="0"/>
          <w:color w:val="000000"/>
          <w:szCs w:val="28"/>
        </w:rPr>
        <w:t xml:space="preserve"> при 254 нм. </w:t>
      </w:r>
    </w:p>
    <w:p w:rsidR="00D94388" w:rsidRPr="00FF1E80" w:rsidRDefault="00D94388" w:rsidP="00FF1E8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Хроматографическая</w:t>
      </w:r>
      <w:proofErr w:type="spellEnd"/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считается пригодной, если на </w:t>
      </w:r>
      <w:proofErr w:type="spellStart"/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</w:t>
      </w:r>
      <w:r w:rsidR="00FF2896"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проверки пригодности </w:t>
      </w:r>
      <w:proofErr w:type="spellStart"/>
      <w:r w:rsidR="00FF2896"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FF2896"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 видны две зоны адсорбции.</w:t>
      </w:r>
    </w:p>
    <w:p w:rsidR="00FF1E80" w:rsidRDefault="00D94388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 зона адсорбции, находящаяся на уровне зоны адсорбции </w:t>
      </w:r>
      <w:proofErr w:type="spellStart"/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>гидрази</w:t>
      </w:r>
      <w:r w:rsidR="00266DA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изоникотиновой кислоты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, по совокупности  величины и интенсивности поглощения не должна превышать зону адсорбции на </w:t>
      </w:r>
      <w:proofErr w:type="spell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раствора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0,1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632004" w:rsidRPr="00FF1E80" w:rsidRDefault="00632004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>Потеря в массе при высушивании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>Не более 0,5 % (ОФС «Потеря в массе при высушивании», способ 1). Около 0,5 г (точная навеска) субстанции высушивают до постоянной массы при температуре от 100 до 105</w:t>
      </w:r>
      <w:r w:rsidR="00007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>°</w:t>
      </w:r>
      <w:r w:rsidR="00007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</w:p>
    <w:p w:rsidR="00E2077F" w:rsidRPr="00FF1E80" w:rsidRDefault="00654C5C" w:rsidP="00FF1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Формальдегид. 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2 г субстанции встряхивают с 40 мл воды, охлажденной до 0-5</w:t>
      </w:r>
      <w:proofErr w:type="gramStart"/>
      <w:r w:rsidR="0052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266D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 и фильтруют. 3 мл фильтрата, разведенные водой до 10 мл, </w:t>
      </w:r>
      <w:r w:rsidR="00523FAC">
        <w:rPr>
          <w:rFonts w:ascii="Times New Roman" w:eastAsia="Times New Roman" w:hAnsi="Times New Roman" w:cs="Times New Roman"/>
          <w:sz w:val="28"/>
          <w:szCs w:val="28"/>
        </w:rPr>
        <w:t>прибавляют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 1 мл кислоты серной разведенной и 5 мл раствора </w:t>
      </w:r>
      <w:proofErr w:type="spellStart"/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фуксинсернистой</w:t>
      </w:r>
      <w:proofErr w:type="spellEnd"/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F71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слоты. Раствор не должен окрашиваться в течение 4 мин в сиреневый цвет.</w:t>
      </w:r>
    </w:p>
    <w:p w:rsidR="00C03AE3" w:rsidRPr="00FF1E80" w:rsidRDefault="00E2077F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Мышьяк.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Не более 0,0002 % (ОФС «Мышьяк», метод 1). Для определения используют 0,25</w:t>
      </w:r>
      <w:r w:rsidR="00007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 г субстанции.</w:t>
      </w:r>
    </w:p>
    <w:p w:rsidR="00E2077F" w:rsidRPr="00FF1E80" w:rsidRDefault="00E2077F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Сульфаты.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0,02 % (ОФС «Сульфаты», метод 1). 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используют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10 мл фильтрата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полученного в испытании </w:t>
      </w:r>
      <w:r w:rsidR="00523F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>Формальдегид</w:t>
      </w:r>
      <w:r w:rsidR="00523F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AE3" w:rsidRPr="00FF1E80" w:rsidRDefault="00C03AE3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Хлориды.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Не более 0,01 % (ОФС «Хлориды»). 4 мл фильтрата  доводят водой до 10 мл.</w:t>
      </w:r>
    </w:p>
    <w:p w:rsidR="00C03AE3" w:rsidRPr="00FF1E80" w:rsidRDefault="00C03AE3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Сульфатная зола.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Не более 0,1 % (ОФС «Сульфатная зола»). Для определения используют около 1 г (точная навеска) субстанции.</w:t>
      </w:r>
    </w:p>
    <w:p w:rsidR="00C03AE3" w:rsidRPr="00FF1E80" w:rsidRDefault="00C03AE3" w:rsidP="00FF1E8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color w:val="000000"/>
          <w:szCs w:val="28"/>
        </w:rPr>
        <w:t>Тяжелые металлы.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Не более 0,001 %. Определение проводят в соответствии с ОФС «Тяжёлые металлы», метод 2, в зольном остатке, полученном после сжигания </w:t>
      </w:r>
      <w:r w:rsidR="00715EA4" w:rsidRPr="00FF1E80">
        <w:rPr>
          <w:rFonts w:ascii="Times New Roman" w:hAnsi="Times New Roman"/>
          <w:b w:val="0"/>
          <w:color w:val="000000"/>
          <w:szCs w:val="28"/>
        </w:rPr>
        <w:t>1 г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субстанции, с испол</w:t>
      </w:r>
      <w:r w:rsidR="00715EA4" w:rsidRPr="00FF1E80">
        <w:rPr>
          <w:rFonts w:ascii="Times New Roman" w:hAnsi="Times New Roman"/>
          <w:b w:val="0"/>
          <w:color w:val="000000"/>
          <w:szCs w:val="28"/>
        </w:rPr>
        <w:t>ьзованием эталонного раствора 1.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A70E43" w:rsidRPr="00FF1E80" w:rsidRDefault="00A70E43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A70E43" w:rsidRPr="00FF1E80" w:rsidRDefault="00A70E43" w:rsidP="00FF1E8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color w:val="000000"/>
          <w:szCs w:val="28"/>
        </w:rPr>
        <w:lastRenderedPageBreak/>
        <w:t xml:space="preserve">Количественное определение. 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</w:t>
      </w:r>
      <w:proofErr w:type="spellStart"/>
      <w:r w:rsidRPr="00FF1E80">
        <w:rPr>
          <w:rFonts w:ascii="Times New Roman" w:hAnsi="Times New Roman"/>
          <w:b w:val="0"/>
          <w:color w:val="000000"/>
          <w:szCs w:val="28"/>
        </w:rPr>
        <w:t>титриметрии</w:t>
      </w:r>
      <w:proofErr w:type="spellEnd"/>
      <w:r w:rsidRPr="00FF1E80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A70E43" w:rsidRPr="00FF1E80" w:rsidRDefault="00A70E43" w:rsidP="00FF1E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г (точная навеска) субстанции растворяют при нагревании до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30</w:t>
      </w:r>
      <w:proofErr w:type="gramStart"/>
      <w:r w:rsidR="00523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мл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воды, прибавляют 50</w:t>
      </w:r>
      <w:r w:rsidR="0000788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мл 0,</w:t>
      </w:r>
      <w:r w:rsidR="00266DAC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6F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йода и </w:t>
      </w:r>
      <w:r w:rsidR="00523FAC"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30 мл 1</w:t>
      </w:r>
      <w:r w:rsidR="00B80C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натрия </w:t>
      </w:r>
      <w:proofErr w:type="spellStart"/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и оставляют в т</w:t>
      </w:r>
      <w:r w:rsidR="00774C5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мном месте на 20</w:t>
      </w:r>
      <w:r w:rsidR="00266DA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мин. Прибавляют 50 мл 1 М раствора серной</w:t>
      </w:r>
      <w:r w:rsidR="00B80CEB">
        <w:rPr>
          <w:rFonts w:ascii="Times New Roman" w:hAnsi="Times New Roman" w:cs="Times New Roman"/>
          <w:color w:val="000000"/>
          <w:sz w:val="28"/>
          <w:szCs w:val="28"/>
        </w:rPr>
        <w:t xml:space="preserve"> кислоты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выделившейся йод 0,1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натрия тиосульфата</w:t>
      </w:r>
      <w:r w:rsidR="00B90554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 –</w:t>
      </w:r>
      <w:r w:rsidR="00D20CFE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1 мл </w:t>
      </w:r>
      <w:proofErr w:type="gramStart"/>
      <w:r w:rsidR="00D20CFE" w:rsidRPr="00FF1E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73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0CFE" w:rsidRPr="00FF1E80">
        <w:rPr>
          <w:rFonts w:ascii="Times New Roman" w:hAnsi="Times New Roman" w:cs="Times New Roman"/>
          <w:color w:val="000000"/>
          <w:sz w:val="28"/>
          <w:szCs w:val="28"/>
        </w:rPr>
        <w:t>% раствора крахмала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A70E43" w:rsidRPr="00FF1E80" w:rsidRDefault="00A70E43" w:rsidP="00FF1E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A70E43" w:rsidRPr="00FF1E80" w:rsidRDefault="00A70E43" w:rsidP="00FF1E80">
      <w:pPr>
        <w:pStyle w:val="a7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0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523FAC">
        <w:rPr>
          <w:rFonts w:ascii="Times New Roman" w:hAnsi="Times New Roman"/>
          <w:color w:val="000000"/>
          <w:sz w:val="28"/>
          <w:szCs w:val="28"/>
        </w:rPr>
        <w:t>0,05</w:t>
      </w:r>
      <w:r w:rsidR="00D20CFE"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/>
          <w:color w:val="000000"/>
          <w:sz w:val="28"/>
          <w:szCs w:val="28"/>
        </w:rPr>
        <w:t>М</w:t>
      </w:r>
      <w:r w:rsidRPr="00FF1E8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20CFE" w:rsidRPr="00FF1E80">
        <w:rPr>
          <w:rFonts w:ascii="Times New Roman" w:hAnsi="Times New Roman"/>
          <w:color w:val="000000"/>
          <w:sz w:val="28"/>
          <w:szCs w:val="28"/>
        </w:rPr>
        <w:t>йода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D20CFE"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887">
        <w:rPr>
          <w:rFonts w:ascii="Times New Roman" w:hAnsi="Times New Roman"/>
          <w:color w:val="000000"/>
          <w:sz w:val="28"/>
          <w:szCs w:val="28"/>
        </w:rPr>
        <w:t xml:space="preserve">2,86 </w:t>
      </w:r>
      <w:r w:rsidR="00720352">
        <w:rPr>
          <w:rFonts w:ascii="Times New Roman" w:hAnsi="Times New Roman"/>
          <w:color w:val="000000"/>
          <w:sz w:val="28"/>
          <w:szCs w:val="28"/>
        </w:rPr>
        <w:t>м</w:t>
      </w:r>
      <w:r w:rsidR="00007887">
        <w:rPr>
          <w:rFonts w:ascii="Times New Roman" w:hAnsi="Times New Roman"/>
          <w:color w:val="000000"/>
          <w:sz w:val="28"/>
          <w:szCs w:val="28"/>
        </w:rPr>
        <w:t>г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74C5F">
        <w:rPr>
          <w:rFonts w:ascii="Times New Roman" w:hAnsi="Times New Roman"/>
          <w:color w:val="000000"/>
          <w:sz w:val="28"/>
          <w:szCs w:val="28"/>
        </w:rPr>
        <w:t>метазида</w:t>
      </w:r>
      <w:proofErr w:type="spellEnd"/>
      <w:r w:rsidR="00D20CFE"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CFE" w:rsidRPr="00FF1E80">
        <w:rPr>
          <w:rFonts w:ascii="Times New Roman" w:hAnsi="Times New Roman"/>
          <w:sz w:val="28"/>
          <w:szCs w:val="28"/>
        </w:rPr>
        <w:t>C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13</w:t>
      </w:r>
      <w:r w:rsidR="00D20CFE" w:rsidRPr="00FF1E80">
        <w:rPr>
          <w:rFonts w:ascii="Times New Roman" w:hAnsi="Times New Roman"/>
          <w:sz w:val="28"/>
          <w:szCs w:val="28"/>
        </w:rPr>
        <w:t>H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14</w:t>
      </w:r>
      <w:r w:rsidR="00D20CFE" w:rsidRPr="00FF1E80">
        <w:rPr>
          <w:rFonts w:ascii="Times New Roman" w:hAnsi="Times New Roman"/>
          <w:sz w:val="28"/>
          <w:szCs w:val="28"/>
        </w:rPr>
        <w:t>N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6</w:t>
      </w:r>
      <w:r w:rsidR="00D20CFE" w:rsidRPr="00FF1E80">
        <w:rPr>
          <w:rFonts w:ascii="Times New Roman" w:hAnsi="Times New Roman"/>
          <w:sz w:val="28"/>
          <w:szCs w:val="28"/>
        </w:rPr>
        <w:t>O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2</w:t>
      </w:r>
      <w:r w:rsidR="00FF1E80">
        <w:rPr>
          <w:rFonts w:ascii="Times New Roman" w:hAnsi="Times New Roman"/>
          <w:sz w:val="28"/>
          <w:szCs w:val="28"/>
        </w:rPr>
        <w:t>.</w:t>
      </w:r>
    </w:p>
    <w:p w:rsidR="0008347D" w:rsidRPr="00FF1E80" w:rsidRDefault="00D20CFE" w:rsidP="00FF1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80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защищённом</w:t>
      </w:r>
      <w:proofErr w:type="gram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от света.</w:t>
      </w:r>
    </w:p>
    <w:sectPr w:rsidR="0008347D" w:rsidRPr="00FF1E80" w:rsidSect="00B80CEB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07" w:rsidRDefault="00C4651C" w:rsidP="00437207">
      <w:pPr>
        <w:spacing w:after="0" w:line="240" w:lineRule="auto"/>
        <w:pPrChange w:id="2" w:author="gordeevaes" w:date="2018-04-05T14:21:00Z">
          <w:pPr/>
        </w:pPrChange>
      </w:pPr>
      <w:r>
        <w:separator/>
      </w:r>
    </w:p>
  </w:endnote>
  <w:endnote w:type="continuationSeparator" w:id="0">
    <w:p w:rsidR="00437207" w:rsidRDefault="00C4651C" w:rsidP="00437207">
      <w:pPr>
        <w:spacing w:after="0" w:line="240" w:lineRule="auto"/>
        <w:pPrChange w:id="3" w:author="gordeevaes" w:date="2018-04-05T14:21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3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651C" w:rsidRPr="00DB14D1" w:rsidRDefault="0043720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4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4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14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4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4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651C" w:rsidRDefault="00C465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07" w:rsidRDefault="00C4651C" w:rsidP="00437207">
      <w:pPr>
        <w:spacing w:after="0" w:line="240" w:lineRule="auto"/>
        <w:pPrChange w:id="0" w:author="gordeevaes" w:date="2018-04-05T14:21:00Z">
          <w:pPr/>
        </w:pPrChange>
      </w:pPr>
      <w:r>
        <w:separator/>
      </w:r>
    </w:p>
  </w:footnote>
  <w:footnote w:type="continuationSeparator" w:id="0">
    <w:p w:rsidR="00437207" w:rsidRDefault="00C4651C" w:rsidP="00437207">
      <w:pPr>
        <w:spacing w:after="0" w:line="240" w:lineRule="auto"/>
        <w:pPrChange w:id="1" w:author="gordeevaes" w:date="2018-04-05T14:21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1C" w:rsidRDefault="00C4651C" w:rsidP="00DE4E6E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1C" w:rsidRPr="00B80CEB" w:rsidRDefault="00C4651C" w:rsidP="00DE4E6E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F04"/>
    <w:rsid w:val="00007887"/>
    <w:rsid w:val="00027390"/>
    <w:rsid w:val="00064F05"/>
    <w:rsid w:val="0008347D"/>
    <w:rsid w:val="00084E4F"/>
    <w:rsid w:val="000A1141"/>
    <w:rsid w:val="000A328B"/>
    <w:rsid w:val="00111D23"/>
    <w:rsid w:val="00174101"/>
    <w:rsid w:val="00266DAC"/>
    <w:rsid w:val="002D7828"/>
    <w:rsid w:val="003075FE"/>
    <w:rsid w:val="0031021F"/>
    <w:rsid w:val="003C70BA"/>
    <w:rsid w:val="00437207"/>
    <w:rsid w:val="004559A7"/>
    <w:rsid w:val="00505F04"/>
    <w:rsid w:val="0052053C"/>
    <w:rsid w:val="00523FAC"/>
    <w:rsid w:val="006044A5"/>
    <w:rsid w:val="00606C23"/>
    <w:rsid w:val="00632004"/>
    <w:rsid w:val="00654C5C"/>
    <w:rsid w:val="006A0439"/>
    <w:rsid w:val="006A0F83"/>
    <w:rsid w:val="006F7127"/>
    <w:rsid w:val="00701CB7"/>
    <w:rsid w:val="00715EA4"/>
    <w:rsid w:val="00720352"/>
    <w:rsid w:val="007523C0"/>
    <w:rsid w:val="00774C5F"/>
    <w:rsid w:val="007A1BB3"/>
    <w:rsid w:val="007A7F74"/>
    <w:rsid w:val="00831594"/>
    <w:rsid w:val="009A2D3C"/>
    <w:rsid w:val="009A796B"/>
    <w:rsid w:val="009B2E21"/>
    <w:rsid w:val="009E0FC4"/>
    <w:rsid w:val="009E49A5"/>
    <w:rsid w:val="00A65439"/>
    <w:rsid w:val="00A70E43"/>
    <w:rsid w:val="00B07CC8"/>
    <w:rsid w:val="00B30320"/>
    <w:rsid w:val="00B359E1"/>
    <w:rsid w:val="00B40AC3"/>
    <w:rsid w:val="00B63F7E"/>
    <w:rsid w:val="00B80CEB"/>
    <w:rsid w:val="00B86BC8"/>
    <w:rsid w:val="00B90554"/>
    <w:rsid w:val="00BD539E"/>
    <w:rsid w:val="00C03AE3"/>
    <w:rsid w:val="00C4651C"/>
    <w:rsid w:val="00CB3665"/>
    <w:rsid w:val="00CD3501"/>
    <w:rsid w:val="00D20CFE"/>
    <w:rsid w:val="00D63A2A"/>
    <w:rsid w:val="00D80872"/>
    <w:rsid w:val="00D94388"/>
    <w:rsid w:val="00DB14D1"/>
    <w:rsid w:val="00DB1DF9"/>
    <w:rsid w:val="00DE4E6E"/>
    <w:rsid w:val="00E2077F"/>
    <w:rsid w:val="00E4501D"/>
    <w:rsid w:val="00E70F96"/>
    <w:rsid w:val="00EC5F0F"/>
    <w:rsid w:val="00F264E8"/>
    <w:rsid w:val="00F26F1F"/>
    <w:rsid w:val="00FB0112"/>
    <w:rsid w:val="00FF1E80"/>
    <w:rsid w:val="00FF2896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F0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5F04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05F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05F04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05F0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7">
    <w:name w:val="List"/>
    <w:basedOn w:val="a"/>
    <w:rsid w:val="00A70E4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_"/>
    <w:basedOn w:val="a0"/>
    <w:link w:val="37"/>
    <w:rsid w:val="00A70E43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Курсив"/>
    <w:basedOn w:val="a8"/>
    <w:rsid w:val="00A70E4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8"/>
    <w:rsid w:val="00A70E4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8"/>
    <w:rsid w:val="00A70E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8"/>
    <w:rsid w:val="00A70E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A70E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FF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1E80"/>
  </w:style>
  <w:style w:type="paragraph" w:styleId="ac">
    <w:name w:val="footer"/>
    <w:basedOn w:val="a"/>
    <w:link w:val="ad"/>
    <w:uiPriority w:val="99"/>
    <w:unhideWhenUsed/>
    <w:rsid w:val="00FF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1E80"/>
  </w:style>
  <w:style w:type="character" w:styleId="ae">
    <w:name w:val="annotation reference"/>
    <w:basedOn w:val="a0"/>
    <w:uiPriority w:val="99"/>
    <w:semiHidden/>
    <w:unhideWhenUsed/>
    <w:rsid w:val="007523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23C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23C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23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23C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5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2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BDC0-9FD2-432F-8AC5-CA2452E2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11</cp:revision>
  <dcterms:created xsi:type="dcterms:W3CDTF">2018-04-06T10:48:00Z</dcterms:created>
  <dcterms:modified xsi:type="dcterms:W3CDTF">2018-09-21T08:30:00Z</dcterms:modified>
</cp:coreProperties>
</file>