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15918" w:rsidP="004D254F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Пиридоксина гидрохлорид,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15918" w:rsidRPr="004D254F" w:rsidRDefault="00A15918" w:rsidP="0049049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</w:p>
    <w:p w:rsidR="005D15B4" w:rsidRDefault="00A15918" w:rsidP="004D254F">
      <w:pPr>
        <w:pStyle w:val="a5"/>
        <w:tabs>
          <w:tab w:val="left" w:pos="6373"/>
          <w:tab w:val="left" w:pos="6426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Пиридоксин, </w:t>
      </w:r>
      <w:r w:rsidR="005D15B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D15B4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A15918" w:rsidRPr="005D15B4" w:rsidRDefault="00A15918" w:rsidP="0049049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</w:p>
    <w:p w:rsidR="00A15918" w:rsidRPr="004D254F" w:rsidRDefault="00A15918" w:rsidP="004D254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r w:rsidRPr="009233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Pyridoxini</w:t>
      </w:r>
      <w:proofErr w:type="spellEnd"/>
      <w:r w:rsidRPr="009233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proofErr w:type="spellEnd"/>
      <w:r w:rsidR="004D254F">
        <w:rPr>
          <w:rFonts w:ascii="Times New Roman" w:hAnsi="Times New Roman"/>
          <w:b/>
          <w:color w:val="000000" w:themeColor="text1"/>
          <w:sz w:val="28"/>
          <w:szCs w:val="28"/>
        </w:rPr>
        <w:tab/>
        <w:t>Взамен</w:t>
      </w:r>
      <w:r w:rsidR="004D254F" w:rsidRPr="004904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D254F">
        <w:rPr>
          <w:rFonts w:ascii="Times New Roman" w:hAnsi="Times New Roman"/>
          <w:b/>
          <w:color w:val="000000" w:themeColor="text1"/>
          <w:sz w:val="28"/>
          <w:szCs w:val="28"/>
        </w:rPr>
        <w:t>ГФ</w:t>
      </w:r>
      <w:r w:rsidR="004D254F" w:rsidRPr="00A1591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4D254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</w:t>
      </w:r>
      <w:r w:rsidR="004D254F" w:rsidRPr="004904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D254F">
        <w:rPr>
          <w:rFonts w:ascii="Times New Roman" w:hAnsi="Times New Roman"/>
          <w:b/>
          <w:color w:val="000000" w:themeColor="text1"/>
          <w:sz w:val="28"/>
          <w:szCs w:val="28"/>
        </w:rPr>
        <w:t>ст</w:t>
      </w:r>
      <w:r w:rsidR="004D254F" w:rsidRPr="0049049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4D254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4D254F" w:rsidRPr="00490496">
        <w:rPr>
          <w:rFonts w:ascii="Times New Roman" w:hAnsi="Times New Roman"/>
          <w:b/>
          <w:color w:val="000000" w:themeColor="text1"/>
          <w:sz w:val="28"/>
          <w:szCs w:val="28"/>
        </w:rPr>
        <w:t>567</w:t>
      </w:r>
    </w:p>
    <w:p w:rsidR="00A15918" w:rsidRPr="004D254F" w:rsidRDefault="00A15918" w:rsidP="0049049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proofErr w:type="gramEnd"/>
      <w:r w:rsidRPr="009233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injectionibus</w:t>
      </w:r>
      <w:proofErr w:type="spellEnd"/>
      <w:r w:rsidR="004D254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D254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D254F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  <w:r w:rsidR="004D254F" w:rsidRPr="005D15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42-3828-99</w:t>
      </w:r>
    </w:p>
    <w:p w:rsidR="00740A1D" w:rsidRPr="009233A7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233A7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490496">
        <w:rPr>
          <w:rFonts w:ascii="Times New Roman" w:hAnsi="Times New Roman"/>
          <w:b w:val="0"/>
          <w:szCs w:val="28"/>
        </w:rPr>
        <w:t>пиридоксина гидрохлорид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490496">
        <w:rPr>
          <w:rFonts w:ascii="Times New Roman" w:hAnsi="Times New Roman"/>
          <w:b w:val="0"/>
          <w:szCs w:val="28"/>
        </w:rPr>
        <w:t>инъекций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A3721B">
        <w:rPr>
          <w:rFonts w:ascii="Times New Roman" w:hAnsi="Times New Roman"/>
          <w:b w:val="0"/>
          <w:szCs w:val="28"/>
        </w:rPr>
        <w:t>,0</w:t>
      </w:r>
      <w:proofErr w:type="gramEnd"/>
      <w:r w:rsidRPr="00A3721B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490496" w:rsidRPr="008B2BA2">
        <w:rPr>
          <w:rFonts w:ascii="Times New Roman" w:hAnsi="Times New Roman"/>
          <w:b w:val="0"/>
          <w:szCs w:val="28"/>
        </w:rPr>
        <w:t>пиридоксина гидрохлорида C</w:t>
      </w:r>
      <w:r w:rsidR="00490496" w:rsidRPr="008B2BA2">
        <w:rPr>
          <w:rFonts w:ascii="Times New Roman" w:hAnsi="Times New Roman"/>
          <w:b w:val="0"/>
          <w:szCs w:val="28"/>
          <w:vertAlign w:val="subscript"/>
        </w:rPr>
        <w:t>8</w:t>
      </w:r>
      <w:r w:rsidR="00490496" w:rsidRPr="008B2BA2">
        <w:rPr>
          <w:rFonts w:ascii="Times New Roman" w:hAnsi="Times New Roman"/>
          <w:b w:val="0"/>
          <w:szCs w:val="28"/>
        </w:rPr>
        <w:t>H</w:t>
      </w:r>
      <w:r w:rsidR="00490496" w:rsidRPr="008B2BA2">
        <w:rPr>
          <w:rFonts w:ascii="Times New Roman" w:hAnsi="Times New Roman"/>
          <w:b w:val="0"/>
          <w:szCs w:val="28"/>
          <w:vertAlign w:val="subscript"/>
        </w:rPr>
        <w:t>11</w:t>
      </w:r>
      <w:r w:rsidR="00490496" w:rsidRPr="008B2BA2">
        <w:rPr>
          <w:rFonts w:ascii="Times New Roman" w:hAnsi="Times New Roman"/>
          <w:b w:val="0"/>
          <w:szCs w:val="28"/>
        </w:rPr>
        <w:t>NO</w:t>
      </w:r>
      <w:r w:rsidR="00490496" w:rsidRPr="008B2BA2">
        <w:rPr>
          <w:rFonts w:ascii="Times New Roman" w:hAnsi="Times New Roman"/>
          <w:b w:val="0"/>
          <w:szCs w:val="28"/>
          <w:vertAlign w:val="subscript"/>
        </w:rPr>
        <w:t>3</w:t>
      </w:r>
      <w:r w:rsidR="00490496" w:rsidRPr="008B2BA2">
        <w:rPr>
          <w:rFonts w:ascii="Times New Roman" w:hAnsi="Times New Roman"/>
          <w:b w:val="0"/>
          <w:szCs w:val="28"/>
        </w:rPr>
        <w:t>·</w:t>
      </w:r>
      <w:proofErr w:type="spellStart"/>
      <w:r w:rsidR="00490496" w:rsidRPr="008B2BA2">
        <w:rPr>
          <w:rFonts w:ascii="Times New Roman" w:hAnsi="Times New Roman"/>
          <w:b w:val="0"/>
          <w:szCs w:val="28"/>
        </w:rPr>
        <w:t>HCl</w:t>
      </w:r>
      <w:proofErr w:type="spellEnd"/>
      <w:r w:rsidRPr="00A3721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 xml:space="preserve">бесцветная или </w:t>
      </w:r>
      <w:r w:rsidR="00490496">
        <w:rPr>
          <w:rStyle w:val="8"/>
          <w:color w:val="000000" w:themeColor="text1"/>
          <w:sz w:val="28"/>
          <w:szCs w:val="28"/>
        </w:rPr>
        <w:t>слегка</w:t>
      </w:r>
      <w:r w:rsidR="00F148A4">
        <w:rPr>
          <w:rStyle w:val="8"/>
          <w:color w:val="000000" w:themeColor="text1"/>
          <w:sz w:val="28"/>
          <w:szCs w:val="28"/>
        </w:rPr>
        <w:t xml:space="preserve"> окрашенная</w:t>
      </w:r>
      <w:r w:rsidR="00BA153C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AB217B" w:rsidRDefault="00AB217B" w:rsidP="0019086C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</w:p>
    <w:p w:rsidR="00490496" w:rsidRDefault="00C73848" w:rsidP="0019086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490496" w:rsidRPr="0046406A" w:rsidRDefault="00490496" w:rsidP="00490496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257F51">
        <w:rPr>
          <w:i/>
          <w:sz w:val="28"/>
          <w:szCs w:val="28"/>
        </w:rPr>
        <w:t>1. Тонкослойная хроматография.</w:t>
      </w:r>
      <w:r w:rsidRPr="00257F51">
        <w:rPr>
          <w:sz w:val="28"/>
          <w:szCs w:val="28"/>
        </w:rPr>
        <w:t xml:space="preserve"> Основная зона адсорбции на хром</w:t>
      </w:r>
      <w:r>
        <w:rPr>
          <w:sz w:val="28"/>
          <w:szCs w:val="28"/>
        </w:rPr>
        <w:t>атограмме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 w:rsidRPr="00257F51">
        <w:rPr>
          <w:sz w:val="28"/>
          <w:szCs w:val="28"/>
        </w:rPr>
        <w:t xml:space="preserve"> по положению, интенсивности окраски и величине должна соответствовать основной зоне адсорбции на </w:t>
      </w:r>
      <w:r w:rsidRPr="0046406A">
        <w:rPr>
          <w:sz w:val="28"/>
          <w:szCs w:val="28"/>
        </w:rPr>
        <w:t>хроматограмме раств</w:t>
      </w:r>
      <w:r>
        <w:rPr>
          <w:sz w:val="28"/>
          <w:szCs w:val="28"/>
        </w:rPr>
        <w:t xml:space="preserve">ора стандартного образца пиридоксина гидрохлорида А </w:t>
      </w:r>
      <w:r w:rsidRPr="00F801E7">
        <w:rPr>
          <w:sz w:val="28"/>
          <w:szCs w:val="28"/>
        </w:rPr>
        <w:t>(раздел «</w:t>
      </w:r>
      <w:r>
        <w:rPr>
          <w:sz w:val="28"/>
          <w:szCs w:val="28"/>
        </w:rPr>
        <w:t>Родственные примеси</w:t>
      </w:r>
      <w:r w:rsidRPr="00F801E7">
        <w:rPr>
          <w:sz w:val="28"/>
          <w:szCs w:val="28"/>
        </w:rPr>
        <w:t>»)</w:t>
      </w:r>
      <w:r w:rsidRPr="0046406A">
        <w:rPr>
          <w:sz w:val="28"/>
          <w:szCs w:val="28"/>
        </w:rPr>
        <w:t>.</w:t>
      </w:r>
    </w:p>
    <w:p w:rsidR="00490496" w:rsidRPr="0070272B" w:rsidRDefault="00490496" w:rsidP="00490496">
      <w:pPr>
        <w:spacing w:after="0" w:line="360" w:lineRule="auto"/>
        <w:ind w:right="-1" w:firstLine="709"/>
        <w:jc w:val="both"/>
        <w:rPr>
          <w:rFonts w:ascii="Times New Roman" w:hAnsi="Times New Roman"/>
        </w:rPr>
      </w:pPr>
      <w:r w:rsidRPr="00F801E7">
        <w:rPr>
          <w:rFonts w:ascii="Times New Roman" w:hAnsi="Times New Roman"/>
          <w:i/>
          <w:sz w:val="28"/>
          <w:szCs w:val="28"/>
        </w:rPr>
        <w:t>2. Спектрофотометрия</w:t>
      </w:r>
      <w:r w:rsidRPr="00F801E7">
        <w:rPr>
          <w:rFonts w:ascii="Times New Roman" w:hAnsi="Times New Roman"/>
          <w:b/>
          <w:sz w:val="28"/>
          <w:szCs w:val="28"/>
        </w:rPr>
        <w:t xml:space="preserve">. 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Спектр поглощения испытуемого раствора в области длин волн от </w:t>
      </w:r>
      <w:r w:rsidRPr="004D25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200 до 400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нм должен соответствовать спектру поглощения раствора стандартного образца пиридоксина гидрохлорида </w:t>
      </w:r>
      <w:r w:rsidRPr="00F801E7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2D0518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7FA4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776EFA" w:rsidRDefault="00776EFA" w:rsidP="004100CE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CA527B">
        <w:rPr>
          <w:rStyle w:val="8"/>
          <w:color w:val="000000" w:themeColor="text1"/>
          <w:sz w:val="28"/>
          <w:szCs w:val="28"/>
        </w:rPr>
        <w:t>П</w:t>
      </w:r>
      <w:r w:rsidR="004D254F">
        <w:rPr>
          <w:rStyle w:val="8"/>
          <w:color w:val="000000" w:themeColor="text1"/>
          <w:sz w:val="28"/>
          <w:szCs w:val="28"/>
        </w:rPr>
        <w:t xml:space="preserve">репарат должен </w:t>
      </w:r>
      <w:r w:rsidR="004E0D97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4E0D97" w:rsidRPr="0043672E">
        <w:rPr>
          <w:rStyle w:val="8"/>
          <w:color w:val="000000" w:themeColor="text1"/>
          <w:sz w:val="28"/>
          <w:szCs w:val="28"/>
          <w:lang w:val="en-US"/>
        </w:rPr>
        <w:t>Y</w:t>
      </w:r>
      <w:r w:rsidR="0043672E" w:rsidRPr="0043672E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4E0D97" w:rsidRPr="004E0D97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645B71">
        <w:rPr>
          <w:rStyle w:val="8"/>
          <w:color w:val="000000" w:themeColor="text1"/>
          <w:sz w:val="28"/>
          <w:szCs w:val="28"/>
        </w:rPr>
        <w:t>,</w:t>
      </w:r>
      <w:r w:rsidR="00645B71" w:rsidRPr="00645B71">
        <w:rPr>
          <w:color w:val="000000" w:themeColor="text1"/>
          <w:sz w:val="28"/>
          <w:szCs w:val="28"/>
          <w:lang w:eastAsia="ru-RU" w:bidi="ru-RU"/>
        </w:rPr>
        <w:t xml:space="preserve"> метод 2</w:t>
      </w:r>
      <w:r w:rsidR="00CA527B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43672E">
        <w:rPr>
          <w:rFonts w:ascii="Times New Roman" w:hAnsi="Times New Roman"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FC5F9A">
        <w:rPr>
          <w:rFonts w:ascii="Times New Roman" w:hAnsi="Times New Roman"/>
          <w:sz w:val="28"/>
          <w:szCs w:val="28"/>
        </w:rPr>
        <w:t>3,8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AB217B" w:rsidRDefault="00AB217B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2FEB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AB217B" w:rsidRDefault="00AB217B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0EA5" w:rsidRDefault="004D6A3D" w:rsidP="00E50EA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E9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0EA5" w:rsidRPr="00E47687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ТСХ.</w:t>
      </w:r>
    </w:p>
    <w:p w:rsidR="00E50EA5" w:rsidRDefault="00E50EA5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E50EA5" w:rsidRPr="009A7C32" w:rsidRDefault="00E50EA5" w:rsidP="00E50EA5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Подвижная фаза (ПФ).</w:t>
      </w:r>
      <w:r w:rsidRPr="009A7C32">
        <w:rPr>
          <w:rFonts w:ascii="Times New Roman" w:hAnsi="Times New Roman"/>
          <w:b w:val="0"/>
        </w:rPr>
        <w:t xml:space="preserve"> </w:t>
      </w:r>
      <w:r>
        <w:rPr>
          <w:b w:val="0"/>
          <w:bCs/>
          <w:szCs w:val="28"/>
        </w:rPr>
        <w:t xml:space="preserve">Аммиак водный </w:t>
      </w:r>
      <w:r w:rsidRPr="009A7C32">
        <w:rPr>
          <w:rFonts w:ascii="Times New Roman" w:hAnsi="Times New Roman"/>
          <w:b w:val="0"/>
        </w:rPr>
        <w:t xml:space="preserve">– </w:t>
      </w:r>
      <w:r>
        <w:rPr>
          <w:rFonts w:ascii="Times New Roman" w:hAnsi="Times New Roman"/>
          <w:b w:val="0"/>
        </w:rPr>
        <w:t>тетрагидрофуран – метиленхлорид</w:t>
      </w:r>
      <w:r w:rsidRPr="009A7C32">
        <w:rPr>
          <w:rFonts w:ascii="Times New Roman" w:hAnsi="Times New Roman"/>
          <w:b w:val="0"/>
        </w:rPr>
        <w:t xml:space="preserve"> – </w:t>
      </w:r>
      <w:r>
        <w:rPr>
          <w:rFonts w:ascii="Times New Roman" w:hAnsi="Times New Roman"/>
          <w:b w:val="0"/>
        </w:rPr>
        <w:t>ацетон  9:13:13:65</w:t>
      </w:r>
      <w:r w:rsidRPr="009A7C32">
        <w:rPr>
          <w:rFonts w:ascii="Times New Roman" w:hAnsi="Times New Roman"/>
          <w:b w:val="0"/>
        </w:rPr>
        <w:t>.</w:t>
      </w:r>
    </w:p>
    <w:p w:rsidR="00E50EA5" w:rsidRDefault="00E50EA5" w:rsidP="00E50E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Испытуемый раствор А</w:t>
      </w:r>
      <w:r w:rsidRPr="009A7C32">
        <w:rPr>
          <w:rFonts w:ascii="Times New Roman" w:hAnsi="Times New Roman"/>
          <w:b w:val="0"/>
          <w:i/>
        </w:rPr>
        <w:t>.</w:t>
      </w:r>
      <w:r w:rsidRPr="009A7C32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Объ</w:t>
      </w:r>
      <w:r w:rsidR="009233A7">
        <w:rPr>
          <w:rFonts w:ascii="Times New Roman" w:hAnsi="Times New Roman"/>
          <w:b w:val="0"/>
        </w:rPr>
        <w:t>ё</w:t>
      </w:r>
      <w:r w:rsidR="00933B55">
        <w:rPr>
          <w:rFonts w:ascii="Times New Roman" w:hAnsi="Times New Roman"/>
          <w:b w:val="0"/>
        </w:rPr>
        <w:t>м препарата, содержащий около 8</w:t>
      </w:r>
      <w:r>
        <w:rPr>
          <w:rFonts w:ascii="Times New Roman" w:hAnsi="Times New Roman"/>
          <w:b w:val="0"/>
        </w:rPr>
        <w:t xml:space="preserve">0 мг пиридоксина гидрохлорида, помещают в мерную колбу вместимостью 10 мл и </w:t>
      </w:r>
      <w:r>
        <w:rPr>
          <w:rFonts w:ascii="Times New Roman" w:hAnsi="Times New Roman"/>
          <w:b w:val="0"/>
          <w:szCs w:val="28"/>
        </w:rPr>
        <w:t>доводят объем раствора водой до метки.</w:t>
      </w:r>
    </w:p>
    <w:p w:rsidR="00E50EA5" w:rsidRPr="009A7C32" w:rsidRDefault="00E50EA5" w:rsidP="00E50E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Испытуемый раствор Б</w:t>
      </w:r>
      <w:r>
        <w:rPr>
          <w:rFonts w:ascii="Times New Roman" w:hAnsi="Times New Roman"/>
          <w:b w:val="0"/>
        </w:rPr>
        <w:t>. 1,0</w:t>
      </w:r>
      <w:r w:rsidRPr="009A7C32">
        <w:rPr>
          <w:rFonts w:ascii="Times New Roman" w:hAnsi="Times New Roman"/>
          <w:b w:val="0"/>
        </w:rPr>
        <w:t> мл</w:t>
      </w:r>
      <w:r>
        <w:rPr>
          <w:rFonts w:ascii="Times New Roman" w:hAnsi="Times New Roman"/>
          <w:b w:val="0"/>
        </w:rPr>
        <w:t xml:space="preserve"> испытуемого</w:t>
      </w:r>
      <w:r w:rsidRPr="009A7C32">
        <w:rPr>
          <w:rFonts w:ascii="Times New Roman" w:hAnsi="Times New Roman"/>
          <w:b w:val="0"/>
        </w:rPr>
        <w:t xml:space="preserve"> раствора </w:t>
      </w:r>
      <w:r w:rsidRPr="0071241E">
        <w:rPr>
          <w:rFonts w:ascii="Times New Roman" w:hAnsi="Times New Roman"/>
          <w:b w:val="0"/>
        </w:rPr>
        <w:t>А</w:t>
      </w:r>
      <w:r w:rsidRPr="001E3DEA">
        <w:rPr>
          <w:rFonts w:ascii="Times New Roman" w:hAnsi="Times New Roman"/>
          <w:b w:val="0"/>
          <w:i/>
        </w:rPr>
        <w:t xml:space="preserve"> </w:t>
      </w:r>
      <w:r w:rsidRPr="009A7C32">
        <w:rPr>
          <w:rFonts w:ascii="Times New Roman" w:hAnsi="Times New Roman"/>
          <w:b w:val="0"/>
        </w:rPr>
        <w:t>помещ</w:t>
      </w:r>
      <w:r>
        <w:rPr>
          <w:rFonts w:ascii="Times New Roman" w:hAnsi="Times New Roman"/>
          <w:b w:val="0"/>
        </w:rPr>
        <w:t>ают в мерную колбу вместимостью 100 мл и</w:t>
      </w:r>
      <w:r w:rsidRPr="009A7C32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Cs w:val="28"/>
        </w:rPr>
        <w:t>доводят объем раствора водой до метки</w:t>
      </w:r>
      <w:r w:rsidRPr="009A7C32">
        <w:rPr>
          <w:rFonts w:ascii="Times New Roman" w:hAnsi="Times New Roman"/>
          <w:b w:val="0"/>
        </w:rPr>
        <w:t>.</w:t>
      </w:r>
    </w:p>
    <w:p w:rsidR="00E50EA5" w:rsidRPr="00F812D7" w:rsidRDefault="00E50EA5" w:rsidP="00E50E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85C1A">
        <w:rPr>
          <w:rFonts w:ascii="Times New Roman" w:hAnsi="Times New Roman"/>
          <w:b w:val="0"/>
          <w:i/>
        </w:rPr>
        <w:t xml:space="preserve">Раствор стандартного образца </w:t>
      </w:r>
      <w:r>
        <w:rPr>
          <w:rFonts w:ascii="Times New Roman" w:hAnsi="Times New Roman"/>
          <w:b w:val="0"/>
          <w:i/>
        </w:rPr>
        <w:t>пиридоксина гидрохлорида А</w:t>
      </w:r>
      <w:r w:rsidRPr="00D85C1A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Около 20</w:t>
      </w:r>
      <w:r w:rsidRPr="001F6EC5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</w:t>
      </w:r>
      <w:r w:rsidRPr="001F6EC5">
        <w:rPr>
          <w:rFonts w:ascii="Times New Roman" w:hAnsi="Times New Roman"/>
          <w:b w:val="0"/>
        </w:rPr>
        <w:t>г</w:t>
      </w:r>
      <w:r>
        <w:rPr>
          <w:rFonts w:ascii="Times New Roman" w:hAnsi="Times New Roman"/>
          <w:b w:val="0"/>
        </w:rPr>
        <w:t xml:space="preserve"> стандартного образца пиридоксина гидрохлорида, помещают в мерную колбу вместимостью 25 мл, растворяют в 20</w:t>
      </w:r>
      <w:r w:rsidRPr="006A0056">
        <w:rPr>
          <w:rFonts w:ascii="Times New Roman" w:hAnsi="Times New Roman"/>
          <w:b w:val="0"/>
        </w:rPr>
        <w:t xml:space="preserve"> мл </w:t>
      </w:r>
      <w:r>
        <w:rPr>
          <w:rFonts w:ascii="Times New Roman" w:hAnsi="Times New Roman"/>
          <w:b w:val="0"/>
        </w:rPr>
        <w:t>воды и доводят объ</w:t>
      </w:r>
      <w:r w:rsidR="009233A7">
        <w:rPr>
          <w:rFonts w:ascii="Times New Roman" w:hAnsi="Times New Roman"/>
          <w:b w:val="0"/>
        </w:rPr>
        <w:t>ё</w:t>
      </w:r>
      <w:r>
        <w:rPr>
          <w:rFonts w:ascii="Times New Roman" w:hAnsi="Times New Roman"/>
          <w:b w:val="0"/>
        </w:rPr>
        <w:t>м раствора водой до метки</w:t>
      </w:r>
      <w:r w:rsidRPr="006A0056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1,0 мл полученного раствора </w:t>
      </w:r>
      <w:r>
        <w:rPr>
          <w:rFonts w:ascii="Times New Roman" w:hAnsi="Times New Roman"/>
          <w:b w:val="0"/>
        </w:rPr>
        <w:t>помещают в мерную колбу вместимостью 10 мл и доводят объ</w:t>
      </w:r>
      <w:r w:rsidR="009233A7">
        <w:rPr>
          <w:rFonts w:ascii="Times New Roman" w:hAnsi="Times New Roman"/>
          <w:b w:val="0"/>
        </w:rPr>
        <w:t>ё</w:t>
      </w:r>
      <w:r>
        <w:rPr>
          <w:rFonts w:ascii="Times New Roman" w:hAnsi="Times New Roman"/>
          <w:b w:val="0"/>
        </w:rPr>
        <w:t>м раствора водой до метки</w:t>
      </w:r>
      <w:r w:rsidRPr="006A0056">
        <w:rPr>
          <w:rFonts w:ascii="Times New Roman" w:hAnsi="Times New Roman"/>
          <w:b w:val="0"/>
          <w:szCs w:val="28"/>
        </w:rPr>
        <w:t>.</w:t>
      </w:r>
    </w:p>
    <w:p w:rsidR="00E50EA5" w:rsidRDefault="00E50EA5" w:rsidP="00E50E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B6328">
        <w:rPr>
          <w:rFonts w:ascii="Times New Roman" w:hAnsi="Times New Roman"/>
          <w:b w:val="0"/>
          <w:i/>
          <w:szCs w:val="28"/>
        </w:rPr>
        <w:t xml:space="preserve">Раствор </w:t>
      </w:r>
      <w:r w:rsidR="009367EA" w:rsidRPr="00D85C1A">
        <w:rPr>
          <w:rFonts w:ascii="Times New Roman" w:hAnsi="Times New Roman"/>
          <w:b w:val="0"/>
          <w:i/>
        </w:rPr>
        <w:t xml:space="preserve">стандартного образца </w:t>
      </w:r>
      <w:r w:rsidR="00D337B0">
        <w:rPr>
          <w:rFonts w:ascii="Times New Roman" w:hAnsi="Times New Roman"/>
          <w:b w:val="0"/>
          <w:i/>
        </w:rPr>
        <w:t>пиридоксина гидрохлорида Б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 w:rsidR="00D337B0">
        <w:rPr>
          <w:rFonts w:ascii="Times New Roman" w:hAnsi="Times New Roman"/>
          <w:b w:val="0"/>
        </w:rPr>
        <w:t>2,5</w:t>
      </w:r>
      <w:r>
        <w:rPr>
          <w:rFonts w:ascii="Times New Roman" w:hAnsi="Times New Roman"/>
          <w:b w:val="0"/>
        </w:rPr>
        <w:t xml:space="preserve"> мл раствора </w:t>
      </w:r>
      <w:r w:rsidRPr="00586ECE">
        <w:rPr>
          <w:rFonts w:ascii="Times New Roman" w:hAnsi="Times New Roman"/>
          <w:b w:val="0"/>
        </w:rPr>
        <w:t xml:space="preserve">стандартного образца пиридоксина гидрохлорида </w:t>
      </w:r>
      <w:r w:rsidR="00D337B0"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 xml:space="preserve"> помещают </w:t>
      </w:r>
      <w:proofErr w:type="gramStart"/>
      <w:r>
        <w:rPr>
          <w:rFonts w:ascii="Times New Roman" w:hAnsi="Times New Roman"/>
          <w:b w:val="0"/>
        </w:rPr>
        <w:t>в</w:t>
      </w:r>
      <w:proofErr w:type="gramEnd"/>
      <w:r>
        <w:rPr>
          <w:rFonts w:ascii="Times New Roman" w:hAnsi="Times New Roman"/>
          <w:b w:val="0"/>
        </w:rPr>
        <w:t xml:space="preserve"> мерную колбу вместимостью 10 мл и доводят объем раствора водой до метки</w:t>
      </w:r>
      <w:r w:rsidRPr="006A0056">
        <w:rPr>
          <w:rFonts w:ascii="Times New Roman" w:hAnsi="Times New Roman"/>
          <w:b w:val="0"/>
          <w:szCs w:val="28"/>
        </w:rPr>
        <w:t>.</w:t>
      </w:r>
    </w:p>
    <w:p w:rsidR="009367EA" w:rsidRPr="00CC4B96" w:rsidRDefault="009367EA" w:rsidP="00E50E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1B6328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</w:t>
      </w:r>
      <w:r>
        <w:rPr>
          <w:rFonts w:ascii="Times New Roman" w:hAnsi="Times New Roman"/>
          <w:b w:val="0"/>
          <w:i/>
          <w:szCs w:val="28"/>
        </w:rPr>
        <w:t xml:space="preserve">афической </w:t>
      </w:r>
      <w:r w:rsidRPr="001B6328">
        <w:rPr>
          <w:rFonts w:ascii="Times New Roman" w:hAnsi="Times New Roman"/>
          <w:b w:val="0"/>
          <w:i/>
          <w:szCs w:val="28"/>
        </w:rPr>
        <w:t>системы</w:t>
      </w:r>
      <w:r w:rsidRPr="009A7C32">
        <w:rPr>
          <w:rFonts w:ascii="Times New Roman" w:hAnsi="Times New Roman"/>
          <w:b w:val="0"/>
          <w:i/>
        </w:rPr>
        <w:t>.</w:t>
      </w:r>
      <w:r w:rsidR="00D337B0">
        <w:rPr>
          <w:rFonts w:ascii="Times New Roman" w:hAnsi="Times New Roman"/>
          <w:b w:val="0"/>
        </w:rPr>
        <w:t xml:space="preserve"> 2</w:t>
      </w:r>
      <w:r w:rsidR="00CC4B96">
        <w:rPr>
          <w:rFonts w:ascii="Times New Roman" w:hAnsi="Times New Roman"/>
          <w:b w:val="0"/>
        </w:rPr>
        <w:t xml:space="preserve">,0 мл раствора </w:t>
      </w:r>
      <w:r w:rsidR="00CC4B96" w:rsidRPr="00586ECE">
        <w:rPr>
          <w:rFonts w:ascii="Times New Roman" w:hAnsi="Times New Roman"/>
          <w:b w:val="0"/>
        </w:rPr>
        <w:t>стандартного образца пиридоксина гидрохлорида</w:t>
      </w:r>
      <w:proofErr w:type="gramStart"/>
      <w:r w:rsidR="00CC4B96" w:rsidRPr="00586ECE">
        <w:rPr>
          <w:rFonts w:ascii="Times New Roman" w:hAnsi="Times New Roman"/>
          <w:b w:val="0"/>
        </w:rPr>
        <w:t xml:space="preserve"> </w:t>
      </w:r>
      <w:r w:rsidR="00CC4B96">
        <w:rPr>
          <w:rFonts w:ascii="Times New Roman" w:hAnsi="Times New Roman"/>
          <w:b w:val="0"/>
        </w:rPr>
        <w:t>Б</w:t>
      </w:r>
      <w:proofErr w:type="gramEnd"/>
      <w:r w:rsidR="00CC4B96">
        <w:rPr>
          <w:rFonts w:ascii="Times New Roman" w:hAnsi="Times New Roman"/>
          <w:b w:val="0"/>
        </w:rPr>
        <w:t xml:space="preserve"> помещают в мерную колбу вместимостью 10 мл и доводят объем раствора водой до метки</w:t>
      </w:r>
      <w:r w:rsidR="00CC4B96" w:rsidRPr="006A0056">
        <w:rPr>
          <w:rFonts w:ascii="Times New Roman" w:hAnsi="Times New Roman"/>
          <w:b w:val="0"/>
          <w:szCs w:val="28"/>
        </w:rPr>
        <w:t>.</w:t>
      </w:r>
    </w:p>
    <w:p w:rsidR="00E50EA5" w:rsidRDefault="00E50EA5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A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линию ст</w:t>
      </w:r>
      <w:r w:rsidR="00F65814">
        <w:rPr>
          <w:rFonts w:ascii="Times New Roman" w:hAnsi="Times New Roman" w:cs="Times New Roman"/>
          <w:sz w:val="28"/>
          <w:szCs w:val="28"/>
          <w:lang w:eastAsia="ru-RU"/>
        </w:rPr>
        <w:t xml:space="preserve">арта пластинки наносят </w:t>
      </w:r>
      <w:r w:rsidR="00CC4B96" w:rsidRPr="00CC4B9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65814" w:rsidRPr="00CC4B96">
        <w:rPr>
          <w:rFonts w:ascii="Times New Roman" w:hAnsi="Times New Roman" w:cs="Times New Roman"/>
          <w:sz w:val="28"/>
          <w:szCs w:val="28"/>
          <w:lang w:eastAsia="ru-RU"/>
        </w:rPr>
        <w:t>0 мкл</w:t>
      </w:r>
      <w:r w:rsidR="00CC4B96">
        <w:rPr>
          <w:rFonts w:ascii="Times New Roman" w:hAnsi="Times New Roman" w:cs="Times New Roman"/>
          <w:sz w:val="28"/>
          <w:szCs w:val="28"/>
          <w:lang w:eastAsia="ru-RU"/>
        </w:rPr>
        <w:t xml:space="preserve"> (8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0 мкг)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пытуемого раствора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10 мкл (0,8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испытуемого раствора Б, 10 мкл (0,8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Pr="000170CF">
        <w:rPr>
          <w:rFonts w:ascii="Times New Roman" w:hAnsi="Times New Roman" w:cs="Times New Roman"/>
          <w:sz w:val="28"/>
          <w:szCs w:val="28"/>
          <w:lang w:eastAsia="ru-RU"/>
        </w:rPr>
        <w:t>раствора стандартного образца пиридоксина гидрохлорида А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37B0">
        <w:rPr>
          <w:rFonts w:ascii="Times New Roman" w:hAnsi="Times New Roman" w:cs="Times New Roman"/>
          <w:sz w:val="28"/>
          <w:szCs w:val="28"/>
          <w:lang w:eastAsia="ru-RU"/>
        </w:rPr>
        <w:t xml:space="preserve"> 10 мкл (0,2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Pr="000170CF">
        <w:rPr>
          <w:rFonts w:ascii="Times New Roman" w:hAnsi="Times New Roman" w:cs="Times New Roman"/>
          <w:sz w:val="28"/>
          <w:szCs w:val="28"/>
          <w:lang w:eastAsia="ru-RU"/>
        </w:rPr>
        <w:t>раствора стандартного образца пиридоксина гидрохлорида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D33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10 мкл (0,</w:t>
      </w:r>
      <w:r w:rsidR="00CC4B9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 раствора для проверки чувствительн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 хроматографической системы.</w:t>
      </w:r>
    </w:p>
    <w:p w:rsidR="00E50EA5" w:rsidRDefault="00E50EA5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высушивают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воздухе, помещают в камеру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</w:t>
      </w:r>
      <w:r w:rsidRPr="008873B9">
        <w:rPr>
          <w:rFonts w:ascii="Times New Roman" w:hAnsi="Times New Roman" w:cs="Times New Roman"/>
          <w:sz w:val="28"/>
          <w:szCs w:val="28"/>
          <w:lang w:eastAsia="ru-RU"/>
        </w:rPr>
        <w:t xml:space="preserve">опрыскивают </w:t>
      </w:r>
      <w:r w:rsidRPr="00F73F5A">
        <w:rPr>
          <w:rFonts w:ascii="Times New Roman" w:hAnsi="Times New Roman" w:cs="Times New Roman"/>
          <w:sz w:val="28"/>
          <w:szCs w:val="28"/>
          <w:lang w:eastAsia="ru-RU"/>
        </w:rPr>
        <w:t>5 % водно-спиртовым раствором натрия гидрокарбоната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высушивают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воздухе, </w:t>
      </w:r>
      <w:r w:rsidRPr="008873B9">
        <w:rPr>
          <w:rFonts w:ascii="Times New Roman" w:hAnsi="Times New Roman" w:cs="Times New Roman"/>
          <w:sz w:val="28"/>
          <w:szCs w:val="28"/>
          <w:lang w:eastAsia="ru-RU"/>
        </w:rPr>
        <w:t xml:space="preserve">опрыскивают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0,1 % раствором 2,6-дихлорхинонхлоримида</w:t>
      </w:r>
      <w:r w:rsidR="00C8678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просматривают при дневном свете.</w:t>
      </w:r>
    </w:p>
    <w:p w:rsidR="00E50EA5" w:rsidRDefault="00E50EA5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Хроматографическая система считается пригодной, если на хроматограмме раствора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четко видна зона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адсорбции.</w:t>
      </w:r>
    </w:p>
    <w:p w:rsidR="00E50EA5" w:rsidRDefault="00E50EA5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725">
        <w:rPr>
          <w:rFonts w:ascii="Times New Roman" w:hAnsi="Times New Roman" w:cs="Times New Roman"/>
          <w:sz w:val="28"/>
          <w:szCs w:val="28"/>
          <w:lang w:eastAsia="ru-RU"/>
        </w:rPr>
        <w:t>На хроматограмме испытуемого раствора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D337B0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наличие </w:t>
      </w:r>
      <w:r w:rsidRPr="004D254F">
        <w:rPr>
          <w:rFonts w:ascii="Times New Roman" w:hAnsi="Times New Roman" w:cs="Times New Roman"/>
          <w:sz w:val="28"/>
          <w:szCs w:val="28"/>
          <w:lang w:eastAsia="ru-RU"/>
        </w:rPr>
        <w:t>дополнительных зон адсорбции</w:t>
      </w:r>
      <w:r w:rsidRPr="00542725">
        <w:rPr>
          <w:rFonts w:ascii="Times New Roman" w:hAnsi="Times New Roman" w:cs="Times New Roman"/>
          <w:sz w:val="28"/>
          <w:szCs w:val="28"/>
          <w:lang w:eastAsia="ru-RU"/>
        </w:rPr>
        <w:t xml:space="preserve">, каждая из которых по величине и интенсивности поглощения не должна превышать 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зону адсорбции на хроматограмме раство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ра стандартного образца пиридокс</w:t>
      </w:r>
      <w:r w:rsidR="00D337B0">
        <w:rPr>
          <w:rFonts w:ascii="Times New Roman" w:hAnsi="Times New Roman" w:cs="Times New Roman"/>
          <w:sz w:val="28"/>
          <w:szCs w:val="28"/>
          <w:lang w:eastAsia="ru-RU"/>
        </w:rPr>
        <w:t>ина гидрохлорида Б</w:t>
      </w:r>
      <w:r w:rsidR="00CC4B96">
        <w:rPr>
          <w:rFonts w:ascii="Times New Roman" w:hAnsi="Times New Roman" w:cs="Times New Roman"/>
          <w:sz w:val="28"/>
          <w:szCs w:val="28"/>
          <w:lang w:eastAsia="ru-RU"/>
        </w:rPr>
        <w:t xml:space="preserve"> (не более 0,25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 %)</w:t>
      </w:r>
      <w:r w:rsidR="004D25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1E2" w:rsidRDefault="00E50EA5" w:rsidP="00E50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AD0">
        <w:rPr>
          <w:rFonts w:ascii="Times New Roman" w:hAnsi="Times New Roman" w:cs="Times New Roman"/>
          <w:sz w:val="28"/>
          <w:szCs w:val="28"/>
          <w:lang w:eastAsia="ru-RU"/>
        </w:rPr>
        <w:t>Зону адсорбции на линии старта при оценке не учитывают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57D" w:rsidRDefault="0030657D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D6798D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A447C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0,4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ЕЭ</w:t>
      </w:r>
      <w:r w:rsidR="00F917FF">
        <w:rPr>
          <w:rStyle w:val="8"/>
          <w:rFonts w:eastAsiaTheme="minorHAnsi"/>
          <w:color w:val="000000" w:themeColor="text1"/>
          <w:sz w:val="28"/>
          <w:szCs w:val="28"/>
        </w:rPr>
        <w:t xml:space="preserve"> на 1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A447C">
        <w:rPr>
          <w:rStyle w:val="8"/>
          <w:rFonts w:eastAsiaTheme="minorHAnsi"/>
          <w:color w:val="000000" w:themeColor="text1"/>
          <w:sz w:val="28"/>
          <w:szCs w:val="28"/>
        </w:rPr>
        <w:t>пиридоксина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170A1" w:rsidRPr="00CC17BF" w:rsidRDefault="00C73848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CC17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170A1" w:rsidRPr="00CC17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спектрофотометрии.</w:t>
      </w:r>
    </w:p>
    <w:p w:rsidR="002C54BC" w:rsidRPr="00A00C8E" w:rsidRDefault="002C54BC" w:rsidP="00C04609">
      <w:pPr>
        <w:pStyle w:val="37"/>
        <w:widowControl/>
        <w:shd w:val="clear" w:color="auto" w:fill="FFFFFF" w:themeFill="background1"/>
        <w:spacing w:before="0" w:line="360" w:lineRule="auto"/>
        <w:ind w:left="40" w:right="20" w:firstLine="668"/>
        <w:rPr>
          <w:rStyle w:val="8"/>
          <w:sz w:val="28"/>
          <w:szCs w:val="28"/>
        </w:rPr>
      </w:pPr>
      <w:r w:rsidRPr="00A00C8E">
        <w:rPr>
          <w:rStyle w:val="8"/>
          <w:i/>
          <w:sz w:val="28"/>
          <w:szCs w:val="28"/>
        </w:rPr>
        <w:lastRenderedPageBreak/>
        <w:t>Испытуемый раствор</w:t>
      </w:r>
      <w:r w:rsidRPr="000304A2">
        <w:rPr>
          <w:rStyle w:val="8"/>
          <w:sz w:val="28"/>
          <w:szCs w:val="28"/>
        </w:rPr>
        <w:t xml:space="preserve">. </w:t>
      </w:r>
      <w:r>
        <w:rPr>
          <w:rStyle w:val="8"/>
          <w:sz w:val="28"/>
          <w:szCs w:val="28"/>
        </w:rPr>
        <w:t>Точный объем препарата, содержащий о</w:t>
      </w:r>
      <w:r w:rsidRPr="00A00C8E">
        <w:rPr>
          <w:rStyle w:val="8"/>
          <w:sz w:val="28"/>
          <w:szCs w:val="28"/>
        </w:rPr>
        <w:t>кол</w:t>
      </w:r>
      <w:r w:rsidR="00E431F8">
        <w:rPr>
          <w:rStyle w:val="8"/>
          <w:sz w:val="28"/>
          <w:szCs w:val="28"/>
        </w:rPr>
        <w:t>о 50</w:t>
      </w:r>
      <w:r>
        <w:rPr>
          <w:rStyle w:val="8"/>
          <w:sz w:val="28"/>
          <w:szCs w:val="28"/>
        </w:rPr>
        <w:t> </w:t>
      </w:r>
      <w:r w:rsidRPr="00A00C8E">
        <w:rPr>
          <w:rStyle w:val="8"/>
          <w:sz w:val="28"/>
          <w:szCs w:val="28"/>
        </w:rPr>
        <w:t xml:space="preserve">мг </w:t>
      </w:r>
      <w:r w:rsidR="00E431F8">
        <w:rPr>
          <w:rStyle w:val="8"/>
          <w:sz w:val="28"/>
          <w:szCs w:val="28"/>
        </w:rPr>
        <w:t>пиридоксина гидрохлорида</w:t>
      </w:r>
      <w:r>
        <w:rPr>
          <w:rStyle w:val="8"/>
          <w:sz w:val="28"/>
          <w:szCs w:val="28"/>
        </w:rPr>
        <w:t>, помеща</w:t>
      </w:r>
      <w:r w:rsidR="00E431F8">
        <w:rPr>
          <w:rStyle w:val="8"/>
          <w:sz w:val="28"/>
          <w:szCs w:val="28"/>
        </w:rPr>
        <w:t>ют в мерную колбу вместимостью 10</w:t>
      </w:r>
      <w:r>
        <w:rPr>
          <w:rStyle w:val="8"/>
          <w:sz w:val="28"/>
          <w:szCs w:val="28"/>
        </w:rPr>
        <w:t>0 мл</w:t>
      </w:r>
      <w:r w:rsidRPr="00A00C8E">
        <w:rPr>
          <w:rStyle w:val="8"/>
          <w:sz w:val="28"/>
          <w:szCs w:val="28"/>
        </w:rPr>
        <w:t xml:space="preserve"> и доводят объ</w:t>
      </w:r>
      <w:r w:rsidR="00662950">
        <w:rPr>
          <w:rStyle w:val="8"/>
          <w:sz w:val="28"/>
          <w:szCs w:val="28"/>
        </w:rPr>
        <w:t>ё</w:t>
      </w:r>
      <w:r w:rsidRPr="00A00C8E">
        <w:rPr>
          <w:rStyle w:val="8"/>
          <w:sz w:val="28"/>
          <w:szCs w:val="28"/>
        </w:rPr>
        <w:t xml:space="preserve">м </w:t>
      </w:r>
      <w:r>
        <w:rPr>
          <w:rStyle w:val="8"/>
          <w:sz w:val="28"/>
          <w:szCs w:val="28"/>
        </w:rPr>
        <w:t>раствора</w:t>
      </w:r>
      <w:r w:rsidR="00CC17BF">
        <w:rPr>
          <w:rStyle w:val="8"/>
          <w:sz w:val="28"/>
          <w:szCs w:val="28"/>
        </w:rPr>
        <w:t xml:space="preserve"> </w:t>
      </w:r>
      <w:r w:rsidR="00C772E6">
        <w:rPr>
          <w:rStyle w:val="8"/>
          <w:sz w:val="28"/>
          <w:szCs w:val="28"/>
        </w:rPr>
        <w:t xml:space="preserve">0,1 М раствором хлористоводородной кислоты </w:t>
      </w:r>
      <w:r w:rsidRPr="00A00C8E">
        <w:rPr>
          <w:rStyle w:val="8"/>
          <w:sz w:val="28"/>
          <w:szCs w:val="28"/>
        </w:rPr>
        <w:t xml:space="preserve">до </w:t>
      </w:r>
      <w:r>
        <w:rPr>
          <w:rStyle w:val="8"/>
          <w:sz w:val="28"/>
          <w:szCs w:val="28"/>
        </w:rPr>
        <w:t>метки</w:t>
      </w:r>
      <w:r w:rsidRPr="00A00C8E">
        <w:rPr>
          <w:rStyle w:val="8"/>
          <w:sz w:val="28"/>
          <w:szCs w:val="28"/>
        </w:rPr>
        <w:t>.</w:t>
      </w:r>
      <w:r w:rsidR="00C772E6">
        <w:rPr>
          <w:rStyle w:val="8"/>
          <w:sz w:val="28"/>
          <w:szCs w:val="28"/>
        </w:rPr>
        <w:t xml:space="preserve"> 2</w:t>
      </w:r>
      <w:r w:rsidR="00F55CE6">
        <w:rPr>
          <w:rStyle w:val="8"/>
          <w:sz w:val="28"/>
          <w:szCs w:val="28"/>
        </w:rPr>
        <w:t>,0 мл полученного раствора помещают в мерную колбу вместимостью 100 мл и доводят объем раствора тем же растворителем до метки.</w:t>
      </w:r>
    </w:p>
    <w:p w:rsidR="002C54BC" w:rsidRPr="00A00C8E" w:rsidRDefault="00F55CE6" w:rsidP="00C04609">
      <w:pPr>
        <w:pStyle w:val="37"/>
        <w:widowControl/>
        <w:shd w:val="clear" w:color="auto" w:fill="FFFFFF" w:themeFill="background1"/>
        <w:spacing w:before="0" w:line="360" w:lineRule="auto"/>
        <w:ind w:left="40" w:right="20" w:firstLine="668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 xml:space="preserve">Раствор стандартного образца </w:t>
      </w:r>
      <w:r w:rsidR="00C772E6">
        <w:rPr>
          <w:rStyle w:val="8"/>
          <w:i/>
          <w:sz w:val="28"/>
          <w:szCs w:val="28"/>
        </w:rPr>
        <w:t>пиридоксина гидрохлорида</w:t>
      </w:r>
      <w:r w:rsidR="002C54BC" w:rsidRPr="000304A2">
        <w:rPr>
          <w:rStyle w:val="8"/>
          <w:sz w:val="28"/>
          <w:szCs w:val="28"/>
        </w:rPr>
        <w:t xml:space="preserve">. </w:t>
      </w:r>
      <w:proofErr w:type="gramStart"/>
      <w:r w:rsidR="00C772E6">
        <w:rPr>
          <w:rStyle w:val="8"/>
          <w:sz w:val="28"/>
          <w:szCs w:val="28"/>
        </w:rPr>
        <w:t>Около 5</w:t>
      </w:r>
      <w:r w:rsidR="002C54BC" w:rsidRPr="00A00C8E">
        <w:rPr>
          <w:rStyle w:val="8"/>
          <w:sz w:val="28"/>
          <w:szCs w:val="28"/>
        </w:rPr>
        <w:t>0</w:t>
      </w:r>
      <w:r w:rsidR="002C54BC">
        <w:rPr>
          <w:rStyle w:val="8"/>
          <w:sz w:val="28"/>
          <w:szCs w:val="28"/>
        </w:rPr>
        <w:t> </w:t>
      </w:r>
      <w:r w:rsidR="002C54BC" w:rsidRPr="00A00C8E">
        <w:rPr>
          <w:rStyle w:val="8"/>
          <w:sz w:val="28"/>
          <w:szCs w:val="28"/>
        </w:rPr>
        <w:t xml:space="preserve">мг (точная навеска) стандартного образца </w:t>
      </w:r>
      <w:r w:rsidR="00C772E6">
        <w:rPr>
          <w:rStyle w:val="8"/>
          <w:sz w:val="28"/>
          <w:szCs w:val="28"/>
        </w:rPr>
        <w:t>пиридоксина гидрохлорида</w:t>
      </w:r>
      <w:r w:rsidR="002C54BC" w:rsidRPr="00A00C8E">
        <w:rPr>
          <w:rStyle w:val="8"/>
          <w:sz w:val="28"/>
          <w:szCs w:val="28"/>
        </w:rPr>
        <w:t xml:space="preserve"> </w:t>
      </w:r>
      <w:r w:rsidR="00E064EA">
        <w:rPr>
          <w:rStyle w:val="8"/>
          <w:sz w:val="28"/>
          <w:szCs w:val="28"/>
        </w:rPr>
        <w:t xml:space="preserve">помещают в мерную колбу вместимостью </w:t>
      </w:r>
      <w:r w:rsidR="00DA248E">
        <w:rPr>
          <w:rStyle w:val="8"/>
          <w:sz w:val="28"/>
          <w:szCs w:val="28"/>
        </w:rPr>
        <w:t>5</w:t>
      </w:r>
      <w:r w:rsidR="00E064EA">
        <w:rPr>
          <w:rStyle w:val="8"/>
          <w:sz w:val="28"/>
          <w:szCs w:val="28"/>
        </w:rPr>
        <w:t xml:space="preserve">0 мл, </w:t>
      </w:r>
      <w:r w:rsidR="002C54BC" w:rsidRPr="00A00C8E">
        <w:rPr>
          <w:rStyle w:val="8"/>
          <w:sz w:val="28"/>
          <w:szCs w:val="28"/>
        </w:rPr>
        <w:t>растворяют в</w:t>
      </w:r>
      <w:r w:rsidR="00C772E6">
        <w:rPr>
          <w:rStyle w:val="8"/>
          <w:sz w:val="28"/>
          <w:szCs w:val="28"/>
        </w:rPr>
        <w:t xml:space="preserve"> </w:t>
      </w:r>
      <w:r w:rsidR="00C772E6" w:rsidRPr="00AB7375">
        <w:rPr>
          <w:rStyle w:val="8"/>
          <w:sz w:val="28"/>
          <w:szCs w:val="28"/>
        </w:rPr>
        <w:t>30 мл</w:t>
      </w:r>
      <w:r w:rsidR="00C772E6">
        <w:rPr>
          <w:rStyle w:val="8"/>
          <w:sz w:val="28"/>
          <w:szCs w:val="28"/>
        </w:rPr>
        <w:t xml:space="preserve"> 0,1 М раствора хлористоводородной кислоты и доводят объ</w:t>
      </w:r>
      <w:r w:rsidR="00662950">
        <w:rPr>
          <w:rStyle w:val="8"/>
          <w:sz w:val="28"/>
          <w:szCs w:val="28"/>
        </w:rPr>
        <w:t>ё</w:t>
      </w:r>
      <w:r w:rsidR="00C772E6">
        <w:rPr>
          <w:rStyle w:val="8"/>
          <w:sz w:val="28"/>
          <w:szCs w:val="28"/>
        </w:rPr>
        <w:t>м раствора тем же растворителем до метки. 1</w:t>
      </w:r>
      <w:r>
        <w:rPr>
          <w:rStyle w:val="8"/>
          <w:sz w:val="28"/>
          <w:szCs w:val="28"/>
        </w:rPr>
        <w:t>,0 мл полученного раствора помещают в мерную колбу вместимостью 100 мл</w:t>
      </w:r>
      <w:r w:rsidR="00784EC2">
        <w:rPr>
          <w:rStyle w:val="8"/>
          <w:sz w:val="28"/>
          <w:szCs w:val="28"/>
        </w:rPr>
        <w:t xml:space="preserve"> </w:t>
      </w:r>
      <w:r w:rsidR="00784EC2" w:rsidRPr="00A00C8E">
        <w:rPr>
          <w:rStyle w:val="8"/>
          <w:sz w:val="28"/>
          <w:szCs w:val="28"/>
        </w:rPr>
        <w:t>и доводят объ</w:t>
      </w:r>
      <w:r w:rsidR="00662950">
        <w:rPr>
          <w:rStyle w:val="8"/>
          <w:sz w:val="28"/>
          <w:szCs w:val="28"/>
        </w:rPr>
        <w:t>ё</w:t>
      </w:r>
      <w:r w:rsidR="00784EC2" w:rsidRPr="00A00C8E">
        <w:rPr>
          <w:rStyle w:val="8"/>
          <w:sz w:val="28"/>
          <w:szCs w:val="28"/>
        </w:rPr>
        <w:t xml:space="preserve">м </w:t>
      </w:r>
      <w:r w:rsidR="00784EC2">
        <w:rPr>
          <w:rStyle w:val="8"/>
          <w:sz w:val="28"/>
          <w:szCs w:val="28"/>
        </w:rPr>
        <w:t>раствора т</w:t>
      </w:r>
      <w:r w:rsidR="00C772E6">
        <w:rPr>
          <w:rStyle w:val="8"/>
          <w:sz w:val="28"/>
          <w:szCs w:val="28"/>
        </w:rPr>
        <w:t>ем же растворителем</w:t>
      </w:r>
      <w:r w:rsidR="00784EC2" w:rsidRPr="00A00C8E">
        <w:rPr>
          <w:rStyle w:val="8"/>
          <w:sz w:val="28"/>
          <w:szCs w:val="28"/>
        </w:rPr>
        <w:t xml:space="preserve"> до </w:t>
      </w:r>
      <w:r w:rsidR="00784EC2">
        <w:rPr>
          <w:rStyle w:val="8"/>
          <w:sz w:val="28"/>
          <w:szCs w:val="28"/>
        </w:rPr>
        <w:t>метки</w:t>
      </w:r>
      <w:r w:rsidR="00784EC2" w:rsidRPr="00A00C8E">
        <w:rPr>
          <w:rStyle w:val="8"/>
          <w:sz w:val="28"/>
          <w:szCs w:val="28"/>
        </w:rPr>
        <w:t>.</w:t>
      </w:r>
      <w:proofErr w:type="gramEnd"/>
    </w:p>
    <w:p w:rsidR="00784EC2" w:rsidRPr="00784EC2" w:rsidRDefault="00784EC2" w:rsidP="00C0460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784EC2">
        <w:rPr>
          <w:rFonts w:ascii="Times New Roman" w:hAnsi="Times New Roman"/>
          <w:i/>
          <w:sz w:val="28"/>
          <w:szCs w:val="28"/>
          <w:lang w:bidi="ru-RU"/>
        </w:rPr>
        <w:t>Раствор сравнения</w:t>
      </w:r>
      <w:r w:rsidR="00C772E6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C772E6">
        <w:rPr>
          <w:rStyle w:val="8"/>
          <w:sz w:val="28"/>
          <w:szCs w:val="28"/>
        </w:rPr>
        <w:t>0,1 М раствор хлористоводородной кислоты.</w:t>
      </w:r>
    </w:p>
    <w:p w:rsidR="00784EC2" w:rsidRPr="00784EC2" w:rsidRDefault="00784EC2" w:rsidP="00C0460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EC2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 w:rsidR="007D5193">
        <w:rPr>
          <w:rFonts w:ascii="Times New Roman" w:hAnsi="Times New Roman"/>
          <w:sz w:val="28"/>
          <w:szCs w:val="28"/>
        </w:rPr>
        <w:t xml:space="preserve"> </w:t>
      </w:r>
      <w:r w:rsidR="00C772E6">
        <w:rPr>
          <w:rFonts w:ascii="Times New Roman" w:hAnsi="Times New Roman"/>
          <w:sz w:val="28"/>
          <w:szCs w:val="28"/>
        </w:rPr>
        <w:t>пиридоксина гидрохлорида</w:t>
      </w:r>
      <w:r w:rsidRPr="00784EC2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04667E">
        <w:rPr>
          <w:rFonts w:ascii="Times New Roman" w:hAnsi="Times New Roman"/>
          <w:sz w:val="28"/>
          <w:szCs w:val="28"/>
        </w:rPr>
        <w:t>291</w:t>
      </w:r>
      <w:r w:rsidRPr="00784E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нм в кювете с толщиной слоя 1 с</w:t>
      </w:r>
      <w:r w:rsidRPr="00784EC2">
        <w:rPr>
          <w:rFonts w:ascii="Times New Roman" w:hAnsi="Times New Roman"/>
          <w:sz w:val="28"/>
          <w:szCs w:val="28"/>
        </w:rPr>
        <w:t>м.</w:t>
      </w:r>
    </w:p>
    <w:p w:rsidR="002C54BC" w:rsidRPr="006C601C" w:rsidRDefault="002C54BC" w:rsidP="00C0460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C8E">
        <w:rPr>
          <w:rFonts w:ascii="Times New Roman" w:hAnsi="Times New Roman"/>
          <w:sz w:val="28"/>
          <w:szCs w:val="28"/>
        </w:rPr>
        <w:t>Содер</w:t>
      </w:r>
      <w:r w:rsidR="007C28E3">
        <w:rPr>
          <w:rFonts w:ascii="Times New Roman" w:hAnsi="Times New Roman"/>
          <w:sz w:val="28"/>
          <w:szCs w:val="28"/>
        </w:rPr>
        <w:t xml:space="preserve">жание </w:t>
      </w:r>
      <w:r w:rsidR="00C772E6" w:rsidRPr="00C772E6">
        <w:rPr>
          <w:rFonts w:ascii="Times New Roman" w:hAnsi="Times New Roman"/>
          <w:sz w:val="28"/>
          <w:szCs w:val="28"/>
        </w:rPr>
        <w:t>пиридоксина гидрохлорида C</w:t>
      </w:r>
      <w:r w:rsidR="00C772E6" w:rsidRPr="00C772E6">
        <w:rPr>
          <w:rFonts w:ascii="Times New Roman" w:hAnsi="Times New Roman"/>
          <w:sz w:val="28"/>
          <w:szCs w:val="28"/>
          <w:vertAlign w:val="subscript"/>
        </w:rPr>
        <w:t>8</w:t>
      </w:r>
      <w:r w:rsidR="00C772E6" w:rsidRPr="00C772E6">
        <w:rPr>
          <w:rFonts w:ascii="Times New Roman" w:hAnsi="Times New Roman"/>
          <w:sz w:val="28"/>
          <w:szCs w:val="28"/>
        </w:rPr>
        <w:t>H</w:t>
      </w:r>
      <w:r w:rsidR="00C772E6" w:rsidRPr="00C772E6">
        <w:rPr>
          <w:rFonts w:ascii="Times New Roman" w:hAnsi="Times New Roman"/>
          <w:sz w:val="28"/>
          <w:szCs w:val="28"/>
          <w:vertAlign w:val="subscript"/>
        </w:rPr>
        <w:t>11</w:t>
      </w:r>
      <w:r w:rsidR="00C772E6" w:rsidRPr="00C772E6">
        <w:rPr>
          <w:rFonts w:ascii="Times New Roman" w:hAnsi="Times New Roman"/>
          <w:sz w:val="28"/>
          <w:szCs w:val="28"/>
        </w:rPr>
        <w:t>NO</w:t>
      </w:r>
      <w:r w:rsidR="00C772E6" w:rsidRPr="00C772E6">
        <w:rPr>
          <w:rFonts w:ascii="Times New Roman" w:hAnsi="Times New Roman"/>
          <w:sz w:val="28"/>
          <w:szCs w:val="28"/>
          <w:vertAlign w:val="subscript"/>
        </w:rPr>
        <w:t>3</w:t>
      </w:r>
      <w:r w:rsidR="00C772E6" w:rsidRPr="00C772E6">
        <w:rPr>
          <w:rFonts w:ascii="Times New Roman" w:hAnsi="Times New Roman"/>
          <w:sz w:val="28"/>
          <w:szCs w:val="28"/>
        </w:rPr>
        <w:t>·</w:t>
      </w:r>
      <w:proofErr w:type="spellStart"/>
      <w:r w:rsidR="00C772E6" w:rsidRPr="00C772E6">
        <w:rPr>
          <w:rFonts w:ascii="Times New Roman" w:hAnsi="Times New Roman"/>
          <w:sz w:val="28"/>
          <w:szCs w:val="28"/>
        </w:rPr>
        <w:t>HCl</w:t>
      </w:r>
      <w:proofErr w:type="spellEnd"/>
      <w:r w:rsidR="00C772E6" w:rsidRPr="00C772E6">
        <w:rPr>
          <w:rFonts w:ascii="Times New Roman" w:hAnsi="Times New Roman"/>
          <w:sz w:val="28"/>
          <w:szCs w:val="28"/>
        </w:rPr>
        <w:t xml:space="preserve"> </w:t>
      </w:r>
      <w:r w:rsidRPr="00784EC2">
        <w:rPr>
          <w:rFonts w:ascii="Times New Roman" w:hAnsi="Times New Roman"/>
          <w:sz w:val="28"/>
          <w:szCs w:val="28"/>
        </w:rPr>
        <w:t>в</w:t>
      </w:r>
      <w:r w:rsidRPr="00A00C8E">
        <w:rPr>
          <w:rFonts w:ascii="Times New Roman" w:hAnsi="Times New Roman"/>
          <w:sz w:val="28"/>
          <w:szCs w:val="28"/>
        </w:rPr>
        <w:t xml:space="preserve"> процентах </w:t>
      </w:r>
      <w:r w:rsidR="007C28E3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A00C8E">
        <w:rPr>
          <w:rFonts w:ascii="Times New Roman" w:hAnsi="Times New Roman"/>
          <w:sz w:val="28"/>
          <w:szCs w:val="28"/>
        </w:rPr>
        <w:t>(</w:t>
      </w:r>
      <w:r w:rsidR="007C28E3" w:rsidRPr="0010581F">
        <w:rPr>
          <w:rFonts w:ascii="Times New Roman" w:hAnsi="Times New Roman"/>
          <w:i/>
          <w:sz w:val="28"/>
          <w:szCs w:val="28"/>
        </w:rPr>
        <w:t>Х</w:t>
      </w:r>
      <w:r w:rsidRPr="00A00C8E">
        <w:rPr>
          <w:rFonts w:ascii="Times New Roman" w:hAnsi="Times New Roman"/>
          <w:sz w:val="28"/>
          <w:szCs w:val="28"/>
        </w:rPr>
        <w:t>) вычисляют по формуле:</w:t>
      </w:r>
    </w:p>
    <w:p w:rsidR="0010581F" w:rsidRPr="00784EC2" w:rsidRDefault="00D6501B" w:rsidP="00C13C00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6975">
        <w:rPr>
          <w:rFonts w:ascii="Times New Roman" w:hAnsi="Times New Roman"/>
          <w:position w:val="-30"/>
          <w:sz w:val="20"/>
          <w:lang w:val="en-US"/>
        </w:rPr>
        <w:object w:dxaOrig="3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54.75pt" o:ole="">
            <v:imagedata r:id="rId8" o:title=""/>
          </v:shape>
          <o:OLEObject Type="Embed" ProgID="Equation.3" ShapeID="_x0000_i1025" DrawAspect="Content" ObjectID="_1592314767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D55C2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45627D">
              <w:rPr>
                <w:rStyle w:val="8"/>
                <w:rFonts w:eastAsia="Calibri"/>
                <w:sz w:val="28"/>
                <w:szCs w:val="28"/>
              </w:rPr>
              <w:t xml:space="preserve"> пиридоксина гидрохлорида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45627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5627D">
              <w:rPr>
                <w:rStyle w:val="8"/>
                <w:rFonts w:eastAsia="Calibri"/>
                <w:sz w:val="28"/>
                <w:szCs w:val="28"/>
              </w:rPr>
              <w:t>пиридоксина гидрохлорида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645A44" w:rsidP="006629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объ</w:t>
            </w:r>
            <w:r w:rsidR="00662950">
              <w:rPr>
                <w:rStyle w:val="8"/>
                <w:rFonts w:eastAsia="Calibri"/>
                <w:sz w:val="28"/>
                <w:szCs w:val="28"/>
              </w:rPr>
              <w:t>ё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м препарата, взятый для приготовления испытуемого раствора, мл;</w:t>
            </w:r>
          </w:p>
        </w:tc>
      </w:tr>
      <w:tr w:rsidR="00645A44" w:rsidRPr="00C106A0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C13C00" w:rsidP="0045627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45627D">
              <w:rPr>
                <w:rStyle w:val="8"/>
                <w:rFonts w:eastAsia="Calibri"/>
                <w:sz w:val="28"/>
                <w:szCs w:val="28"/>
              </w:rPr>
              <w:t>пиридоксина гидрохлорида</w:t>
            </w:r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45627D">
              <w:rPr>
                <w:rStyle w:val="8"/>
                <w:rFonts w:eastAsia="Calibri"/>
                <w:sz w:val="28"/>
                <w:szCs w:val="28"/>
              </w:rPr>
              <w:t xml:space="preserve"> пиридоксина гидрохлорида</w:t>
            </w:r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7D5193">
              <w:rPr>
                <w:rStyle w:val="8"/>
                <w:rFonts w:eastAsia="Calibri"/>
                <w:sz w:val="28"/>
                <w:szCs w:val="28"/>
              </w:rPr>
              <w:t> </w:t>
            </w:r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t>%.</w:t>
            </w:r>
          </w:p>
        </w:tc>
      </w:tr>
      <w:tr w:rsidR="00645A44" w:rsidRPr="00AB25C7" w:rsidTr="00C13C00">
        <w:tc>
          <w:tcPr>
            <w:tcW w:w="637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645A44" w:rsidRPr="00645A44" w:rsidRDefault="00645A44" w:rsidP="00D55C21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45A44" w:rsidRPr="00645A44" w:rsidRDefault="0045627D" w:rsidP="0045627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пиридоксина гидрохлорида</w:t>
            </w:r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t xml:space="preserve"> в препарате, </w:t>
            </w:r>
            <w:r w:rsidR="00645A44" w:rsidRPr="00645A44">
              <w:rPr>
                <w:rStyle w:val="8"/>
                <w:rFonts w:eastAsia="Calibri"/>
                <w:sz w:val="28"/>
                <w:szCs w:val="28"/>
              </w:rPr>
              <w:lastRenderedPageBreak/>
              <w:t>мг/мл.</w:t>
            </w:r>
          </w:p>
        </w:tc>
      </w:tr>
    </w:tbl>
    <w:p w:rsidR="00B75E86" w:rsidRPr="00B75E86" w:rsidRDefault="00C73848" w:rsidP="002D0A78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B75E86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E8" w:rsidRDefault="00DF2FE8" w:rsidP="00004BE2">
      <w:pPr>
        <w:spacing w:after="0" w:line="240" w:lineRule="auto"/>
      </w:pPr>
      <w:r>
        <w:separator/>
      </w:r>
    </w:p>
  </w:endnote>
  <w:endnote w:type="continuationSeparator" w:id="0">
    <w:p w:rsidR="00DF2FE8" w:rsidRDefault="00DF2FE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F2FE8" w:rsidRDefault="008A26F6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2FE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217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2FE8" w:rsidRDefault="00DF2F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E8" w:rsidRDefault="00DF2FE8" w:rsidP="00004BE2">
      <w:pPr>
        <w:spacing w:after="0" w:line="240" w:lineRule="auto"/>
      </w:pPr>
      <w:r>
        <w:separator/>
      </w:r>
    </w:p>
  </w:footnote>
  <w:footnote w:type="continuationSeparator" w:id="0">
    <w:p w:rsidR="00DF2FE8" w:rsidRDefault="00DF2FE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3A4B"/>
    <w:rsid w:val="0004667E"/>
    <w:rsid w:val="00065055"/>
    <w:rsid w:val="000723CA"/>
    <w:rsid w:val="00083CCD"/>
    <w:rsid w:val="00094D20"/>
    <w:rsid w:val="000A0E89"/>
    <w:rsid w:val="000A447C"/>
    <w:rsid w:val="000A7ED0"/>
    <w:rsid w:val="000B2113"/>
    <w:rsid w:val="000B3F2C"/>
    <w:rsid w:val="000B7682"/>
    <w:rsid w:val="000D14EB"/>
    <w:rsid w:val="000D29B7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6DCE"/>
    <w:rsid w:val="00144EDC"/>
    <w:rsid w:val="00150D6B"/>
    <w:rsid w:val="0016114D"/>
    <w:rsid w:val="0016432A"/>
    <w:rsid w:val="001757BE"/>
    <w:rsid w:val="001865A8"/>
    <w:rsid w:val="00187200"/>
    <w:rsid w:val="00190196"/>
    <w:rsid w:val="0019086C"/>
    <w:rsid w:val="001B2B53"/>
    <w:rsid w:val="001B4E29"/>
    <w:rsid w:val="001C0600"/>
    <w:rsid w:val="001C1CF8"/>
    <w:rsid w:val="001D2621"/>
    <w:rsid w:val="001E742E"/>
    <w:rsid w:val="001F1FBC"/>
    <w:rsid w:val="001F31DE"/>
    <w:rsid w:val="001F6E5B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7585"/>
    <w:rsid w:val="00247628"/>
    <w:rsid w:val="00272E49"/>
    <w:rsid w:val="0027626E"/>
    <w:rsid w:val="00283400"/>
    <w:rsid w:val="0029455F"/>
    <w:rsid w:val="002A35E4"/>
    <w:rsid w:val="002B0CAB"/>
    <w:rsid w:val="002C0AA9"/>
    <w:rsid w:val="002C54BC"/>
    <w:rsid w:val="002D0518"/>
    <w:rsid w:val="002D0A7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1008E"/>
    <w:rsid w:val="004100CE"/>
    <w:rsid w:val="00417AE0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70AA"/>
    <w:rsid w:val="004C27AB"/>
    <w:rsid w:val="004C707C"/>
    <w:rsid w:val="004D254F"/>
    <w:rsid w:val="004D3F54"/>
    <w:rsid w:val="004D66DB"/>
    <w:rsid w:val="004D6A3D"/>
    <w:rsid w:val="004E0D97"/>
    <w:rsid w:val="004E16D8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938F5"/>
    <w:rsid w:val="005A36D4"/>
    <w:rsid w:val="005A508B"/>
    <w:rsid w:val="005A7FA4"/>
    <w:rsid w:val="005C1CE1"/>
    <w:rsid w:val="005D15B4"/>
    <w:rsid w:val="005D389E"/>
    <w:rsid w:val="005E4456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A58"/>
    <w:rsid w:val="00652FDF"/>
    <w:rsid w:val="00661C85"/>
    <w:rsid w:val="00662950"/>
    <w:rsid w:val="00664370"/>
    <w:rsid w:val="00664F98"/>
    <w:rsid w:val="00674303"/>
    <w:rsid w:val="00676FB1"/>
    <w:rsid w:val="006775D6"/>
    <w:rsid w:val="0068025D"/>
    <w:rsid w:val="006868AB"/>
    <w:rsid w:val="00694EA1"/>
    <w:rsid w:val="006A3729"/>
    <w:rsid w:val="006A430E"/>
    <w:rsid w:val="006B71DD"/>
    <w:rsid w:val="006C601C"/>
    <w:rsid w:val="006C71A6"/>
    <w:rsid w:val="006D290E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B1A60"/>
    <w:rsid w:val="007B7207"/>
    <w:rsid w:val="007C28E3"/>
    <w:rsid w:val="007C2B99"/>
    <w:rsid w:val="007D237A"/>
    <w:rsid w:val="007D5193"/>
    <w:rsid w:val="007E6975"/>
    <w:rsid w:val="007F4CFE"/>
    <w:rsid w:val="008060C4"/>
    <w:rsid w:val="00816A65"/>
    <w:rsid w:val="00830350"/>
    <w:rsid w:val="00831ABE"/>
    <w:rsid w:val="00833EEC"/>
    <w:rsid w:val="008377C3"/>
    <w:rsid w:val="00841ACC"/>
    <w:rsid w:val="00851981"/>
    <w:rsid w:val="00857DD6"/>
    <w:rsid w:val="00860BF2"/>
    <w:rsid w:val="008617F9"/>
    <w:rsid w:val="00862C0E"/>
    <w:rsid w:val="0086429C"/>
    <w:rsid w:val="00890172"/>
    <w:rsid w:val="00894139"/>
    <w:rsid w:val="008941BB"/>
    <w:rsid w:val="00894A37"/>
    <w:rsid w:val="008A26F6"/>
    <w:rsid w:val="008A50AB"/>
    <w:rsid w:val="008C5F26"/>
    <w:rsid w:val="008E1AD7"/>
    <w:rsid w:val="008F2A09"/>
    <w:rsid w:val="008F7107"/>
    <w:rsid w:val="009000CA"/>
    <w:rsid w:val="0090673A"/>
    <w:rsid w:val="00912639"/>
    <w:rsid w:val="00916F60"/>
    <w:rsid w:val="009170A1"/>
    <w:rsid w:val="0092330A"/>
    <w:rsid w:val="009233A7"/>
    <w:rsid w:val="00933B55"/>
    <w:rsid w:val="009367EA"/>
    <w:rsid w:val="00937EE7"/>
    <w:rsid w:val="00945A88"/>
    <w:rsid w:val="009466E9"/>
    <w:rsid w:val="009513F5"/>
    <w:rsid w:val="00952A14"/>
    <w:rsid w:val="00955421"/>
    <w:rsid w:val="00977B9C"/>
    <w:rsid w:val="0098069E"/>
    <w:rsid w:val="00983D64"/>
    <w:rsid w:val="00983D87"/>
    <w:rsid w:val="0098584A"/>
    <w:rsid w:val="00986195"/>
    <w:rsid w:val="009A59F1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7DD3"/>
    <w:rsid w:val="009E4ACD"/>
    <w:rsid w:val="009F513B"/>
    <w:rsid w:val="009F53A4"/>
    <w:rsid w:val="00A01D12"/>
    <w:rsid w:val="00A07003"/>
    <w:rsid w:val="00A12E25"/>
    <w:rsid w:val="00A15918"/>
    <w:rsid w:val="00A23DA3"/>
    <w:rsid w:val="00A27615"/>
    <w:rsid w:val="00A32BC7"/>
    <w:rsid w:val="00A363B0"/>
    <w:rsid w:val="00A3721B"/>
    <w:rsid w:val="00A42A61"/>
    <w:rsid w:val="00A60C4D"/>
    <w:rsid w:val="00A63DD4"/>
    <w:rsid w:val="00A66BB2"/>
    <w:rsid w:val="00A7255A"/>
    <w:rsid w:val="00A80C3B"/>
    <w:rsid w:val="00A83350"/>
    <w:rsid w:val="00A83C9E"/>
    <w:rsid w:val="00A912C2"/>
    <w:rsid w:val="00A96BAD"/>
    <w:rsid w:val="00A96EE2"/>
    <w:rsid w:val="00A97FCD"/>
    <w:rsid w:val="00AA0D2B"/>
    <w:rsid w:val="00AA65E9"/>
    <w:rsid w:val="00AB217B"/>
    <w:rsid w:val="00AB30CB"/>
    <w:rsid w:val="00AB7375"/>
    <w:rsid w:val="00AF34A9"/>
    <w:rsid w:val="00AF6CBE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5E86"/>
    <w:rsid w:val="00B80CAD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772E6"/>
    <w:rsid w:val="00C819EC"/>
    <w:rsid w:val="00C854B6"/>
    <w:rsid w:val="00C86785"/>
    <w:rsid w:val="00C954FB"/>
    <w:rsid w:val="00C97896"/>
    <w:rsid w:val="00C97BE8"/>
    <w:rsid w:val="00CA32D6"/>
    <w:rsid w:val="00CA527B"/>
    <w:rsid w:val="00CB2C0C"/>
    <w:rsid w:val="00CC17BF"/>
    <w:rsid w:val="00CC4772"/>
    <w:rsid w:val="00CC4B96"/>
    <w:rsid w:val="00CC61E2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37B0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501B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E52B0"/>
    <w:rsid w:val="00DF2FE8"/>
    <w:rsid w:val="00DF5B92"/>
    <w:rsid w:val="00E000F3"/>
    <w:rsid w:val="00E064EA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618F3"/>
    <w:rsid w:val="00E62C53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E2022"/>
    <w:rsid w:val="00EF7C61"/>
    <w:rsid w:val="00EF7C68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5CE6"/>
    <w:rsid w:val="00F56CE8"/>
    <w:rsid w:val="00F63D8E"/>
    <w:rsid w:val="00F65814"/>
    <w:rsid w:val="00F73F5A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C53C-FA18-4AE1-A0CC-4189376D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18</cp:revision>
  <dcterms:created xsi:type="dcterms:W3CDTF">2018-01-29T10:56:00Z</dcterms:created>
  <dcterms:modified xsi:type="dcterms:W3CDTF">2018-07-05T13:53:00Z</dcterms:modified>
</cp:coreProperties>
</file>