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BD" w:rsidRDefault="005A30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30BD" w:rsidRDefault="005A30BD">
      <w:pPr>
        <w:pStyle w:val="ConsPlusNormal"/>
        <w:jc w:val="both"/>
        <w:outlineLvl w:val="0"/>
      </w:pPr>
    </w:p>
    <w:p w:rsidR="005A30BD" w:rsidRDefault="005A30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30BD" w:rsidRDefault="005A30BD">
      <w:pPr>
        <w:pStyle w:val="ConsPlusTitle"/>
        <w:jc w:val="center"/>
      </w:pPr>
    </w:p>
    <w:p w:rsidR="005A30BD" w:rsidRDefault="005A30BD">
      <w:pPr>
        <w:pStyle w:val="ConsPlusTitle"/>
        <w:jc w:val="center"/>
      </w:pPr>
      <w:r>
        <w:t>РАСПОРЯЖЕНИЕ</w:t>
      </w:r>
    </w:p>
    <w:p w:rsidR="005A30BD" w:rsidRDefault="005A30BD">
      <w:pPr>
        <w:pStyle w:val="ConsPlusTitle"/>
        <w:jc w:val="center"/>
      </w:pPr>
      <w:r>
        <w:t>от 28 декабря 2012 г. N 2580-р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Стратегию</w:t>
        </w:r>
      </w:hyperlink>
      <w:r>
        <w:t xml:space="preserve"> развития медицинской науки в Российской Федерации на период до 2025 года.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2. Минздраву России:</w:t>
      </w:r>
    </w:p>
    <w:p w:rsidR="005A30BD" w:rsidRDefault="005A30BD">
      <w:pPr>
        <w:pStyle w:val="ConsPlusNormal"/>
        <w:spacing w:before="220"/>
        <w:ind w:firstLine="540"/>
        <w:jc w:val="both"/>
      </w:pPr>
      <w:proofErr w:type="gramStart"/>
      <w:r>
        <w:t>разработать и утвердить</w:t>
      </w:r>
      <w:proofErr w:type="gramEnd"/>
      <w:r>
        <w:t xml:space="preserve"> до 1 апреля 2013 г. план мероприятий по реализации </w:t>
      </w:r>
      <w:hyperlink w:anchor="P24" w:history="1">
        <w:r>
          <w:rPr>
            <w:color w:val="0000FF"/>
          </w:rPr>
          <w:t>Стратегии</w:t>
        </w:r>
      </w:hyperlink>
      <w:r>
        <w:t>, утвержденной настоящим распоряжением;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утвердить до 1 мая 2013 г. и опубликовать на своем официальном сайте научные платформы медицинской науки.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right"/>
      </w:pPr>
      <w:r>
        <w:t>Председатель Правительства</w:t>
      </w:r>
    </w:p>
    <w:p w:rsidR="005A30BD" w:rsidRDefault="005A30BD">
      <w:pPr>
        <w:pStyle w:val="ConsPlusNormal"/>
        <w:jc w:val="right"/>
      </w:pPr>
      <w:r>
        <w:t>Российской Федерации</w:t>
      </w:r>
    </w:p>
    <w:p w:rsidR="005A30BD" w:rsidRDefault="005A30BD">
      <w:pPr>
        <w:pStyle w:val="ConsPlusNormal"/>
        <w:jc w:val="right"/>
      </w:pPr>
      <w:r>
        <w:t>Д.МЕДВЕДЕВ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right"/>
        <w:outlineLvl w:val="0"/>
      </w:pPr>
      <w:r>
        <w:t>Утверждена</w:t>
      </w:r>
    </w:p>
    <w:p w:rsidR="005A30BD" w:rsidRDefault="005A30BD">
      <w:pPr>
        <w:pStyle w:val="ConsPlusNormal"/>
        <w:jc w:val="right"/>
      </w:pPr>
      <w:r>
        <w:t>распоряжением Правительства</w:t>
      </w:r>
    </w:p>
    <w:p w:rsidR="005A30BD" w:rsidRDefault="005A30BD">
      <w:pPr>
        <w:pStyle w:val="ConsPlusNormal"/>
        <w:jc w:val="right"/>
      </w:pPr>
      <w:r>
        <w:t>Российской Федерации</w:t>
      </w:r>
    </w:p>
    <w:p w:rsidR="005A30BD" w:rsidRDefault="005A30BD">
      <w:pPr>
        <w:pStyle w:val="ConsPlusNormal"/>
        <w:jc w:val="right"/>
      </w:pPr>
      <w:r>
        <w:t>от 28 декабря 2012 г. N 2580-р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Title"/>
        <w:jc w:val="center"/>
      </w:pPr>
      <w:bookmarkStart w:id="0" w:name="P24"/>
      <w:bookmarkEnd w:id="0"/>
      <w:r>
        <w:t>СТРАТЕГИЯ</w:t>
      </w:r>
    </w:p>
    <w:p w:rsidR="005A30BD" w:rsidRDefault="005A30BD">
      <w:pPr>
        <w:pStyle w:val="ConsPlusTitle"/>
        <w:jc w:val="center"/>
      </w:pPr>
      <w:r>
        <w:t>РАЗВИТИЯ МЕДИЦИНСКОЙ НАУКИ В РОССИЙСКОЙ ФЕДЕРАЦИИ НА ПЕРИОД</w:t>
      </w:r>
    </w:p>
    <w:p w:rsidR="005A30BD" w:rsidRDefault="005A30BD">
      <w:pPr>
        <w:pStyle w:val="ConsPlusTitle"/>
        <w:jc w:val="center"/>
      </w:pPr>
      <w:r>
        <w:t>ДО 2025 ГОДА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1"/>
      </w:pPr>
      <w:r>
        <w:t>I. Цели и задачи Стратегии развития медицинской науки</w:t>
      </w:r>
    </w:p>
    <w:p w:rsidR="005A30BD" w:rsidRDefault="005A30BD">
      <w:pPr>
        <w:pStyle w:val="ConsPlusNormal"/>
        <w:jc w:val="center"/>
      </w:pPr>
      <w:r>
        <w:t>в Российской Федерации на период до 2025 года</w:t>
      </w:r>
    </w:p>
    <w:p w:rsidR="005A30BD" w:rsidRDefault="005A30BD">
      <w:pPr>
        <w:pStyle w:val="ConsPlusNormal"/>
        <w:jc w:val="center"/>
      </w:pPr>
    </w:p>
    <w:p w:rsidR="005A30BD" w:rsidRDefault="005A30BD">
      <w:pPr>
        <w:pStyle w:val="ConsPlusNormal"/>
        <w:jc w:val="center"/>
        <w:outlineLvl w:val="2"/>
      </w:pPr>
      <w:r>
        <w:t>1. Общая характеристика, цели и задачи Стратегии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proofErr w:type="gramStart"/>
      <w:r>
        <w:t xml:space="preserve">Стратегия развития медицинской науки в Российской Федерации на период до 2025 года (далее - Стратегия) разработана в соответствии с указами Президента Российской Федерации от 7 июля 2011 г. </w:t>
      </w:r>
      <w:hyperlink r:id="rId5" w:history="1">
        <w:r>
          <w:rPr>
            <w:color w:val="0000FF"/>
          </w:rPr>
          <w:t>N 899</w:t>
        </w:r>
      </w:hyperlink>
      <w:r>
        <w:t xml:space="preserve">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Федерации", от 7 мая 2012 г. </w:t>
      </w:r>
      <w:hyperlink r:id="rId6" w:history="1">
        <w:r>
          <w:rPr>
            <w:color w:val="0000FF"/>
          </w:rPr>
          <w:t>N 598</w:t>
        </w:r>
      </w:hyperlink>
      <w:r>
        <w:t xml:space="preserve"> "О совершенствовании государственной политики в сфере</w:t>
      </w:r>
      <w:proofErr w:type="gramEnd"/>
      <w:r>
        <w:t xml:space="preserve"> здравоохранения" и от 7 мая 2012 г. </w:t>
      </w:r>
      <w:hyperlink r:id="rId7" w:history="1">
        <w:r>
          <w:rPr>
            <w:color w:val="0000FF"/>
          </w:rPr>
          <w:t>N 599</w:t>
        </w:r>
      </w:hyperlink>
      <w:r>
        <w:t xml:space="preserve"> "О мерах по реализации государственной политики в области образования и науки", а также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8 декабря 2011 г. N 2227-р.</w:t>
      </w:r>
    </w:p>
    <w:p w:rsidR="005A30BD" w:rsidRDefault="005A30BD">
      <w:pPr>
        <w:pStyle w:val="ConsPlusNormal"/>
        <w:spacing w:before="220"/>
        <w:ind w:firstLine="540"/>
        <w:jc w:val="both"/>
      </w:pPr>
      <w:proofErr w:type="gramStart"/>
      <w:r>
        <w:t xml:space="preserve">Стратегия основывается на федеральной целевой </w:t>
      </w:r>
      <w:hyperlink r:id="rId9" w:history="1">
        <w:r>
          <w:rPr>
            <w:color w:val="0000FF"/>
          </w:rPr>
          <w:t>программе</w:t>
        </w:r>
      </w:hyperlink>
      <w:r>
        <w:t xml:space="preserve"> "Исследования и разработки по приоритетным направлениям развития научно-технологического комплекса России на 2007 - 2013 годы", утвержденной постановлением Правительства Российской Федерации от 17 октября 2006 г. N 613, комплексном плане мероприятий по реализации Основ политики Российской </w:t>
      </w:r>
      <w:r>
        <w:lastRenderedPageBreak/>
        <w:t>Федерации в области развития науки и технологий на период до 2020 года и дальнейшую перспективу, утвержденном Председателем Правительства Российской Федерации</w:t>
      </w:r>
      <w:proofErr w:type="gramEnd"/>
      <w:r>
        <w:t xml:space="preserve"> </w:t>
      </w:r>
      <w:proofErr w:type="gramStart"/>
      <w:r>
        <w:t xml:space="preserve">20 марта 2012 г. N 1207п-П8, Комплексной </w:t>
      </w:r>
      <w:hyperlink r:id="rId10" w:history="1">
        <w:r>
          <w:rPr>
            <w:color w:val="0000FF"/>
          </w:rPr>
          <w:t>программе</w:t>
        </w:r>
      </w:hyperlink>
      <w:r>
        <w:t xml:space="preserve"> развития биотехнологий в Российской Федерации на период до 2020 года, утвержденной Председателем Правительства Российской Федерации 24 апреля 2012 г. N 1853п-П8, государственной </w:t>
      </w:r>
      <w:hyperlink r:id="rId11" w:history="1">
        <w:r>
          <w:rPr>
            <w:color w:val="0000FF"/>
          </w:rPr>
          <w:t>программе</w:t>
        </w:r>
      </w:hyperlink>
      <w:r>
        <w:t xml:space="preserve"> Российской Федерации "Развитие фармацевтической и медицинской промышленности" на 2013 - 2020 годы, а также на </w:t>
      </w:r>
      <w:hyperlink r:id="rId12" w:history="1">
        <w:r>
          <w:rPr>
            <w:color w:val="0000FF"/>
          </w:rPr>
          <w:t>Программе</w:t>
        </w:r>
      </w:hyperlink>
      <w:r>
        <w:t xml:space="preserve"> фундаментальных научных исследований государственных академий наук на 2013 - 2020 годы, утвержденной распоряжением Правительства Российской</w:t>
      </w:r>
      <w:proofErr w:type="gramEnd"/>
      <w:r>
        <w:t xml:space="preserve"> Федерации от 3 декабря 2012 г. N 2237-р.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В Стратегии учтены положения федеральных законов "</w:t>
      </w:r>
      <w:hyperlink r:id="rId13" w:history="1">
        <w:r>
          <w:rPr>
            <w:color w:val="0000FF"/>
          </w:rPr>
          <w:t>О науке</w:t>
        </w:r>
      </w:hyperlink>
      <w:r>
        <w:t xml:space="preserve"> и государственной научно-технической политике", "</w:t>
      </w:r>
      <w:hyperlink r:id="rId14" w:history="1">
        <w:r>
          <w:rPr>
            <w:color w:val="0000FF"/>
          </w:rPr>
          <w:t>О высшем</w:t>
        </w:r>
      </w:hyperlink>
      <w:r>
        <w:t xml:space="preserve"> и послевузовском профессиональном образовании", "</w:t>
      </w:r>
      <w:hyperlink r:id="rId15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Федерации", "</w:t>
      </w:r>
      <w:hyperlink r:id="rId16" w:history="1">
        <w:r>
          <w:rPr>
            <w:color w:val="0000FF"/>
          </w:rPr>
          <w:t>О внесении изменений</w:t>
        </w:r>
      </w:hyperlink>
      <w:r>
        <w:t xml:space="preserve">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"</w:t>
      </w:r>
      <w:hyperlink r:id="rId17" w:history="1">
        <w:r>
          <w:rPr>
            <w:color w:val="0000FF"/>
          </w:rPr>
          <w:t>Об обращении лекарственных</w:t>
        </w:r>
      </w:hyperlink>
      <w:r>
        <w:t xml:space="preserve"> средств".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Координатором реализации Стратегии является Министерство здравоохранения Российской Федерации.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Исполнителями Стратегии являются главные распорядители бюджетных средств, государственные корпорации и иные организации, осуществляющие научные медицинские исследования в целях реализации Стратегии.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Участниками мероприятий по реализации Стратегии являются научные и научно-педагогические коллективы, научные и образовательные организации, осуществляющие научную деятельность в области медицины.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Целью Стратегии является развитие медицинской науки, направленное на создание высокотехнологичных инновационных продуктов, обеспечивающих на основе трансфера инновационных технологий в практическое здравоохранение сохранение и укрепление здоровья населения.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Стратегия направлена на реализацию государственной политики в сфере здравоохранения, повышение качества и доступности медицинской помощи населению Российской Федерации, включая разработку инновационной продукции, освоение критически важных технологий и развитие компетенций. Для достижения поставленной цели предусмотрено решение следующих задач: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развитие медицинской науки и инноваций в сфере здравоохранения;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развитие сектора медицинских исследований и разработок до мирового уровня и интеграция российской медицинской науки в глобальное научное пространство;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повышение результативности фундаментальных и прикладных научных исследований, укрепление кадрового научного потенциала;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развитие механизмов консолидации прав на использование объектов интеллектуальной собственности для вывода на рынок инновационных продуктов и технологий;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развитие системы экспертизы (обоснованного выбора) перспективных и приоритетных направлений, оценки качества и результативности научных исследований;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создание условий для устойчивого спроса на инновационную продукцию и ее внедрения в практическое здравоохранение;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управления медицинской наукой на основе развития системы стратегического и проектного управления, внедрения программно-целевого метода финансирования и проведения институциональных преобразований;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совершенствование механизмов мотивации научных сотрудников;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дальнейшее развитие международного сотрудничества;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развитие трансляционной медицины.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Стратегия реализуется в соответствии со следующими принципами: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концентрация ресурсов на приоритетных направлениях медицинской науки и внедрение ее результатов в практическое здравоохранение;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интеграция исследовательских и образовательных процессов;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качество и доказательность результатов научных исследований;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персонализация финансирования научных проектов;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независимость экспертизы результатов научных исследований;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развитие научной конкуренции.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2"/>
      </w:pPr>
      <w:r>
        <w:t>2. Мировые тенденции развития медицинской науки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>Глобализация экономики, развитие науки и технологий, открытия конца 1990-х - начала 2000-х годов в области исследования генома человека способствовали взрывному росту медицинской науки.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Отличительной чертой современной медицинской науки является развитие молекулярной и клеточной биологии. Молекулярная медицина формирует базис персонализированной медицины, основанной на прогностическом и профилактическом принципах, что позволяет раскрыть потенциальные и адаптационные возможности организма человека и увеличить продолжительность его активной жизни.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На основе интеграции смежных дисциплин развивается биомедицина - одна из важнейших наук о жизни.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Мировой тенденцией развития науки является технологический принцип, предполагающий использование единых научно-методических или аппаратурно-технологических подходов для решения широкого круга задач.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Стирается грань между фундаментальными и прикладными исследованиями. Путь от открытия до практики становится предельно коротким, что стало основой для появления трансляционной медицины.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Усиление влияния социально-экономической среды на жизнедеятельность и здоровье человека, а также технологический прогресс создают критические нагрузки на человека, его физическое и интеллектуальное состояние. Это требует широкого внедрения эпидемиологических и социологических методов исследования, разработки адаптационных и реабилитационных программ для людей всех возрастов и социальных групп вне зависимости от состояния их здоровья.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Усиливается роль исследований, направленных на развитие и внедрение стратегических и проектно-целевых методов и систем управления качеством в здравоохранении.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2"/>
      </w:pPr>
      <w:r>
        <w:t>3. Современное состояние медицинской науки</w:t>
      </w:r>
    </w:p>
    <w:p w:rsidR="005A30BD" w:rsidRDefault="005A30BD">
      <w:pPr>
        <w:pStyle w:val="ConsPlusNormal"/>
        <w:jc w:val="center"/>
      </w:pPr>
      <w:r>
        <w:t>в Российской Федерации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>Одной из приоритетных задач для достижения цели Стратегии является развитие медицинской науки и инноваций в сфере здравоохранения, предполагающее формирование и выполнение научных программ по приоритетным направлениям поддержания здоровья населения и формирования здорового образа жизни, разработке и внедрению технологий профилактики, диагностики, лечения заболеваний и состояний и медицинской реабилитации.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В медицинской науке активно внедряются программно-целевое финансирование научных исследований, современные компьютерные технологии обработки и анализа результатов научных исследований, а также международные кооперативные исследовательские программы.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Развивается неинвазивная диагностика на основе биотехнологических методов. Это позволяет достоверно поставить диагноз пациенту любого возраста и в любом состоянии.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Разработаны высокотехнологичные комплексные методы лечения новорожденных, в том числе недоношенных, и детей 1-го года жизни с врожденными пороками развития, включая гибридные методы лечения и экстренной помощи в критических ситуациях.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Развиваются клеточные и нейрокогнитивные технологии, геномные и протеомные исследования.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В структуре Министерства здравоохранения Российской Федерации, Федерального медико-биологического агентства, Федеральной службы по надзору в сфере защиты прав потребителей и благополучия человека и Российской академии медицинских наук существуют 214 подведомственных научных организаций и 6672 научных коллектива. Однако только 225 лабораторий проводят исследования мирового уровня и 431 лаборатория - национального уровня.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По общему числу ученых Россия </w:t>
      </w:r>
      <w:proofErr w:type="gramStart"/>
      <w:r>
        <w:t>занимает лидирующее положение и находится</w:t>
      </w:r>
      <w:proofErr w:type="gramEnd"/>
      <w:r>
        <w:t xml:space="preserve"> на 4-м месте после Китая, США и Японии. При этом число молодых ученых не превышает 25 процентов. По уровню финансирования научных исследований Россия занимает 9-е место в мире. По числу научных публикаций - находится на 15 - 18 месте. По уровню цитирования публикаций - за списком из 20 ведущих стран. В медицинской науке России наблюдаются те же тенденции.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Практически отсутствует система оценки перспективности патентов, зарубежного патентования и управления правами на результаты интеллектуальной деятельности.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Разобщенность медицинской науки снижает эффективность научных исследований. Одноплановые работы могут выполняться в учреждениях Министерства здравоохранения Российской Федерации, Министерства образования и науки Российской Федерации, Российской академии медицинских наук, Российской академии наук и Федерального медико-биологического агентства, деятельность которых в сфере медицинских исследований не координируется. Профиль научных организаций часто не соответствует основным мировым трендам развития медицинской науки, не существует приоритетов в постановке научных задач, отсутствуют инновационные цепочки "идея - лаборатория - производитель - клиника".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Следует отметить низкую структурную эффективность медицинской науки. Большинство учреждений не соответствуют требованиям надлежащей лабораторной практики, надлежащей клинической практики и испытаний инновационных препаратов с использованием моделей патологических процессов на животных. Научно-исследовательские институты недостаточно разрабатывают кандидатные молекулы, мишени и способы доставки лекарственных препаратов. Недостаточно сертифицированных центров доклинических испытаний новых лекарственных </w:t>
      </w:r>
      <w:r>
        <w:lastRenderedPageBreak/>
        <w:t>препаратов.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Медицинская наука остается зависимой от импорта. При этом в силу высоких таможенных сборов и транспортных расходов цены на приборы и реактивы выше в 1,5 - 1,8 раза, чем в США и Европейском союзе.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Из-за низкого уровня заработной платы только 9 процентов россиян считают профессию ученого престижной (в США 51 процент населения назвали профессию ученого в высшей степени престижной, 25 процентов - весьма престижной и 20 процентов - престижной).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Отсутствует эффективный механизм отбора и передачи результатов фундаментальных исследований, переходящих на стадию прикладных работ для получения опытных образцов инновационных продуктов, а также технологий для их создания.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Отсутствуют механизмы коммуникации представителей практического здравоохранения с научными работниками в части доведения информации о проблемах и неудовлетворенных потребностях в новых методах профилактики, диагностики, лечения заболеваний и состояний, медицинской реабилитации.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Медицинская наука остается неконкурентоспособной, непривлекательной для инвестиций, с высокими барьерами к внедрению инновационных разработок.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Для решения этих проблем предлагаются меры по реорганизации медицинской науки, развитию трансляционной и доказательной медицины.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Для повышения конкурентоспособности и инвестиционной привлекательности российской медицинской науки необходимо поддерживать приоритетные направления. Основными направлениями станут геномика, протеомика и эпигеномика, биоинформатика, системная биология, нанобиотехнологии, клеточные технологии, фармакогенетика, персонализированная медицина и ряд других. Особое место должно быть отведено междисциплинарным научным исследованиям, выполняющимся на стыке наук.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Задачами развития становятся повышение результативности, улучшение научно-методической подготовки специалистов, повышение качественного уровня научных публикаций и создание системы инновационных потоков на принципах трансляционной медицины, то есть быстрого доведения результатов научных исследований до медицинского продукта - лекарственного средства, прибора и тест-системы.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Для выполнения этих задач требуется сбалансировать между собой целевые установки, интеллектуальный потенциал и ресурсное обеспечение медицинской науки, необходимо выявить неэффективные организации с последующим их перепрофилированием и объединением. Требуется развить инфраструктуру организаций науки, создать биобанки, биоколлекции, центры доклинических исследований, биоинформатики, а также центр стратегических биомедицинских технологий и биобезопасности. Следует развивать проектный метод управления научными исследованиями, а также активно использовать управленческий консалтинг при подготовке проектов.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Это позволит сконцентрировать ресурсы на решении актуальных задач медицинской науки, сформировать научные платформы по основным направлениям медицины и центры лидерства в стратегически важных и приоритетных областях медицинской науки.</w:t>
      </w:r>
    </w:p>
    <w:p w:rsidR="005A30BD" w:rsidRDefault="005A30BD">
      <w:pPr>
        <w:pStyle w:val="ConsPlusNormal"/>
        <w:jc w:val="center"/>
      </w:pPr>
    </w:p>
    <w:p w:rsidR="005A30BD" w:rsidRDefault="005A30BD">
      <w:pPr>
        <w:pStyle w:val="ConsPlusNormal"/>
        <w:jc w:val="center"/>
        <w:outlineLvl w:val="1"/>
      </w:pPr>
      <w:r>
        <w:t>II. Приоритетные направления развития медицинской науки</w:t>
      </w:r>
    </w:p>
    <w:p w:rsidR="005A30BD" w:rsidRDefault="005A30BD">
      <w:pPr>
        <w:pStyle w:val="ConsPlusNormal"/>
        <w:jc w:val="center"/>
      </w:pPr>
      <w:r>
        <w:t>в Российской Федерации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>Управление медицинскими исследованиями будет осуществляться на основе сформированных научных платформ.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lastRenderedPageBreak/>
        <w:t>Научной платформой является интегрированная программа исследований по приоритетным направлениям и критическим технологиям развития медицинской науки, направленная на создание инновационных продуктов и технологий, реализуемая ведущими научными коллективами и исследователями.</w:t>
      </w:r>
    </w:p>
    <w:p w:rsidR="005A30BD" w:rsidRDefault="005A30BD">
      <w:pPr>
        <w:pStyle w:val="ConsPlusNormal"/>
        <w:spacing w:before="220"/>
        <w:ind w:firstLine="540"/>
        <w:jc w:val="both"/>
      </w:pPr>
      <w:proofErr w:type="gramStart"/>
      <w:r>
        <w:t>После широкого обсуждения ведущими учеными и специалистами Министерства здравоохранения Российской Федерации, Министерства образования и науки Российской Федерации, Российской академии медицинских наук, Российской академии наук, Федерального медико-биологического агентства и медицинских вузов определено 14 научных платформ, в том числе онкология, кардиология и ангиология, неврология, эндокринология, педиатрия, психиатрия и зависимости, иммунология, микробиология, фармакология, профилактическая среда, репродуктивное здоровье, регенеративная медицина, инвазивные технологии и инновационные</w:t>
      </w:r>
      <w:proofErr w:type="gramEnd"/>
      <w:r>
        <w:t xml:space="preserve"> фундаментальные технологии в медицине.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В рамках выполнения задач развития научных платформ участники реализации мероприятий Стратегии </w:t>
      </w:r>
      <w:proofErr w:type="gramStart"/>
      <w:r>
        <w:t>формируют и актуализируют</w:t>
      </w:r>
      <w:proofErr w:type="gramEnd"/>
      <w:r>
        <w:t xml:space="preserve"> тематики исследований, выполняют информационную и экспертную функции, готовят технологические дорожные карты для планирования разработки конкретных технологий и продуктов, формируют приоритеты и координируют реализацию научно-технических проектов. Дорожные карты научных платформ, детализированные до проектов и продуктов, станут основой для формирования государственных заданий государственным учреждениям, а также для программно-целевого финансирования науки.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В процессе реализации Стратегии предполагается вносить на основе широкого обсуждения с научной общественностью изменения в механизмы научных платформ.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Реализация программ научных платформ позволит сконцентрировать финансовые и организационные усилия на исследованиях, обеспечивающих максимальный эффе</w:t>
      </w:r>
      <w:proofErr w:type="gramStart"/>
      <w:r>
        <w:t>кт в ср</w:t>
      </w:r>
      <w:proofErr w:type="gramEnd"/>
      <w:r>
        <w:t>еднесрочной и долгосрочной перспективе. Координацию деятельности научных коллективов, поиск и создание недостающих компетенций, анализ тенденций развития научной платформы должны осуществлять головные институты - центры лидерства.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1"/>
      </w:pPr>
      <w:r>
        <w:t>III. Организационное и правовое обеспечение Стратегии</w:t>
      </w:r>
    </w:p>
    <w:p w:rsidR="005A30BD" w:rsidRDefault="005A30BD">
      <w:pPr>
        <w:pStyle w:val="ConsPlusNormal"/>
        <w:jc w:val="center"/>
      </w:pPr>
    </w:p>
    <w:p w:rsidR="005A30BD" w:rsidRDefault="005A30BD">
      <w:pPr>
        <w:pStyle w:val="ConsPlusNormal"/>
        <w:jc w:val="center"/>
        <w:outlineLvl w:val="2"/>
      </w:pPr>
      <w:r>
        <w:t xml:space="preserve">4. </w:t>
      </w:r>
      <w:proofErr w:type="gramStart"/>
      <w:r>
        <w:t>Межведомственная</w:t>
      </w:r>
      <w:proofErr w:type="gramEnd"/>
      <w:r>
        <w:t xml:space="preserve"> координация медицинской науки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>С целью межведомственной координации необходимо сформировать межведомственный совет по медицинской науке, в состав которого войдут представители федеральных органов исполнительной власти, государственных академий наук и научных и образовательных организаций. Министерство здравоохранения Российской Федерации выступает как координатор этого совета.</w:t>
      </w:r>
    </w:p>
    <w:p w:rsidR="005A30BD" w:rsidRDefault="005A30BD">
      <w:pPr>
        <w:pStyle w:val="ConsPlusNormal"/>
        <w:spacing w:before="220"/>
        <w:ind w:firstLine="540"/>
        <w:jc w:val="both"/>
      </w:pPr>
      <w:proofErr w:type="gramStart"/>
      <w:r>
        <w:t>Деятельность межведомственного совета по медицинской науке должна быть направлена на обеспечение эффективного взаимодействия федеральных органов исполнительной власти и соответствующих организаций в целях реализации Стратегии, повышение эффективности расходования бюджетных средств, разработку единых критериев экспертного отбора проектов, методологических подходов к созданию баз данных по финансируемым и реализуемым проектам, формирование консолидированного сообщества экспертов, а также на создание полного цикла инновационного процесса.</w:t>
      </w:r>
      <w:proofErr w:type="gramEnd"/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Задачей межведомственного совета по медицинской науке будет рассмотрение и согласование ведомственных планов реализации Стратегии, которые </w:t>
      </w:r>
      <w:proofErr w:type="gramStart"/>
      <w:r>
        <w:t>координируются между собой по мероприятиям и этапам реализации и учитывают</w:t>
      </w:r>
      <w:proofErr w:type="gramEnd"/>
      <w:r>
        <w:t xml:space="preserve"> мероприятия, осуществляемые в рамках технологических платформ "Медицина будущего", "Биоиндустрия и биоресурсы "БиоТех2030", "Биоэнергетика" и других технологических платформ в сфере медицины.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lastRenderedPageBreak/>
        <w:t>Мероприятия ведомственных планов реализации Стратегии должны учитываться исполнителями Стратегии при формировании государственного задания подведомственным федеральным органам исполнительной власти учреждениям.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В целях реализации Стратегии планируется разработать программу мероприятий по развитию медицинской науки. Разработка и реализация указанной программы мероприятий должны обеспечить консолидацию новых компетенций в области медицинской науки, вывод на рынок инновационных продуктов.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2"/>
      </w:pPr>
      <w:r>
        <w:t>5. Финансовое обеспечение медицинской науки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 xml:space="preserve">Финансовое обеспечение мероприятий Стратегии за счет средств федерального бюджета предусматривается осуществлять в рамках государственных программ Российской Федерации </w:t>
      </w:r>
      <w:hyperlink r:id="rId18" w:history="1">
        <w:r>
          <w:rPr>
            <w:color w:val="0000FF"/>
          </w:rPr>
          <w:t>"Развитие здравоохранения"</w:t>
        </w:r>
      </w:hyperlink>
      <w:r>
        <w:t xml:space="preserve"> на 2013 - 2020 годы, </w:t>
      </w:r>
      <w:hyperlink r:id="rId19" w:history="1">
        <w:r>
          <w:rPr>
            <w:color w:val="0000FF"/>
          </w:rPr>
          <w:t>"Развитие образования"</w:t>
        </w:r>
      </w:hyperlink>
      <w:r>
        <w:t xml:space="preserve"> на 2013 - 2020 годы, </w:t>
      </w:r>
      <w:hyperlink r:id="rId20" w:history="1">
        <w:r>
          <w:rPr>
            <w:color w:val="0000FF"/>
          </w:rPr>
          <w:t>"Развитие науки и технологий"</w:t>
        </w:r>
      </w:hyperlink>
      <w:r>
        <w:t xml:space="preserve"> и "</w:t>
      </w:r>
      <w:hyperlink r:id="rId21" w:history="1">
        <w:r>
          <w:rPr>
            <w:color w:val="0000FF"/>
          </w:rPr>
          <w:t>Развитие фармацевтической и медицинской</w:t>
        </w:r>
      </w:hyperlink>
      <w:r>
        <w:t xml:space="preserve"> промышленности" на 2013 - 2020 годы.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Финансовое обеспечение фундаментальных и поисковых исследований необходимо осуществлять в соответствии с государственными заданиями, утверждаемыми федеральными органами исполнительной власти, соответствующим подведомственным учреждениям, а также с использованием механизмов грантовой поддержки в научно-технической сфере.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Государственные задания планируется разрабатывать на основе ведомственных планов, сформированных с учетом дорожных карт научных платформ. Научные организации и высшие учебные заведения могут участвовать в реализации нескольких научных платформ.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Критериями результативности ориентированных фундаментальных и поисковых исследований являются показатели публикационной активности и значимости публикаций (импакт-фактор журнала, цитируемость автора статьи, индекс Хирша).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Проведение прикладных исследований, ориентированных на создание полезных моделей, макетов, экспериментальных образцов и клинических исследований, необходимо осуществлять с использованием механизмов целевого финансирования в рамках программы мероприятий по развитию медицинской науки, проектов институтов развития, государственных корпораций, а также в рамках государственно-частного партнерства.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Необходимо обеспечить условия, при которых по мере продвижения от ориентированного фундаментального исследования к конечному продукту доля государства в финансировании будет снижаться, тогда как доля частного капитала и финансирования из иных внебюджетных источников - увеличиваться.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2"/>
      </w:pPr>
      <w:r>
        <w:t xml:space="preserve">6. Администрирование и коммерциализация </w:t>
      </w:r>
      <w:proofErr w:type="gramStart"/>
      <w:r>
        <w:t>интеллектуальной</w:t>
      </w:r>
      <w:proofErr w:type="gramEnd"/>
    </w:p>
    <w:p w:rsidR="005A30BD" w:rsidRDefault="005A30BD">
      <w:pPr>
        <w:pStyle w:val="ConsPlusNormal"/>
        <w:jc w:val="center"/>
      </w:pPr>
      <w:r>
        <w:t>собственности в медицинской науке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>Необходимо создание условий для эффективной защиты прав на результаты интеллектуальной деятельности, в том числе зарубежного патентования российских разработок на основе формирования патентной службы в научных организациях, реализующих Стратегию, единой базы данных новых разработок и патентов, а также отработки механизмов целевого финансирования патентования российских разработок за рубежом.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Необходима отработка механизмов консолидации прав пользования результатами интеллектуальной деятельности для вывода на рынок инновационных продуктов и технологий, включая независимую оценку рыночной стоимости объектов интеллектуальной собственности в медицинской науке, выкупа, консолидации и отчуждения прав пользования. При этом государство должно иметь возможность влиять на формы и способы использования </w:t>
      </w:r>
      <w:r>
        <w:lastRenderedPageBreak/>
        <w:t>интеллектуальной собственности. Необходимо внесение изменений в нормативно-правовое регулирование этой сферы.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Планируется создать условия, при которых научные организации, разработавшие и запатентовавшие инновационные продукты, заинтересованы в создании малых инновационных предприятий. Малые инновационные предприятия </w:t>
      </w:r>
      <w:proofErr w:type="gramStart"/>
      <w:r>
        <w:t>опираются</w:t>
      </w:r>
      <w:proofErr w:type="gramEnd"/>
      <w:r>
        <w:t xml:space="preserve"> прежде всего на интеллектуальную собственность, созданную в организации в результате выполнения научных работ.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Предусматривается обеспечение включения инновационных продуктов в клинические протоколы и стандарты медицинской помощи, а также отработка механизмов долгосрочных государственных гарантий закупок инновационных продуктов с использованием особого механизма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В целях коммерциализации разработок с ранних этапов их реализации и на всем протяжении инновационного цикла необходимо создавать условия для формирования центров трансфера технологий, сервисных организаций в сфере медицинской науки, проектных компаний в сфере инновационной деятельности и инвестиционных компаний.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2"/>
      </w:pPr>
      <w:r>
        <w:t>7. Совершенствование правового регулирования</w:t>
      </w:r>
    </w:p>
    <w:p w:rsidR="005A30BD" w:rsidRDefault="005A30BD">
      <w:pPr>
        <w:pStyle w:val="ConsPlusNormal"/>
        <w:jc w:val="center"/>
      </w:pPr>
      <w:r>
        <w:t>медицинской науки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>Научные достижения в новых областях медицины приводят к появлению продуктов и технологий, требующих разработки новых принципов контроля безопасности, эффективности, качества и требований к обороту инновационных продуктов.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Стимулирование инновационного процесса предполагает устранение преград в развитии новых отраслей биомедицины и создание условий для ускоренного внедрения передовых научно-технических разработок в практическое здравоохранение. Оптимизация процедур государственной регистрации лекарственных препаратов, медицинских изделий при обязательном обеспечении безопасности, эффективности и качества инновационных продуктов требует постоянного совершенствования нормативной правовой базы.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Отсутствие соответствующего нормативного регулирования является тормозом развития наиболее динамичных областей медицинской науки.</w:t>
      </w:r>
    </w:p>
    <w:p w:rsidR="005A30BD" w:rsidRDefault="005A30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A30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30BD" w:rsidRDefault="005A30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A30BD" w:rsidRDefault="005A30BD">
            <w:pPr>
              <w:pStyle w:val="ConsPlusNormal"/>
              <w:jc w:val="both"/>
            </w:pPr>
            <w:r>
              <w:rPr>
                <w:color w:val="392C69"/>
              </w:rPr>
              <w:t xml:space="preserve">О биомедицинских клеточных продуктах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23.06.2016 N 180-ФЗ.</w:t>
            </w:r>
          </w:p>
        </w:tc>
      </w:tr>
    </w:tbl>
    <w:p w:rsidR="005A30BD" w:rsidRDefault="005A30BD">
      <w:pPr>
        <w:pStyle w:val="ConsPlusNormal"/>
        <w:spacing w:before="220"/>
        <w:ind w:firstLine="540"/>
        <w:jc w:val="both"/>
      </w:pPr>
      <w:r>
        <w:t>К первоочередным нормативным правовым актам, регулирующим оборот инновационных продуктов и требующим разработки, относятся проекты федеральных законов об обращении биомедицинских клеточных продуктов, обращении тканевых медицинских продуктов и о биомедицинской этике.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1"/>
      </w:pPr>
      <w:r>
        <w:t>IV. Институциональные преобразования в медицинской науке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>Инновационное развитие здравоохранения невозможно без институциональных преобразований, повышения эффективности научных и образовательных организаций, устранения межведомственной разобщенности и развития научных школ в ведущих медицинских вузах.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2"/>
      </w:pPr>
      <w:r>
        <w:t>8. Повышение структурной эффективности медицинской науки</w:t>
      </w:r>
    </w:p>
    <w:p w:rsidR="005A30BD" w:rsidRDefault="005A30BD">
      <w:pPr>
        <w:pStyle w:val="ConsPlusNormal"/>
        <w:jc w:val="center"/>
      </w:pPr>
      <w:r>
        <w:t>и формирование центров лидерства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lastRenderedPageBreak/>
        <w:t>Целью планируемых преобразований является формирование единого научного пространства медицинской науки с взаимодополняющими компетенциями научных коллективов, развитием инфраструктуры и развитием технологий трансляционной медицины, охватывающей всю инновационную цепочку от лаборатории до клиники.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Такие преобразования должны создать взаимосвязь между состоянием здоровья нации, проводимыми научно-исследовательскими работами и предоставлением населению качественной доступной медицинской помощи.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Реструктуризацию организаций медицинской науки целесообразно осуществлять в рамках научных платформ, а также перспективных планов развития этих организаций.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Необходимо определить, какой круг научных организаций требуется для выполнения стратегических функций лидерства в отечественной науке и поддержания необходимой степени эффективности научного потенциала страны.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На основании оценки результативности деятельности научных организаций планируется сформировать программы дальнейшего развития лидирующих и стабильных научных организаций, а также мероприятия по реорганизации или ликвидации неэффективных научных организаций.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Средства, сэкономленные за счет сокращения неэффективных организаций и подразделений, необходимо направить на развитие и расширение деятельности более результативных организаций.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Предполагается технологическое обновление научной инфраструктуры, в частности создание сети центров доклинической и трансляционной медицины, сертифицированных вивариев, банков биологического материала и чистых клеточных линий и центров биоинформатики.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Необходимо формирование системы центров лидерства по приоритетным направлениям, то есть закрепление за лидирующими научными организациями функций по методологическому сопровождению исследовательских проектов.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Необходимо мотивировать инициирование создания исследовательских групп на базе нескольких ведущих научных организаций или лабораторий, способных к генерации и реализации междисциплинарных исследований.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Необходимо внедрение методов стратегического и проектного управления.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В целях обмена актуальной научной информацией, формирования единого интеллектуального пространства в области научных медицинских исследований, стимулирования научной кооперации, обсуждения проблем и результатов выполнения мероприятий Стратегии, а также в целях доступа к электронным библиотекам в информационно-телекоммуникационной сети "Интернет" планируется создание информационного портала "Медицинская наука".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2"/>
      </w:pPr>
      <w:r>
        <w:t xml:space="preserve">9. Формирование </w:t>
      </w:r>
      <w:proofErr w:type="gramStart"/>
      <w:r>
        <w:t>научно-образовательных</w:t>
      </w:r>
      <w:proofErr w:type="gramEnd"/>
    </w:p>
    <w:p w:rsidR="005A30BD" w:rsidRDefault="005A30BD">
      <w:pPr>
        <w:pStyle w:val="ConsPlusNormal"/>
        <w:jc w:val="center"/>
      </w:pPr>
      <w:r>
        <w:t>медицинских кластеров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 xml:space="preserve">Планируется обеспечить дальнейшее формирование научно-образовательных кластеров, объединяющих научно-исследовательские лаборатории, факультеты и кафедры ведущих вузов страны, клиники научно-исследовательских центров и вузов, инновационные предприятия различных форм собственности. Прежде </w:t>
      </w:r>
      <w:proofErr w:type="gramStart"/>
      <w:r>
        <w:t>всего</w:t>
      </w:r>
      <w:proofErr w:type="gramEnd"/>
      <w:r>
        <w:t xml:space="preserve"> кластеры предусматривается формировать с участием национальных исследовательских университетов.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В рамках формирования кластеров необходимо продолжить создание вузами кафедр на </w:t>
      </w:r>
      <w:r>
        <w:lastRenderedPageBreak/>
        <w:t>базе учреждений науки.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Формирование и развитие научных объединений, в том числе кластерного типа, возможно в ходе реализации комплексных междисциплинарных проектов, направленных на решение крупных научных или практических проблем.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2"/>
      </w:pPr>
      <w:r>
        <w:t>10. Формирование инновационной инфраструктуры</w:t>
      </w:r>
    </w:p>
    <w:p w:rsidR="005A30BD" w:rsidRDefault="005A30BD">
      <w:pPr>
        <w:pStyle w:val="ConsPlusNormal"/>
        <w:jc w:val="center"/>
      </w:pPr>
      <w:r>
        <w:t>медицинской науки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>Для формирования обеспечивающей инновационное развитие инфраструктуры необходимо создание на базе уже имеющихся научных и образовательных организаций центров доклинических трансляционных исследований, центров биоинформатики, высокотехнологичных центров коллективного пользования на базе ведущих высших учебных заведений и научных организаций, а также центра инновационного обучения и национального центра стратегических биомедицинских технологий и биобезопасности.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Результатами реализации направлений по развитию обеспечивающей инфраструктуры научных исследований станет повышение результативности исследований, качественное повышение оснащенности и технической вооруженности организаций, осуществляющих научную деятельность в сфере здравоохранения, а также разработка новых образовательных программ в целях инновационного развития здравоохранения.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Для стандартизации исследований и проведения качественных научно-исследовательских работ лаборатории научных организаций и научно-клинических центров планируется модернизировать в соответствии с требованиями надлежащей лабораторной и клинической практики.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Предусматривается обеспечить доступ научных организаций к электронным библиотекам и профильным научным журналам, включая </w:t>
      </w:r>
      <w:proofErr w:type="gramStart"/>
      <w:r>
        <w:t>зарубежные</w:t>
      </w:r>
      <w:proofErr w:type="gramEnd"/>
      <w:r>
        <w:t>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2"/>
      </w:pPr>
      <w:r>
        <w:t>11. Развитие кадрового потенциала медицинской науки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>Стратегическими задачами развития кадрового потенциала медицинской науки являются создание условий для эффективного воспроизводства научных и научно-педагогических кадров и закрепления молодежи в сфере науки, образования и высоких технологий, сохранение преемственности поколений, выявление талантливой молодежи на всех этапах обучения, обеспечение развития научных школ и сохранение накопленного потенциала.</w:t>
      </w:r>
    </w:p>
    <w:p w:rsidR="005A30BD" w:rsidRDefault="005A30B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 планируется повысить к 2018 году среднюю заработную плату врачей,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с использованием механизма эффективного контракта.</w:t>
      </w:r>
      <w:proofErr w:type="gramEnd"/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Предусматривается </w:t>
      </w:r>
      <w:proofErr w:type="gramStart"/>
      <w:r>
        <w:t>разработать и реализовать</w:t>
      </w:r>
      <w:proofErr w:type="gramEnd"/>
      <w:r>
        <w:t xml:space="preserve"> специальные программы обучения студентов медицинских вузов технологическим методам научных биомедицинских исследований, принципам доказательной медицины, методам обработки научной информации и др.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В целях поддержки карьерного роста одаренных научных работников необходимо обеспечить привлечение </w:t>
      </w:r>
      <w:proofErr w:type="gramStart"/>
      <w:r>
        <w:t>бизнес-сообщества</w:t>
      </w:r>
      <w:proofErr w:type="gramEnd"/>
      <w:r>
        <w:t xml:space="preserve"> для поддержки исследований молодых ученых и преподавателей, учреждение именных стипендий, создание перспектив профессионального роста и улучшения материального положения.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Планируется расширить программы зарубежных стажировок российских исследователей, </w:t>
      </w:r>
      <w:r>
        <w:lastRenderedPageBreak/>
        <w:t>участия молодых ученых в международных научно-исследовательских проектах и привлечения зарубежных исследователей к участию в российских научных проектах.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Предусматривается создать условия для разумной конкуренции между ведущими учеными и научными коллективами, включая меры по развитию контроля адекватности проведения исследований и объективной оценки результатов научной деятельности, а также по развитию системы ротации кадров.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Повышению кадрового потенциала российской медицины способствует организация на базе научных организаций лабораторий с участием иностранных партнеров.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1"/>
      </w:pPr>
      <w:r>
        <w:t>V. Основные результаты реализации Стратегии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>Реализация Стратегии способствует: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созданию сбалансированного, устойчиво развивающегося в научном пространстве Российской Федерации сектора научных медицинских исследований и инновационных разработок, обеспечивающего расширенное воспроизводство медицинских знаний, конкурентоспособного на мировом рынке и активно взаимодействующего с практическим здравоохранением;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формированию непрерывного цикла внедрения в здравоохранение результатов фундаментальных и прикладных исследований;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повышению инвестиционной привлекательности российских патентов в сфере медицинской науки;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созданию механизма поддержки международного сотрудничества в области ориентированных фундаментальных и прикладных медицинских исследований, в том числе через организацию проектов, лабораторий и центров, с участием иностранных партнеров;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созданию механизмов включения новых лекарственных препаратов, биомедицинских клеточных продуктов и медицинских изделий в стандарты медицинской помощи;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созданию эффективных механизмов анализа, учета, управления и вовлечения в хозяйственный оборот результатов интеллектуальной деятельности в области медицинской науки;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созданию механизмов поддержки патентования, регистрации и продвижения новых российских разработок на международный рынок;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созданию механизмов поддержки российских производителей инновационной продукции и обеспечению возможности использования новых зарегистрированных лекарственных препаратов и продуктов в практике здравоохранения;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укреплению кадрового потенциала медицинской науки и закреплению научной молодежи в научных организациях;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повышению рейтинга Российской Федерации в глобальном рейтинге "Науки о жизни".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В результате реализации Стратегии произойдет интеграция национального сектора медицинских исследований в соответствующий сектор глобальной науки, что приведет к увеличению числа национальных публикаций по медицине, индексируемых в международных библиометрических базах данных.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2"/>
      </w:pPr>
      <w:r>
        <w:t>12. Этапы и сроки реализации Стратегии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>В реализации Стратегии выделены следующие этапы: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первый этап (инфраструктурный) - 2013 - 2016 годы;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второй этап (интеграционный) - 2017 - 2020 годы;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третий этап (масштабирование инновационной деятельности) - 2021 - 2025 годы.</w:t>
      </w:r>
    </w:p>
    <w:p w:rsidR="005A30BD" w:rsidRDefault="005A30BD">
      <w:pPr>
        <w:pStyle w:val="ConsPlusNormal"/>
        <w:spacing w:before="220"/>
        <w:ind w:firstLine="540"/>
        <w:jc w:val="both"/>
      </w:pPr>
      <w:proofErr w:type="gramStart"/>
      <w:r>
        <w:t>На первом этапе планируется сформировать научные платформы по приоритетным направлениям медицинской науки и нормативную правовую базу, необходимую для достижения запланированных результатов и индикаторов, разработать ведомственные планы реализации Стратегии, программу мероприятий по развитию медицинской науки и классификатор тематик научных исследований в медицине, уточнить государственные задания для учреждений, подведомственных соответствующим федеральным органам исполнительной власти, создать межведомственный совет по медицинской науке, а также</w:t>
      </w:r>
      <w:proofErr w:type="gramEnd"/>
      <w:r>
        <w:t xml:space="preserve"> учесть особенности администрирования интеллектуальной собственности в медицинской науке.</w:t>
      </w:r>
    </w:p>
    <w:p w:rsidR="005A30BD" w:rsidRDefault="005A30BD">
      <w:pPr>
        <w:pStyle w:val="ConsPlusNormal"/>
        <w:spacing w:before="220"/>
        <w:ind w:firstLine="540"/>
        <w:jc w:val="both"/>
      </w:pPr>
      <w:proofErr w:type="gramStart"/>
      <w:r>
        <w:t>Планируется проведение аудита научных организаций, результаты которого станут основой для их укрупнения и профилирования в рамках научных платформ и определения центров лидерства (головных институтов), по результатам которого начнется модернизация инфраструктуры медицинской науки и выполнение указанными учреждениями ориентированных фундаментальных исследований в рамках бюджетного финансирования на основе государственного задания, в соответствии с приоритетами научных платформ, а также проведение доклинических и клинических исследований</w:t>
      </w:r>
      <w:proofErr w:type="gramEnd"/>
      <w:r>
        <w:t xml:space="preserve"> инновационных продуктов с использованием программно-целевого финансирования. Планируется создание условий для коммерциализации ранних этапов инновационных разработок, а также конечных результатов на всем протяжении инновационного цикла.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Предусматривается формирование научно-образовательных кластеров и расширение кооперации научно-исследовательских лабораторий, факультетов и кафедр ведущих вузов страны, клиник научно-исследовательских центров и вузов, передовых компаний реального сектора экономики, академических институтов и отраслевых научных организаций, кардинальное расширение международной интеграции российских вузов. Планируется открытие базовых кафедр вузов в научно-исследовательских институтах, национальных исследовательских центрах и государственных научных центрах.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Предусматривается полномасштабное функционирование "инновационного трансфера", в рамках которого планируется взаимодействие ключевых институтов развития, научных фондов, создание открытой базы данных инновационных проектов в медицинской науке.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На втором этапе необходимо продолжить укрупнение, профилирование и реорганизацию ведомственных научных организаций в соответствии с научными платформами, а также кардинальное обновление их материально-технической базы, финансирование ориентированных фундаментальных исследований будет сконцентрировано на работах, характеризующихся глобальной конкурентоспособностью. На основании </w:t>
      </w:r>
      <w:proofErr w:type="gramStart"/>
      <w:r>
        <w:t>подготовленных</w:t>
      </w:r>
      <w:proofErr w:type="gramEnd"/>
      <w:r>
        <w:t xml:space="preserve"> на первом этапе регистрационных досье необходимо начать клинические исследования инновационных продуктов. Одновременно планируется провести доклинические испытания следующей серии инновационных продуктов.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Предусматривается увеличение числа стажировок молодых специалистов в ведущих исследовательских и биотехнологических центрах мира.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Планируется создание центров по приоритетным направлениям медицинской науки и технологий с участием зарубежных научных организаций и компаний, а также лабораторий, центров трансфера технологий, будет осуществлена гармонизация российских и международных </w:t>
      </w:r>
      <w:r>
        <w:lastRenderedPageBreak/>
        <w:t>регламентов и стандартов в области медицинской науки и технологий.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На третьем этапе необходимо расширить условия для коммерциализации разработанных инновационных продуктов с гарантированной их закупкой государством. Вывод продуктов на рынок обеспечит возможности возмещения затрат всеми участниками процесса и инвестирования полученных средств в новые проекты и разработки.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Планируется качественно повысить уровень научных исследований российских медицинских учреждений, престиж медицинских научных специальностей для молодых специалистов и удельный вес российских публикаций в общемировом рейтинге.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2"/>
      </w:pPr>
      <w:r>
        <w:t>13. Экономический эффект реализации Стратегии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>Экономический эффект реализации Стратегии рассчитывается в конце каждого из этапов ее реализации.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Методика определения оценки эффективности Стратегии приведена в </w:t>
      </w:r>
      <w:hyperlink w:anchor="P237" w:history="1">
        <w:r>
          <w:rPr>
            <w:color w:val="0000FF"/>
          </w:rPr>
          <w:t>приложении N 1</w:t>
        </w:r>
      </w:hyperlink>
      <w:r>
        <w:t>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  <w:outlineLvl w:val="2"/>
      </w:pPr>
      <w:r>
        <w:t>14. Мониторинг, управление и контроль</w:t>
      </w:r>
    </w:p>
    <w:p w:rsidR="005A30BD" w:rsidRDefault="005A30BD">
      <w:pPr>
        <w:pStyle w:val="ConsPlusNormal"/>
        <w:jc w:val="center"/>
      </w:pPr>
      <w:r>
        <w:t>за реализацией Стратегии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Стратегии осуществляется межведомственным советом по медицинской науке на основании плана мероприятий по реализации Стратегии, ведомственных планов по ее реализации, отчетов по выполнению программы мероприятий по развитию медицинской науки и соответствующих государственных заданий.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Министерство здравоохранения Российской Федерации представляет ежегодно отчет о реализации Стратегии в Правительство Российской Федерации. Основные индикативные показатели реализации Стратегии приведены в </w:t>
      </w:r>
      <w:hyperlink w:anchor="P274" w:history="1">
        <w:r>
          <w:rPr>
            <w:color w:val="0000FF"/>
          </w:rPr>
          <w:t>приложении N 2</w:t>
        </w:r>
      </w:hyperlink>
      <w:r>
        <w:t>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right"/>
        <w:outlineLvl w:val="1"/>
      </w:pPr>
      <w:r>
        <w:t>Приложение N 1</w:t>
      </w:r>
    </w:p>
    <w:p w:rsidR="005A30BD" w:rsidRDefault="005A30BD">
      <w:pPr>
        <w:pStyle w:val="ConsPlusNormal"/>
        <w:jc w:val="right"/>
      </w:pPr>
      <w:r>
        <w:t>к Стратегии развития</w:t>
      </w:r>
    </w:p>
    <w:p w:rsidR="005A30BD" w:rsidRDefault="005A30BD">
      <w:pPr>
        <w:pStyle w:val="ConsPlusNormal"/>
        <w:jc w:val="right"/>
      </w:pPr>
      <w:r>
        <w:t>медицинской науки</w:t>
      </w:r>
    </w:p>
    <w:p w:rsidR="005A30BD" w:rsidRDefault="005A30BD">
      <w:pPr>
        <w:pStyle w:val="ConsPlusNormal"/>
        <w:jc w:val="right"/>
      </w:pPr>
      <w:r>
        <w:t>в Российской Федерации</w:t>
      </w:r>
    </w:p>
    <w:p w:rsidR="005A30BD" w:rsidRDefault="005A30BD">
      <w:pPr>
        <w:pStyle w:val="ConsPlusNormal"/>
        <w:jc w:val="right"/>
      </w:pPr>
      <w:r>
        <w:t>на период до 2025 года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</w:pPr>
      <w:bookmarkStart w:id="1" w:name="P237"/>
      <w:bookmarkEnd w:id="1"/>
      <w:r>
        <w:t>МЕТОДИКА</w:t>
      </w:r>
    </w:p>
    <w:p w:rsidR="005A30BD" w:rsidRDefault="005A30BD">
      <w:pPr>
        <w:pStyle w:val="ConsPlusNormal"/>
        <w:jc w:val="center"/>
      </w:pPr>
      <w:r>
        <w:t>ОПРЕДЕЛЕНИЯ ОЦЕНКИ ЭФФЕКТИВНОСТИ СТРАТЕГИИ РАЗВИТИЯ</w:t>
      </w:r>
    </w:p>
    <w:p w:rsidR="005A30BD" w:rsidRDefault="005A30BD">
      <w:pPr>
        <w:pStyle w:val="ConsPlusNormal"/>
        <w:jc w:val="center"/>
      </w:pPr>
      <w:r>
        <w:t>МЕДИЦИНСКОЙ НАУКИ В РОССИЙСКОЙ ФЕДЕРАЦИИ НА ПЕРИОД</w:t>
      </w:r>
    </w:p>
    <w:p w:rsidR="005A30BD" w:rsidRDefault="005A30BD">
      <w:pPr>
        <w:pStyle w:val="ConsPlusNormal"/>
        <w:jc w:val="center"/>
      </w:pPr>
      <w:r>
        <w:t>ДО 2025 ГОДА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 xml:space="preserve">Настоящая методика осуществляет оценку эффективности </w:t>
      </w:r>
      <w:hyperlink w:anchor="P24" w:history="1">
        <w:r>
          <w:rPr>
            <w:color w:val="0000FF"/>
          </w:rPr>
          <w:t>Стратегии</w:t>
        </w:r>
      </w:hyperlink>
      <w:r>
        <w:t xml:space="preserve"> развития медицинской науки в Российской Федерации на период до 2025 года, утвержденной распоряжением Правительства Российской Федерации от 28 декабря 2012 г. N 2580-р (далее - Стратегия).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В соответствии с настоящей методикой проводится оценка достижения плановых параметров.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 xml:space="preserve">Степень достижения целей и решения задач (Сд) Стратегии в целом путем сопоставления фактически достигнутых значений индикаторов Стратегии их плановым значениям (для индикаторов (показателей), желаемой тенденцией развития которых является снижение </w:t>
      </w:r>
      <w:r>
        <w:lastRenderedPageBreak/>
        <w:t>значений) определяется по формуле: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</w:pPr>
      <w:r>
        <w:t>Сд = Зф/Зп x 100%,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>где: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Зф - фактическое значение индикатора (показателя) Стратегии;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Зп - плановое значение индикатора (показателя) Стратегии.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Степень соответствия запланированному уровню затрат (Уз) из федерального бюджета и иных источников ресурсного обеспечения Стратегии путем сопоставления плановых и фактических объемов финансирования мероприятий Стратегии по каждому источнику ресурсного обеспечения определяется по формуле: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center"/>
      </w:pPr>
      <w:r>
        <w:t>Уз = Фф/Фп x 100%,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  <w:r>
        <w:t>где: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Фф - фактический объем финансовых ресурсов, направленный на реализацию мероприятий Стратегии;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Фп - плановый объем финансовых ресурсов на соответствующий отчетный период.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Степень реализации мероприятий Стратегии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Стратегии является оценкой достижения плановых параметров.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В рамках настоящей методики осуществляется оценка эффекта реализации инвестиционных проектов с государственным участием (далее - эффект поддержки реализации проектов). При оценке эффекта поддержки реализации проектов учитываются: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экономический эффект поддержки реализации проектов (чистый дисконтированный доход от инвестиций, эффект реализации проекта для смежных отраслей, объем привлеченных негосударственных (в том числе зарубежных) инвестиций на 1 рубль бюджетных инвестиций);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социальный эффект поддержки реализации проектов (создание новых рабочих мест, увеличение продолжительности жизни и снижение смертности).</w:t>
      </w:r>
    </w:p>
    <w:p w:rsidR="005A30BD" w:rsidRDefault="005A30BD">
      <w:pPr>
        <w:pStyle w:val="ConsPlusNormal"/>
        <w:spacing w:before="220"/>
        <w:ind w:firstLine="540"/>
        <w:jc w:val="both"/>
      </w:pPr>
      <w:r>
        <w:t>При расчете эффекта поддержки реализации проектов отдельно учитываются различные типы проектов (федеральные инвестиции, реализация целевых проектов в рамках государственно-частного партнерства).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jc w:val="right"/>
        <w:outlineLvl w:val="1"/>
      </w:pPr>
      <w:r>
        <w:t>Приложение N 2</w:t>
      </w:r>
    </w:p>
    <w:p w:rsidR="005A30BD" w:rsidRDefault="005A30BD">
      <w:pPr>
        <w:pStyle w:val="ConsPlusNormal"/>
        <w:jc w:val="right"/>
      </w:pPr>
      <w:r>
        <w:t>к Стратегии развития</w:t>
      </w:r>
    </w:p>
    <w:p w:rsidR="005A30BD" w:rsidRDefault="005A30BD">
      <w:pPr>
        <w:pStyle w:val="ConsPlusNormal"/>
        <w:jc w:val="right"/>
      </w:pPr>
      <w:r>
        <w:t>медицинской науки</w:t>
      </w:r>
    </w:p>
    <w:p w:rsidR="005A30BD" w:rsidRDefault="005A30BD">
      <w:pPr>
        <w:pStyle w:val="ConsPlusNormal"/>
        <w:jc w:val="right"/>
      </w:pPr>
      <w:r>
        <w:t>в Российской Федерации</w:t>
      </w:r>
    </w:p>
    <w:p w:rsidR="005A30BD" w:rsidRDefault="005A30BD">
      <w:pPr>
        <w:pStyle w:val="ConsPlusNormal"/>
        <w:jc w:val="right"/>
      </w:pPr>
      <w:r>
        <w:t>на период до 2025 года</w:t>
      </w:r>
    </w:p>
    <w:p w:rsidR="005A30BD" w:rsidRDefault="005A30BD">
      <w:pPr>
        <w:pStyle w:val="ConsPlusNormal"/>
        <w:jc w:val="right"/>
      </w:pPr>
    </w:p>
    <w:p w:rsidR="005A30BD" w:rsidRDefault="005A30BD">
      <w:pPr>
        <w:pStyle w:val="ConsPlusNormal"/>
        <w:jc w:val="center"/>
      </w:pPr>
      <w:bookmarkStart w:id="2" w:name="P274"/>
      <w:bookmarkEnd w:id="2"/>
      <w:r>
        <w:t>ПРОГНОЗ</w:t>
      </w:r>
    </w:p>
    <w:p w:rsidR="005A30BD" w:rsidRDefault="005A30BD">
      <w:pPr>
        <w:pStyle w:val="ConsPlusNormal"/>
        <w:jc w:val="center"/>
      </w:pPr>
      <w:r>
        <w:t>ИЗМЕНЕНИЯ ИНДИКАТИВНЫХ ПОКАЗАТЕЛЕЙ В ХОДЕ РЕАЛИЗАЦИИ</w:t>
      </w:r>
    </w:p>
    <w:p w:rsidR="005A30BD" w:rsidRDefault="005A30BD">
      <w:pPr>
        <w:pStyle w:val="ConsPlusNormal"/>
        <w:jc w:val="center"/>
      </w:pPr>
      <w:r>
        <w:lastRenderedPageBreak/>
        <w:t xml:space="preserve">СТРАТЕГИИ </w:t>
      </w:r>
      <w:hyperlink w:anchor="P475" w:history="1">
        <w:r>
          <w:rPr>
            <w:color w:val="0000FF"/>
          </w:rPr>
          <w:t>&lt;*&gt;</w:t>
        </w:r>
      </w:hyperlink>
    </w:p>
    <w:p w:rsidR="005A30BD" w:rsidRDefault="005A30BD">
      <w:pPr>
        <w:pStyle w:val="ConsPlusNormal"/>
        <w:jc w:val="center"/>
      </w:pPr>
    </w:p>
    <w:p w:rsidR="005A30BD" w:rsidRDefault="005A30BD">
      <w:pPr>
        <w:pStyle w:val="ConsPlusCell"/>
        <w:jc w:val="both"/>
      </w:pPr>
      <w:r>
        <w:rPr>
          <w:sz w:val="14"/>
        </w:rPr>
        <w:t>───────────────────┬──────┬─────┬─────┬─────┬─────┬─────┬─────┬─────┬─────┬─────┬─────┬─────┬─────┬──────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   Индикативные   │ 2013 │2014 │2015 │2016 │2017 │2018 │2019 │2020 │2021 │2022 │2023 │2024 │2025</w:t>
      </w:r>
      <w:proofErr w:type="gramStart"/>
      <w:r>
        <w:rPr>
          <w:sz w:val="14"/>
        </w:rPr>
        <w:t xml:space="preserve"> │И</w:t>
      </w:r>
      <w:proofErr w:type="gramEnd"/>
      <w:r>
        <w:rPr>
          <w:sz w:val="14"/>
        </w:rPr>
        <w:t>того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    показатели    │ год  │ </w:t>
      </w:r>
      <w:proofErr w:type="gramStart"/>
      <w:r>
        <w:rPr>
          <w:sz w:val="14"/>
        </w:rPr>
        <w:t>год</w:t>
      </w:r>
      <w:proofErr w:type="gramEnd"/>
      <w:r>
        <w:rPr>
          <w:sz w:val="14"/>
        </w:rPr>
        <w:t xml:space="preserve"> │ год │ год │ год │ год │ год │ год │ год │ год │ год │ год │ год │</w:t>
      </w:r>
    </w:p>
    <w:p w:rsidR="005A30BD" w:rsidRDefault="005A30BD">
      <w:pPr>
        <w:pStyle w:val="ConsPlusCell"/>
        <w:jc w:val="both"/>
      </w:pPr>
      <w:r>
        <w:rPr>
          <w:sz w:val="14"/>
        </w:rPr>
        <w:t>───────────────────┴──────┴─────┴─────┴─────┴─────┴─────┴─────┴─────┴─────┴─────┴─────┴─────┴─────┴──────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Смертность от всех   13   12,8  12,5   12,3  12,1 11,8  11,6  11,4  11,2   11   10,8  10,6  10,4  10,4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причин (на 1000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человек населения)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Ожидаемая           70,8  71,6  72,2   72,7  73,4  74   74,2  74,3  74,5  74,7  74,9  75,1  75,3  75,3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продолжительность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жизни при рождении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(лет)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Доля                 -     -      5     7     7    10    15    20    25    30    35    40    50    50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модернизированных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лабораторий,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соответствующих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требованиям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надлежащей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лабораторной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практики, в общем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их </w:t>
      </w:r>
      <w:proofErr w:type="gramStart"/>
      <w:r>
        <w:rPr>
          <w:sz w:val="14"/>
        </w:rPr>
        <w:t>числе</w:t>
      </w:r>
      <w:proofErr w:type="gramEnd"/>
      <w:r>
        <w:rPr>
          <w:sz w:val="14"/>
        </w:rPr>
        <w:t xml:space="preserve"> </w:t>
      </w:r>
      <w:hyperlink w:anchor="P476" w:history="1">
        <w:r>
          <w:rPr>
            <w:color w:val="0000FF"/>
            <w:sz w:val="14"/>
          </w:rPr>
          <w:t>&lt;**&gt;</w:t>
        </w:r>
      </w:hyperlink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(процентов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итогом)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Доля                 -     -      -     5     10   15    20    30    50    70    75    85   100    100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модернизированных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клинических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подразделений,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соответствующих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требованиям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надлежащей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клинической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практики, в общем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их </w:t>
      </w:r>
      <w:proofErr w:type="gramStart"/>
      <w:r>
        <w:rPr>
          <w:sz w:val="14"/>
        </w:rPr>
        <w:t>числе</w:t>
      </w:r>
      <w:proofErr w:type="gramEnd"/>
      <w:r>
        <w:rPr>
          <w:sz w:val="14"/>
        </w:rPr>
        <w:t xml:space="preserve"> </w:t>
      </w:r>
      <w:hyperlink w:anchor="P477" w:history="1">
        <w:r>
          <w:rPr>
            <w:color w:val="0000FF"/>
            <w:sz w:val="14"/>
          </w:rPr>
          <w:t>&lt;***&gt;</w:t>
        </w:r>
      </w:hyperlink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(процентов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итогом)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Число                -     -      -     1     1     2    2      3    3      4     5    5     5      5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модернизированных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лабораторий,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соответствующих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требованиям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надлежащей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клеточной и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тканевой практики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(единиц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итогом)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Число </w:t>
      </w:r>
      <w:proofErr w:type="gramStart"/>
      <w:r>
        <w:rPr>
          <w:sz w:val="14"/>
        </w:rPr>
        <w:t>введенных</w:t>
      </w:r>
      <w:proofErr w:type="gramEnd"/>
      <w:r>
        <w:rPr>
          <w:sz w:val="14"/>
        </w:rPr>
        <w:t xml:space="preserve"> в    -     -      -     2     3     4    5      5    5      5     5    5     5      5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эксплуатацию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вивариев,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питомников </w:t>
      </w:r>
      <w:proofErr w:type="gramStart"/>
      <w:r>
        <w:rPr>
          <w:sz w:val="14"/>
        </w:rPr>
        <w:t>для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лабораторных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животных и центров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доклинических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исследований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(единиц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итогом)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Процент              -     -      -     10    15   20    25    50    55    60    70    80    90    90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загруженности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введенных</w:t>
      </w:r>
      <w:proofErr w:type="gramEnd"/>
      <w:r>
        <w:rPr>
          <w:sz w:val="14"/>
        </w:rPr>
        <w:t xml:space="preserve"> в строй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инфраструктурных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объектов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(процентов)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Средний возраст      49    47    46     45    45   44    44    43    43    43    42    42    42    42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научных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сотрудников (лет)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Доля </w:t>
      </w:r>
      <w:proofErr w:type="gramStart"/>
      <w:r>
        <w:rPr>
          <w:sz w:val="14"/>
        </w:rPr>
        <w:t>научных</w:t>
      </w:r>
      <w:proofErr w:type="gramEnd"/>
      <w:r>
        <w:rPr>
          <w:sz w:val="14"/>
        </w:rPr>
        <w:t xml:space="preserve">         25    25    26     27    28   29    30    31    32    33    33    33    33    33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сотрудников </w:t>
      </w:r>
      <w:proofErr w:type="gramStart"/>
      <w:r>
        <w:rPr>
          <w:sz w:val="14"/>
        </w:rPr>
        <w:t>в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возрасте</w:t>
      </w:r>
      <w:proofErr w:type="gramEnd"/>
      <w:r>
        <w:rPr>
          <w:sz w:val="14"/>
        </w:rPr>
        <w:t xml:space="preserve"> до 39 лет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в общем числе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научных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сотрудников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(процентов)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Число </w:t>
      </w:r>
      <w:proofErr w:type="gramStart"/>
      <w:r>
        <w:rPr>
          <w:sz w:val="14"/>
        </w:rPr>
        <w:t>научных</w:t>
      </w:r>
      <w:proofErr w:type="gramEnd"/>
      <w:r>
        <w:rPr>
          <w:sz w:val="14"/>
        </w:rPr>
        <w:t xml:space="preserve">        -     50    75    100   125   150  175    200  225    250   275  300   300    300</w:t>
      </w:r>
    </w:p>
    <w:p w:rsidR="005A30BD" w:rsidRDefault="005A30BD">
      <w:pPr>
        <w:pStyle w:val="ConsPlusCell"/>
        <w:jc w:val="both"/>
      </w:pPr>
      <w:r>
        <w:rPr>
          <w:sz w:val="14"/>
        </w:rPr>
        <w:lastRenderedPageBreak/>
        <w:t xml:space="preserve"> сотрудников,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прошедших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международные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стажировки </w:t>
      </w:r>
      <w:proofErr w:type="gramStart"/>
      <w:r>
        <w:rPr>
          <w:sz w:val="14"/>
        </w:rPr>
        <w:t>за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рубежом (человек)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Число </w:t>
      </w:r>
      <w:proofErr w:type="gramStart"/>
      <w:r>
        <w:rPr>
          <w:sz w:val="14"/>
        </w:rPr>
        <w:t>научных</w:t>
      </w:r>
      <w:proofErr w:type="gramEnd"/>
      <w:r>
        <w:rPr>
          <w:sz w:val="14"/>
        </w:rPr>
        <w:t xml:space="preserve">        28    30    30     35    40   45    50    58    65    75    85    95   100    100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сотрудников </w:t>
      </w:r>
      <w:proofErr w:type="gramStart"/>
      <w:r>
        <w:rPr>
          <w:sz w:val="14"/>
        </w:rPr>
        <w:t>с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индексом Хирша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больше 10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(человек)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Число </w:t>
      </w:r>
      <w:proofErr w:type="gramStart"/>
      <w:r>
        <w:rPr>
          <w:sz w:val="14"/>
        </w:rPr>
        <w:t>введенных</w:t>
      </w:r>
      <w:proofErr w:type="gramEnd"/>
      <w:r>
        <w:rPr>
          <w:sz w:val="14"/>
        </w:rPr>
        <w:t xml:space="preserve"> в    -     2      3     4     6     8    9     10    10    10    10    10    10    10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эксплуатацию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центров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коллективного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пользования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(единиц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итогом)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Удельный вес        0,6   0,6    0,6   0,7   0,8   0,9   1      1   1,1    1,2   1,3  1,4   1,5    1,5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научных публикаций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российской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медицинской науки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в общемировом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числе</w:t>
      </w:r>
      <w:proofErr w:type="gramEnd"/>
      <w:r>
        <w:rPr>
          <w:sz w:val="14"/>
        </w:rPr>
        <w:t xml:space="preserve"> публикаций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(процент общего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числа публикаций </w:t>
      </w:r>
      <w:proofErr w:type="gramStart"/>
      <w:r>
        <w:rPr>
          <w:sz w:val="14"/>
        </w:rPr>
        <w:t>в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журналах</w:t>
      </w:r>
      <w:proofErr w:type="gramEnd"/>
      <w:r>
        <w:rPr>
          <w:sz w:val="14"/>
        </w:rPr>
        <w:t>,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индексируемых в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Вэб оф Скинз (Web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of Science))</w:t>
      </w:r>
      <w:proofErr w:type="gramEnd"/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Число </w:t>
      </w:r>
      <w:proofErr w:type="gramStart"/>
      <w:r>
        <w:rPr>
          <w:sz w:val="14"/>
        </w:rPr>
        <w:t>научных</w:t>
      </w:r>
      <w:proofErr w:type="gramEnd"/>
      <w:r>
        <w:rPr>
          <w:sz w:val="14"/>
        </w:rPr>
        <w:t xml:space="preserve"> и      1     1      1     1     2     2    2      3    3      3     3    4     8      8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образовательных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учреждений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медицинской науки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в Российской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Федерации,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входящих в мировой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рейтинг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публикационной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активности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(единиц, по данным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Сци Верз Скопус -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SciVerse Scopus)</w:t>
      </w:r>
      <w:proofErr w:type="gramEnd"/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Число                1     2      6     12    14   14    15    17    18    19    21    22    24    24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международных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патентов (единиц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итогом)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Число </w:t>
      </w:r>
      <w:proofErr w:type="gramStart"/>
      <w:r>
        <w:rPr>
          <w:sz w:val="14"/>
        </w:rPr>
        <w:t>новых</w:t>
      </w:r>
      <w:proofErr w:type="gramEnd"/>
      <w:r>
        <w:rPr>
          <w:sz w:val="14"/>
        </w:rPr>
        <w:t xml:space="preserve">          -     2      4     12    12   13    13    13    14    15    16    18    20    20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лекарственных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средств,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доведенных до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стадии </w:t>
      </w:r>
      <w:proofErr w:type="gramStart"/>
      <w:r>
        <w:rPr>
          <w:sz w:val="14"/>
        </w:rPr>
        <w:t>клинических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исследований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(единиц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итогом)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Число                -     -      -     1     2     2    2      3    3      3     4    4     5      5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зарегистрированных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инновационных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лекарственных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препаратов,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защищенных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зарубежными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патентами (единиц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итогом)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Число                1     2      3     4     5     5    5      6    6      7     7    8     9      9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зарегистрированных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инновационных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изделий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биомедицинского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назначения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(единиц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итогом)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Число                -     1      5     6     7     8    9     10    11    12    13    14    15    15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зарегистрированных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биосовместимых</w:t>
      </w:r>
    </w:p>
    <w:p w:rsidR="005A30BD" w:rsidRDefault="005A30BD">
      <w:pPr>
        <w:pStyle w:val="ConsPlusCell"/>
        <w:jc w:val="both"/>
      </w:pPr>
      <w:r>
        <w:rPr>
          <w:sz w:val="14"/>
        </w:rPr>
        <w:lastRenderedPageBreak/>
        <w:t xml:space="preserve"> </w:t>
      </w:r>
      <w:proofErr w:type="gramStart"/>
      <w:r>
        <w:rPr>
          <w:sz w:val="14"/>
        </w:rPr>
        <w:t>материалов (единиц</w:t>
      </w:r>
      <w:proofErr w:type="gramEnd"/>
    </w:p>
    <w:p w:rsidR="005A30BD" w:rsidRDefault="005A30BD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итогом)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Число                -     1      2     2     2     2    2      3    3      3     3    3     3     29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зарегистрированных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клеточных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продуктов (единиц)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Число                3     5     10     5     5     5    5      5    5      5     5    5     5     68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диагностических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тест-систем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(единиц)</w:t>
      </w:r>
    </w:p>
    <w:p w:rsidR="005A30BD" w:rsidRDefault="005A30BD">
      <w:pPr>
        <w:pStyle w:val="ConsPlusCell"/>
        <w:jc w:val="both"/>
      </w:pPr>
    </w:p>
    <w:p w:rsidR="005A30BD" w:rsidRDefault="005A30BD">
      <w:pPr>
        <w:pStyle w:val="ConsPlusCell"/>
        <w:jc w:val="both"/>
      </w:pPr>
      <w:r>
        <w:rPr>
          <w:sz w:val="14"/>
        </w:rPr>
        <w:t xml:space="preserve"> Доля </w:t>
      </w:r>
      <w:proofErr w:type="gramStart"/>
      <w:r>
        <w:rPr>
          <w:sz w:val="14"/>
        </w:rPr>
        <w:t>инновационных</w:t>
      </w:r>
      <w:proofErr w:type="gramEnd"/>
      <w:r>
        <w:rPr>
          <w:sz w:val="14"/>
        </w:rPr>
        <w:t xml:space="preserve">   -     1      3     4     5     5    6      6    7      7     8    9     10    10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продуктов,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выведенных на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рынок, в числе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впервые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зарегистрированных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продуктов</w:t>
      </w:r>
    </w:p>
    <w:p w:rsidR="005A30BD" w:rsidRDefault="005A30BD">
      <w:pPr>
        <w:pStyle w:val="ConsPlusCell"/>
        <w:jc w:val="both"/>
      </w:pPr>
      <w:r>
        <w:rPr>
          <w:sz w:val="14"/>
        </w:rPr>
        <w:t xml:space="preserve"> (процентов)</w:t>
      </w:r>
    </w:p>
    <w:p w:rsidR="005A30BD" w:rsidRDefault="005A30BD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A30BD" w:rsidRDefault="005A30BD">
      <w:pPr>
        <w:pStyle w:val="ConsPlusNormal"/>
        <w:jc w:val="both"/>
      </w:pPr>
    </w:p>
    <w:p w:rsidR="005A30BD" w:rsidRDefault="005A30BD">
      <w:pPr>
        <w:pStyle w:val="ConsPlusNormal"/>
        <w:ind w:firstLine="540"/>
        <w:jc w:val="both"/>
      </w:pPr>
      <w:r>
        <w:t>--------------------------------</w:t>
      </w:r>
    </w:p>
    <w:p w:rsidR="005A30BD" w:rsidRDefault="005A30BD">
      <w:pPr>
        <w:pStyle w:val="ConsPlusNormal"/>
        <w:spacing w:before="220"/>
        <w:ind w:firstLine="540"/>
        <w:jc w:val="both"/>
      </w:pPr>
      <w:bookmarkStart w:id="3" w:name="P475"/>
      <w:bookmarkEnd w:id="3"/>
      <w:r>
        <w:t xml:space="preserve">&lt;*&gt; Приведенные показатели разработаны на основе государственной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здравоохранения".</w:t>
      </w:r>
    </w:p>
    <w:p w:rsidR="005A30BD" w:rsidRDefault="005A30BD">
      <w:pPr>
        <w:pStyle w:val="ConsPlusNormal"/>
        <w:spacing w:before="220"/>
        <w:ind w:firstLine="540"/>
        <w:jc w:val="both"/>
      </w:pPr>
      <w:bookmarkStart w:id="4" w:name="P476"/>
      <w:bookmarkEnd w:id="4"/>
      <w:r>
        <w:t>&lt;**&gt; Процентов общего числа лабораторий - участников проекта.</w:t>
      </w:r>
    </w:p>
    <w:p w:rsidR="005A30BD" w:rsidRDefault="005A30BD">
      <w:pPr>
        <w:pStyle w:val="ConsPlusNormal"/>
        <w:spacing w:before="220"/>
        <w:ind w:firstLine="540"/>
        <w:jc w:val="both"/>
      </w:pPr>
      <w:bookmarkStart w:id="5" w:name="P477"/>
      <w:bookmarkEnd w:id="5"/>
      <w:r>
        <w:t>&lt;***&gt; Процентов числа клинических подразделений, проводящих клинические исследования.</w:t>
      </w: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ind w:firstLine="540"/>
        <w:jc w:val="both"/>
      </w:pPr>
    </w:p>
    <w:p w:rsidR="005A30BD" w:rsidRDefault="005A30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274" w:rsidRDefault="00490274"/>
    <w:sectPr w:rsidR="00490274" w:rsidSect="007B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grammar="clean"/>
  <w:defaultTabStop w:val="708"/>
  <w:characterSpacingControl w:val="doNotCompress"/>
  <w:compat/>
  <w:rsids>
    <w:rsidRoot w:val="005A30BD"/>
    <w:rsid w:val="00001C3B"/>
    <w:rsid w:val="00087A6B"/>
    <w:rsid w:val="000B08FE"/>
    <w:rsid w:val="000D52A0"/>
    <w:rsid w:val="00110CBA"/>
    <w:rsid w:val="00123933"/>
    <w:rsid w:val="00355447"/>
    <w:rsid w:val="0048229F"/>
    <w:rsid w:val="00490274"/>
    <w:rsid w:val="004C2178"/>
    <w:rsid w:val="0056508D"/>
    <w:rsid w:val="005A30BD"/>
    <w:rsid w:val="00616811"/>
    <w:rsid w:val="00653C75"/>
    <w:rsid w:val="00785C52"/>
    <w:rsid w:val="0082681B"/>
    <w:rsid w:val="0093720C"/>
    <w:rsid w:val="00A45F4B"/>
    <w:rsid w:val="00A6615E"/>
    <w:rsid w:val="00B42F1C"/>
    <w:rsid w:val="00BC5459"/>
    <w:rsid w:val="00CA7E3F"/>
    <w:rsid w:val="00CD6FE0"/>
    <w:rsid w:val="00DB69AB"/>
    <w:rsid w:val="00DC1F33"/>
    <w:rsid w:val="00E42750"/>
    <w:rsid w:val="00E43864"/>
    <w:rsid w:val="00E5526F"/>
    <w:rsid w:val="00E81DAB"/>
    <w:rsid w:val="00ED5189"/>
    <w:rsid w:val="00EF409D"/>
    <w:rsid w:val="00F36245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3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0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A3C32DEB6E9336E4AC9108E2707FFFB034978446A7B025D8F774ADC5E328C328CA286D2C4EA77O0V4L" TargetMode="External"/><Relationship Id="rId13" Type="http://schemas.openxmlformats.org/officeDocument/2006/relationships/hyperlink" Target="consultantplus://offline/ref=A83A3C32DEB6E9336E4AC9108E2707FFF8014B7843667B025D8F774ADC5E328C328CA286D6OCV7L" TargetMode="External"/><Relationship Id="rId18" Type="http://schemas.openxmlformats.org/officeDocument/2006/relationships/hyperlink" Target="consultantplus://offline/ref=A83A3C32DEB6E9336E4AC9108E2707FFF8034874406B7B025D8F774ADC5E328C328CA286D2C4EA76O0VE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3A3C32DEB6E9336E4AC9108E2707FFF8094D7F406A7B025D8F774ADC5E328C328CA286D2C4EA76O0VEL" TargetMode="External"/><Relationship Id="rId7" Type="http://schemas.openxmlformats.org/officeDocument/2006/relationships/hyperlink" Target="consultantplus://offline/ref=A83A3C32DEB6E9336E4AC9108E2707FFFB03437F44687B025D8F774ADC5E328C328CA286D2C4EA76O0V5L" TargetMode="External"/><Relationship Id="rId12" Type="http://schemas.openxmlformats.org/officeDocument/2006/relationships/hyperlink" Target="consultantplus://offline/ref=A83A3C32DEB6E9336E4AC9108E2707FFFB09427A446E7B025D8F774ADC5E328C328CA286D2C4EA77O0VBL" TargetMode="External"/><Relationship Id="rId17" Type="http://schemas.openxmlformats.org/officeDocument/2006/relationships/hyperlink" Target="consultantplus://offline/ref=A83A3C32DEB6E9336E4AC9108E2707FFF8034B7F416E7B025D8F774ADC5E328C328CA286D2C4EA70O0V4L" TargetMode="External"/><Relationship Id="rId25" Type="http://schemas.openxmlformats.org/officeDocument/2006/relationships/hyperlink" Target="consultantplus://offline/ref=A83A3C32DEB6E9336E4AC9108E2707FFF8034874406B7B025D8F774ADC5E328C328CA286D2C4EA76O0V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3A3C32DEB6E9336E4AC9108E2707FFF8094979486E7B025D8F774ADCO5VEL" TargetMode="External"/><Relationship Id="rId20" Type="http://schemas.openxmlformats.org/officeDocument/2006/relationships/hyperlink" Target="consultantplus://offline/ref=A83A3C32DEB6E9336E4AC9108E2707FFF8004F7F406A7B025D8F774ADCO5V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A3C32DEB6E9336E4AC9108E2707FFFB03437F446B7B025D8F774ADC5E328C328CA286D2C4EA76O0VBL" TargetMode="External"/><Relationship Id="rId11" Type="http://schemas.openxmlformats.org/officeDocument/2006/relationships/hyperlink" Target="consultantplus://offline/ref=A83A3C32DEB6E9336E4AC9108E2707FFF8094D7C48697B025D8F774ADC5E328C328CA286D2C4EA76O0VDL" TargetMode="External"/><Relationship Id="rId24" Type="http://schemas.openxmlformats.org/officeDocument/2006/relationships/hyperlink" Target="consultantplus://offline/ref=A83A3C32DEB6E9336E4AC9108E2707FFFB03437F446A7B025D8F774ADCO5VEL" TargetMode="External"/><Relationship Id="rId5" Type="http://schemas.openxmlformats.org/officeDocument/2006/relationships/hyperlink" Target="consultantplus://offline/ref=A83A3C32DEB6E9336E4AC9108E2707FFFB084A7A44697B025D8F774ADCO5VEL" TargetMode="External"/><Relationship Id="rId15" Type="http://schemas.openxmlformats.org/officeDocument/2006/relationships/hyperlink" Target="consultantplus://offline/ref=A83A3C32DEB6E9336E4AC9108E2707FFF8094C7543697B025D8F774ADC5E328C328CA286D2C4EB75O0VDL" TargetMode="External"/><Relationship Id="rId23" Type="http://schemas.openxmlformats.org/officeDocument/2006/relationships/hyperlink" Target="consultantplus://offline/ref=A83A3C32DEB6E9336E4AC9108E2707FFFB08437546697B025D8F774ADCO5VEL" TargetMode="External"/><Relationship Id="rId10" Type="http://schemas.openxmlformats.org/officeDocument/2006/relationships/hyperlink" Target="consultantplus://offline/ref=A83A3C32DEB6E9336E4AC9108E2707FFFB024A7C446D7B025D8F774ADCO5VEL" TargetMode="External"/><Relationship Id="rId19" Type="http://schemas.openxmlformats.org/officeDocument/2006/relationships/hyperlink" Target="consultantplus://offline/ref=A83A3C32DEB6E9336E4AC9108E2707FFF8004F7E486B7B025D8F774ADC5E328C328CA286D2C4EA76O0V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3A3C32DEB6E9336E4AC9108E2707FFFB044D7F426F7B025D8F774ADC5E328C328CA2O8V3L" TargetMode="External"/><Relationship Id="rId14" Type="http://schemas.openxmlformats.org/officeDocument/2006/relationships/hyperlink" Target="consultantplus://offline/ref=A83A3C32DEB6E9336E4AC9108E2707FFFB034B74436A7B025D8F774ADCO5VEL" TargetMode="External"/><Relationship Id="rId22" Type="http://schemas.openxmlformats.org/officeDocument/2006/relationships/hyperlink" Target="consultantplus://offline/ref=A83A3C32DEB6E9336E4AC9108E2707FFF8094D7C49697B025D8F774ADCO5V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7108</Words>
  <Characters>40516</Characters>
  <Application>Microsoft Office Word</Application>
  <DocSecurity>0</DocSecurity>
  <Lines>337</Lines>
  <Paragraphs>95</Paragraphs>
  <ScaleCrop>false</ScaleCrop>
  <Company/>
  <LinksUpToDate>false</LinksUpToDate>
  <CharactersWithSpaces>47529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KozlovaNV</cp:lastModifiedBy>
  <cp:revision>1</cp:revision>
  <dcterms:created xsi:type="dcterms:W3CDTF">2018-01-23T11:21:00Z</dcterms:created>
  <dcterms:modified xsi:type="dcterms:W3CDTF">2018-01-23T11:21:00Z</dcterms:modified>
</cp:coreProperties>
</file>