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E7" w:rsidRPr="002F3038" w:rsidRDefault="00560BE7" w:rsidP="00560BE7">
      <w:pPr>
        <w:pStyle w:val="22"/>
        <w:shd w:val="clear" w:color="auto" w:fill="auto"/>
        <w:spacing w:after="0" w:line="276" w:lineRule="auto"/>
        <w:ind w:left="240"/>
        <w:jc w:val="center"/>
        <w:rPr>
          <w:sz w:val="28"/>
        </w:rPr>
      </w:pPr>
      <w:r w:rsidRPr="002F3038">
        <w:rPr>
          <w:color w:val="000000"/>
          <w:sz w:val="28"/>
        </w:rPr>
        <w:t>ИТОГОВЫЙ ОТЧЕТ</w:t>
      </w:r>
    </w:p>
    <w:p w:rsidR="00560BE7" w:rsidRPr="002F3038" w:rsidRDefault="00560BE7" w:rsidP="00560BE7">
      <w:pPr>
        <w:pStyle w:val="22"/>
        <w:shd w:val="clear" w:color="auto" w:fill="auto"/>
        <w:spacing w:after="0" w:line="276" w:lineRule="auto"/>
        <w:ind w:left="240"/>
        <w:jc w:val="center"/>
        <w:rPr>
          <w:sz w:val="28"/>
        </w:rPr>
      </w:pPr>
      <w:r w:rsidRPr="002F3038">
        <w:rPr>
          <w:color w:val="000000"/>
          <w:sz w:val="28"/>
        </w:rPr>
        <w:t>Министерства здравоохранения Российской Федерации</w:t>
      </w:r>
    </w:p>
    <w:p w:rsidR="00560BE7" w:rsidRPr="002F3038" w:rsidRDefault="00560BE7" w:rsidP="00560BE7">
      <w:pPr>
        <w:pStyle w:val="22"/>
        <w:shd w:val="clear" w:color="auto" w:fill="auto"/>
        <w:tabs>
          <w:tab w:val="left" w:pos="252"/>
        </w:tabs>
        <w:spacing w:after="0" w:line="276" w:lineRule="auto"/>
        <w:ind w:left="60"/>
        <w:jc w:val="both"/>
        <w:rPr>
          <w:sz w:val="28"/>
        </w:rPr>
      </w:pPr>
      <w:r w:rsidRPr="002F3038">
        <w:rPr>
          <w:color w:val="000000"/>
          <w:sz w:val="28"/>
        </w:rPr>
        <w:t>о</w:t>
      </w:r>
      <w:r w:rsidRPr="002F3038">
        <w:rPr>
          <w:color w:val="000000"/>
          <w:sz w:val="28"/>
        </w:rPr>
        <w:tab/>
        <w:t>результатах анализа состояния и перспектив развития системы образования</w:t>
      </w:r>
    </w:p>
    <w:p w:rsidR="00560BE7" w:rsidRPr="002F3038" w:rsidRDefault="00560BE7" w:rsidP="00560BE7">
      <w:pPr>
        <w:pStyle w:val="22"/>
        <w:shd w:val="clear" w:color="auto" w:fill="auto"/>
        <w:spacing w:after="0" w:line="276" w:lineRule="auto"/>
        <w:ind w:left="240"/>
        <w:jc w:val="center"/>
        <w:rPr>
          <w:color w:val="000000"/>
          <w:sz w:val="28"/>
        </w:rPr>
      </w:pPr>
      <w:r w:rsidRPr="002F3038">
        <w:rPr>
          <w:color w:val="000000"/>
          <w:sz w:val="28"/>
        </w:rPr>
        <w:t>за 2016 год</w:t>
      </w:r>
    </w:p>
    <w:p w:rsidR="00560BE7" w:rsidRPr="002F3038" w:rsidRDefault="00560BE7" w:rsidP="00560BE7">
      <w:pPr>
        <w:pStyle w:val="22"/>
        <w:shd w:val="clear" w:color="auto" w:fill="auto"/>
        <w:spacing w:after="0" w:line="276" w:lineRule="auto"/>
        <w:ind w:left="240"/>
        <w:jc w:val="center"/>
        <w:rPr>
          <w:sz w:val="28"/>
        </w:rPr>
      </w:pP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2F3038">
        <w:rPr>
          <w:rFonts w:ascii="Times New Roman" w:hAnsi="Times New Roman"/>
          <w:color w:val="000000"/>
          <w:sz w:val="28"/>
        </w:rPr>
        <w:t>I</w:t>
      </w:r>
      <w:r w:rsidRPr="00A3173D">
        <w:rPr>
          <w:rFonts w:ascii="Times New Roman" w:hAnsi="Times New Roman"/>
          <w:sz w:val="28"/>
        </w:rPr>
        <w:t>. Анализ состояния и перспектив развития системы образования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Образовательные организации, подведомственные Министерству здравоохранения Российской Федерации (далее – организации Минздрава России) реализуют основные профессиональные образовательные программы среднего профессионального образования – программы подготовки специалистов среднего звена, основные профессиональные образовательные программы высшего образования – программы </w:t>
      </w:r>
      <w:proofErr w:type="spellStart"/>
      <w:r w:rsidRPr="00A3173D">
        <w:rPr>
          <w:rFonts w:ascii="Times New Roman" w:hAnsi="Times New Roman"/>
          <w:sz w:val="28"/>
        </w:rPr>
        <w:t>бакалавриата</w:t>
      </w:r>
      <w:proofErr w:type="spellEnd"/>
      <w:r w:rsidRPr="00A3173D">
        <w:rPr>
          <w:rFonts w:ascii="Times New Roman" w:hAnsi="Times New Roman"/>
          <w:sz w:val="28"/>
        </w:rPr>
        <w:t xml:space="preserve">, программы </w:t>
      </w:r>
      <w:proofErr w:type="spellStart"/>
      <w:r w:rsidRPr="00A3173D">
        <w:rPr>
          <w:rFonts w:ascii="Times New Roman" w:hAnsi="Times New Roman"/>
          <w:sz w:val="28"/>
        </w:rPr>
        <w:t>специалитета</w:t>
      </w:r>
      <w:proofErr w:type="spellEnd"/>
      <w:r w:rsidRPr="00A3173D">
        <w:rPr>
          <w:rFonts w:ascii="Times New Roman" w:hAnsi="Times New Roman"/>
          <w:sz w:val="28"/>
        </w:rPr>
        <w:t>, программы ординатуры, программы магистратуры, программы подготовки научно-педагогических кадров в аспирантуре,  дополнительные профессиональные программы – программы повышения квалификации, программы профессиональной переподготовки, а также осуществляют подготовку научных кадров в докторантуре.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Подготовка специалистов с медицинским и фармацевтическим образованием осуществляется в 51 организациях Минздрава России, среди которых 46 являются образовательными организациями высшего образования (далее – вузы), 3 – профессиональными образовательными организациями (далее – медицинские колледжи) и 2 – организациями дополнительного профессионального образования.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2F3038">
        <w:rPr>
          <w:rFonts w:ascii="Times New Roman" w:hAnsi="Times New Roman"/>
          <w:sz w:val="28"/>
        </w:rPr>
        <w:t xml:space="preserve">В 2016 году в организациях Минздрава России, </w:t>
      </w:r>
      <w:r w:rsidRPr="00A3173D">
        <w:rPr>
          <w:rFonts w:ascii="Times New Roman" w:hAnsi="Times New Roman"/>
          <w:sz w:val="28"/>
        </w:rPr>
        <w:t xml:space="preserve">реализующих образовательные программы подготовки специалистов </w:t>
      </w:r>
      <w:r w:rsidRPr="002F3038">
        <w:rPr>
          <w:rFonts w:ascii="Times New Roman" w:hAnsi="Times New Roman"/>
          <w:sz w:val="28"/>
        </w:rPr>
        <w:t xml:space="preserve">среднего звена, всего за счет средств федерального бюджета обучалось 10 540 человек, из них 1 672 человека – в медицинских колледжах и 8 868 человек – в структурных подразделениях 29 </w:t>
      </w:r>
      <w:r w:rsidRPr="00A3173D">
        <w:rPr>
          <w:rFonts w:ascii="Times New Roman" w:hAnsi="Times New Roman"/>
          <w:sz w:val="28"/>
        </w:rPr>
        <w:t>образовательных организаций высшего образования.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Следует отметить, что около 25 % от общего числа студентов медицинских колледжей составляют инвалиды и лица с ограниченными возможностями здоровья по зрению и слуху, поскольку три медицинских колледжа Минздрава России (Кисловодский медицинский колледж, Ульяновский фармацевтический колледж, Пензенский базовый медицинский колледж) ориентированы на обучение инвалидов и лиц с ограниченными возможностями здоровья по зрению и слуху. Инвалиды и лица с ограниченными возможностями здоровья по зрению и слуху обучаются по направлениям подготовки «Лабораторная диагностика», «Стоматология ортопедическая» и «Медицинский массаж».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Всего в организациях Минздрава России по образовательным программам подготовки специалистов среднего звена обучалось 549 лиц с ограниченными возможностями здоровья и 453 инвалидов.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Во всех образовательных организациях: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lastRenderedPageBreak/>
        <w:t xml:space="preserve">- разработаны и утверждены административными распорядительными актами Планы мероприятий («дорожные карты») повышения значений показателей доступности для инвалидов объектов и услуг (далее – «дорожная карта»), разработанные во исполнение приказа Министерства здравоохранения Российской Федерации от 20.11.2015 № 834;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- назначены ответственные лица за работу с инвалидами и лицами с ограниченными возможностями здоровья;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- на официальных сайтах образовательных организаций </w:t>
      </w:r>
      <w:r w:rsidRPr="006C08FF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</w:t>
      </w:r>
      <w:r w:rsidRPr="006C08FF">
        <w:rPr>
          <w:rFonts w:ascii="Times New Roman" w:hAnsi="Times New Roman"/>
          <w:sz w:val="28"/>
          <w:szCs w:val="28"/>
        </w:rPr>
        <w:t xml:space="preserve"> </w:t>
      </w:r>
      <w:r w:rsidRPr="00A3173D">
        <w:rPr>
          <w:rFonts w:ascii="Times New Roman" w:hAnsi="Times New Roman"/>
          <w:sz w:val="28"/>
        </w:rPr>
        <w:t>размещена информация об условиях обучения инвалидов и лиц с ограниченными возможностями здоровья;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- осуществляется организация обучения (инструктирования) специалистов, работающих с инвалидами, по вопросам, связанным с обеспечением доступности для них объектов и услуг в соответствии с методическими материалами (пособиями, рекомендациями и др.), разработанными на основе методических рекомендаций Министерства труда и социальной защиты Российской Федерации.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В организациях Минздрава России 8157 сотрудников прошли обучение по вопросам обеспечения доступности для инвалидов услуг, объектов и оказания необходимой помощи. Внедрили процедуру обучения граждан при трудоустройстве по указанному вопросу 37 образовательных организаций.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В настоящее время утверждены паспорта доступности 89 % зданий образовательных организаций, в которых оказываются услуги инвалидам и лицам с ограниченными возможностями. Указанные паспорта доступности содержат меры по поэтапному до 2030 года повышению значений показателей доступности объектов и услуг: установка пандусов, поручней, лифтов, дооборудованных с учетом потребностей инвалидов, подъемных платформ, раздвижных дверей, доступных входных групп и санитарных узлов, выделение стоянки автотранспортных средств для инвалидов и другое.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Образовательный процесс обучающихся с различными видами нарушений осуществляется: с психолого-педагогическим сопровождением в 35 организациях (76 %), социальным сопровождением – в 32 организациях (69,5 %), адаптацией дисциплины «Физическая культура» – в 37 организациях (80,4 %), с адаптированным спортивным оборудованием – в 9 организациях (19,5 %). Волонтерская помощь инвалидам и лицам с ОВЗ оказывается в 15 организациях (32,6 %).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Материально-техническое обеспечение образовательного процесса инвалидов и лиц с ОВЗ: наличие звукоусиливающей аппаратуры, </w:t>
      </w:r>
      <w:proofErr w:type="spellStart"/>
      <w:r w:rsidRPr="00A3173D">
        <w:rPr>
          <w:rFonts w:ascii="Times New Roman" w:hAnsi="Times New Roman"/>
          <w:sz w:val="28"/>
        </w:rPr>
        <w:t>мультимедийных</w:t>
      </w:r>
      <w:proofErr w:type="spellEnd"/>
      <w:r w:rsidRPr="00A3173D">
        <w:rPr>
          <w:rFonts w:ascii="Times New Roman" w:hAnsi="Times New Roman"/>
          <w:sz w:val="28"/>
        </w:rPr>
        <w:t xml:space="preserve"> средств и других технических средств для обучающихся с нарушениями слуха – в 32 организациях (69,5 %), наличие </w:t>
      </w:r>
      <w:proofErr w:type="spellStart"/>
      <w:r w:rsidRPr="00A3173D">
        <w:rPr>
          <w:rFonts w:ascii="Times New Roman" w:hAnsi="Times New Roman"/>
          <w:sz w:val="28"/>
        </w:rPr>
        <w:t>брайлевской</w:t>
      </w:r>
      <w:proofErr w:type="spellEnd"/>
      <w:r w:rsidRPr="00A3173D">
        <w:rPr>
          <w:rFonts w:ascii="Times New Roman" w:hAnsi="Times New Roman"/>
          <w:sz w:val="28"/>
        </w:rPr>
        <w:t xml:space="preserve"> компьютерной техники, электронных луп, </w:t>
      </w:r>
      <w:proofErr w:type="spellStart"/>
      <w:r w:rsidRPr="00A3173D">
        <w:rPr>
          <w:rFonts w:ascii="Times New Roman" w:hAnsi="Times New Roman"/>
          <w:sz w:val="28"/>
        </w:rPr>
        <w:t>видеоувеличителей</w:t>
      </w:r>
      <w:proofErr w:type="spellEnd"/>
      <w:r w:rsidRPr="00A3173D">
        <w:rPr>
          <w:rFonts w:ascii="Times New Roman" w:hAnsi="Times New Roman"/>
          <w:sz w:val="28"/>
        </w:rPr>
        <w:t xml:space="preserve"> и других технических средств для обучающихся с нарушениями зрения – в 5 организациях (10,8 %), наличие </w:t>
      </w:r>
      <w:r w:rsidRPr="00A3173D">
        <w:rPr>
          <w:rFonts w:ascii="Times New Roman" w:hAnsi="Times New Roman"/>
          <w:sz w:val="28"/>
        </w:rPr>
        <w:lastRenderedPageBreak/>
        <w:t>компьютерной техники, адаптированной для лиц с ограниченными возможностями здоровья, специального программного обеспечения, альтернативных устройств ввода информации и других технических средств для обучающихся с нарушениями опорно-двигательного аппарата – в 8 организациях (17,3 %).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С инвалидами и лицами с ОВЗ работают: психологи – в 35 организациях 76</w:t>
      </w:r>
      <w:r w:rsidR="002F3038" w:rsidRPr="00A3173D">
        <w:rPr>
          <w:rFonts w:ascii="Times New Roman" w:hAnsi="Times New Roman"/>
          <w:sz w:val="28"/>
        </w:rPr>
        <w:t> </w:t>
      </w:r>
      <w:r w:rsidRPr="00A3173D">
        <w:rPr>
          <w:rFonts w:ascii="Times New Roman" w:hAnsi="Times New Roman"/>
          <w:sz w:val="28"/>
        </w:rPr>
        <w:t xml:space="preserve">%), </w:t>
      </w:r>
      <w:proofErr w:type="spellStart"/>
      <w:r w:rsidRPr="00A3173D">
        <w:rPr>
          <w:rFonts w:ascii="Times New Roman" w:hAnsi="Times New Roman"/>
          <w:sz w:val="28"/>
        </w:rPr>
        <w:t>тьюторы</w:t>
      </w:r>
      <w:proofErr w:type="spellEnd"/>
      <w:r w:rsidRPr="00A3173D">
        <w:rPr>
          <w:rFonts w:ascii="Times New Roman" w:hAnsi="Times New Roman"/>
          <w:sz w:val="28"/>
        </w:rPr>
        <w:t xml:space="preserve"> – 3 организациях (6,5 %), социальные работники – в 11 организациях (23,9 %), специалисты по специальным техническим и программным средствам – в 12 организациях (26 %).</w:t>
      </w:r>
    </w:p>
    <w:p w:rsidR="00560BE7" w:rsidRPr="002F3038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2F3038">
        <w:rPr>
          <w:rFonts w:ascii="Times New Roman" w:hAnsi="Times New Roman"/>
          <w:sz w:val="28"/>
        </w:rPr>
        <w:t xml:space="preserve">В 2016 году в образовательных организациях высшего образования Минздрава России по образовательным программам высшего образования – программам </w:t>
      </w:r>
      <w:proofErr w:type="spellStart"/>
      <w:r w:rsidRPr="002F3038">
        <w:rPr>
          <w:rFonts w:ascii="Times New Roman" w:hAnsi="Times New Roman"/>
          <w:sz w:val="28"/>
        </w:rPr>
        <w:t>бакалавриата</w:t>
      </w:r>
      <w:proofErr w:type="spellEnd"/>
      <w:r w:rsidRPr="002F3038">
        <w:rPr>
          <w:rFonts w:ascii="Times New Roman" w:hAnsi="Times New Roman"/>
          <w:sz w:val="28"/>
        </w:rPr>
        <w:t xml:space="preserve"> и </w:t>
      </w:r>
      <w:proofErr w:type="spellStart"/>
      <w:r w:rsidRPr="002F3038">
        <w:rPr>
          <w:rFonts w:ascii="Times New Roman" w:hAnsi="Times New Roman"/>
          <w:sz w:val="28"/>
        </w:rPr>
        <w:t>специалитета</w:t>
      </w:r>
      <w:proofErr w:type="spellEnd"/>
      <w:r w:rsidRPr="002F3038">
        <w:rPr>
          <w:rFonts w:ascii="Times New Roman" w:hAnsi="Times New Roman"/>
          <w:sz w:val="28"/>
        </w:rPr>
        <w:t xml:space="preserve"> обучался 209 871 студент, из которых 117 386 (55,9 %) – за счет средств федерального бюджета, 92 485 (44 %) – полного возмещения затрат.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В 2016 году на 1 курс подведомственных Минздраву России вузов поступили 43 138 </w:t>
      </w:r>
      <w:r w:rsidR="006C08FF">
        <w:rPr>
          <w:rFonts w:ascii="Times New Roman" w:hAnsi="Times New Roman"/>
          <w:sz w:val="28"/>
        </w:rPr>
        <w:t xml:space="preserve">   </w:t>
      </w:r>
      <w:r w:rsidRPr="00A3173D">
        <w:rPr>
          <w:rFonts w:ascii="Times New Roman" w:hAnsi="Times New Roman"/>
          <w:sz w:val="28"/>
        </w:rPr>
        <w:t>студентов,</w:t>
      </w:r>
      <w:r w:rsidR="006C08FF">
        <w:rPr>
          <w:rFonts w:ascii="Times New Roman" w:hAnsi="Times New Roman"/>
          <w:sz w:val="28"/>
        </w:rPr>
        <w:t xml:space="preserve"> </w:t>
      </w:r>
      <w:r w:rsidRPr="00A3173D">
        <w:rPr>
          <w:rFonts w:ascii="Times New Roman" w:hAnsi="Times New Roman"/>
          <w:sz w:val="28"/>
        </w:rPr>
        <w:t xml:space="preserve"> </w:t>
      </w:r>
      <w:r w:rsidR="006C08FF">
        <w:rPr>
          <w:rFonts w:ascii="Times New Roman" w:hAnsi="Times New Roman"/>
          <w:sz w:val="28"/>
        </w:rPr>
        <w:t xml:space="preserve">   </w:t>
      </w:r>
      <w:r w:rsidRPr="00A3173D">
        <w:rPr>
          <w:rFonts w:ascii="Times New Roman" w:hAnsi="Times New Roman"/>
          <w:sz w:val="28"/>
        </w:rPr>
        <w:t xml:space="preserve">в том </w:t>
      </w:r>
      <w:r w:rsidR="006C08FF">
        <w:rPr>
          <w:rFonts w:ascii="Times New Roman" w:hAnsi="Times New Roman"/>
          <w:sz w:val="28"/>
        </w:rPr>
        <w:t xml:space="preserve"> </w:t>
      </w:r>
      <w:r w:rsidRPr="00A3173D">
        <w:rPr>
          <w:rFonts w:ascii="Times New Roman" w:hAnsi="Times New Roman"/>
          <w:sz w:val="28"/>
        </w:rPr>
        <w:t xml:space="preserve">числе </w:t>
      </w:r>
      <w:r w:rsidR="006C08FF">
        <w:rPr>
          <w:rFonts w:ascii="Times New Roman" w:hAnsi="Times New Roman"/>
          <w:sz w:val="28"/>
        </w:rPr>
        <w:t xml:space="preserve"> </w:t>
      </w:r>
      <w:r w:rsidRPr="00A3173D">
        <w:rPr>
          <w:rFonts w:ascii="Times New Roman" w:hAnsi="Times New Roman"/>
          <w:sz w:val="28"/>
        </w:rPr>
        <w:t>за счет</w:t>
      </w:r>
      <w:r w:rsidR="006C08FF">
        <w:rPr>
          <w:rFonts w:ascii="Times New Roman" w:hAnsi="Times New Roman"/>
          <w:sz w:val="28"/>
        </w:rPr>
        <w:t xml:space="preserve">   </w:t>
      </w:r>
      <w:r w:rsidRPr="00A3173D">
        <w:rPr>
          <w:rFonts w:ascii="Times New Roman" w:hAnsi="Times New Roman"/>
          <w:sz w:val="28"/>
        </w:rPr>
        <w:t xml:space="preserve"> средств </w:t>
      </w:r>
      <w:r w:rsidR="006C08FF">
        <w:rPr>
          <w:rFonts w:ascii="Times New Roman" w:hAnsi="Times New Roman"/>
          <w:sz w:val="28"/>
        </w:rPr>
        <w:t xml:space="preserve">    </w:t>
      </w:r>
      <w:r w:rsidRPr="00A3173D">
        <w:rPr>
          <w:rFonts w:ascii="Times New Roman" w:hAnsi="Times New Roman"/>
          <w:sz w:val="28"/>
        </w:rPr>
        <w:t>федерального</w:t>
      </w:r>
      <w:r w:rsidR="006C08FF">
        <w:rPr>
          <w:rFonts w:ascii="Times New Roman" w:hAnsi="Times New Roman"/>
          <w:sz w:val="28"/>
        </w:rPr>
        <w:t xml:space="preserve">       </w:t>
      </w:r>
      <w:r w:rsidRPr="00A3173D">
        <w:rPr>
          <w:rFonts w:ascii="Times New Roman" w:hAnsi="Times New Roman"/>
          <w:sz w:val="28"/>
        </w:rPr>
        <w:t xml:space="preserve"> бюджета </w:t>
      </w:r>
      <w:r w:rsidR="006C08FF">
        <w:rPr>
          <w:rFonts w:ascii="Times New Roman" w:hAnsi="Times New Roman"/>
          <w:sz w:val="28"/>
        </w:rPr>
        <w:br/>
      </w:r>
      <w:r w:rsidRPr="00A3173D">
        <w:rPr>
          <w:rFonts w:ascii="Times New Roman" w:hAnsi="Times New Roman"/>
          <w:sz w:val="28"/>
        </w:rPr>
        <w:t xml:space="preserve">22 574 студента. Квота целевого приема по программам </w:t>
      </w:r>
      <w:proofErr w:type="spellStart"/>
      <w:r w:rsidRPr="00A3173D">
        <w:rPr>
          <w:rFonts w:ascii="Times New Roman" w:hAnsi="Times New Roman"/>
          <w:sz w:val="28"/>
        </w:rPr>
        <w:t>специалитета</w:t>
      </w:r>
      <w:proofErr w:type="spellEnd"/>
      <w:r w:rsidRPr="00A3173D">
        <w:rPr>
          <w:rFonts w:ascii="Times New Roman" w:hAnsi="Times New Roman"/>
          <w:sz w:val="28"/>
        </w:rPr>
        <w:t xml:space="preserve"> в 2016 году составила 56,8 %, что на 2, 8 % превышает показатель 2015 года (2015 г. – 54 %). При этом по результатам зачисления в образовательных организациях высшего образования Минздрава России по отдельным специальностям она достигла 80 %.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Средний балл ЕГЭ абитуриентов, поступивших в вузы Минздрава России в 2016 году по программам </w:t>
      </w:r>
      <w:proofErr w:type="spellStart"/>
      <w:r w:rsidRPr="00A3173D">
        <w:rPr>
          <w:rFonts w:ascii="Times New Roman" w:hAnsi="Times New Roman"/>
          <w:sz w:val="28"/>
        </w:rPr>
        <w:t>специалитета</w:t>
      </w:r>
      <w:proofErr w:type="spellEnd"/>
      <w:r w:rsidRPr="00A3173D">
        <w:rPr>
          <w:rFonts w:ascii="Times New Roman" w:hAnsi="Times New Roman"/>
          <w:sz w:val="28"/>
        </w:rPr>
        <w:t xml:space="preserve"> по общему конкурсу, составил 78,91 балла, в рамках целевого приема – 68,78, что выше среднего балла ЕГЭ в целом по Российской Федерации (66,6).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Отмечается положительная динамика показателя эффективности целевой подготовки. Так, доля медицинских и фармацевтических работников, обучавшихся в рамках целевой подготовки для нужд субъекта Российской Федерации, трудоустроившихся после завершения обучения в медицинские и фармацевтические организации системы здравоохранения соответствующего субъекта Российской Федерации в 2016 году составила 87,7% (в 2015 году – 86,3%).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Подготовку по дополнительным профессиональным программам (повышения квалификации и профессиональной переподготовки) в подведомственных Минздраву России образовательных и научных организациях в рамках установленного государственного задания за счет бюджетных ассигнований федерального бюджета прошли более 200 тыс. специалистов.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Непрерывность обучения обеспечивается использованием инновационных образовательных технологий (электронного обучения, дистанционных и </w:t>
      </w:r>
      <w:proofErr w:type="spellStart"/>
      <w:r w:rsidRPr="00A3173D">
        <w:rPr>
          <w:rFonts w:ascii="Times New Roman" w:hAnsi="Times New Roman"/>
          <w:sz w:val="28"/>
        </w:rPr>
        <w:t>симуляционных</w:t>
      </w:r>
      <w:proofErr w:type="spellEnd"/>
      <w:r w:rsidRPr="00A3173D">
        <w:rPr>
          <w:rFonts w:ascii="Times New Roman" w:hAnsi="Times New Roman"/>
          <w:sz w:val="28"/>
        </w:rPr>
        <w:t xml:space="preserve"> технологий, стажировок, </w:t>
      </w:r>
      <w:proofErr w:type="spellStart"/>
      <w:r w:rsidRPr="00A3173D">
        <w:rPr>
          <w:rFonts w:ascii="Times New Roman" w:hAnsi="Times New Roman"/>
          <w:sz w:val="28"/>
        </w:rPr>
        <w:t>тьюторства</w:t>
      </w:r>
      <w:proofErr w:type="spellEnd"/>
      <w:r w:rsidRPr="00A3173D">
        <w:rPr>
          <w:rFonts w:ascii="Times New Roman" w:hAnsi="Times New Roman"/>
          <w:sz w:val="28"/>
        </w:rPr>
        <w:t>, электронных образовательных модулей и др.).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lastRenderedPageBreak/>
        <w:t>В 2016 году Минздравом России на портале непрерывного медицинского и фармацевтического образования, предоставляющем врачам право выбора образовательных программ, форм обучения, включая стажировку, и образовательных технологий, по наиболее актуальным вопросам профилактики, диагностики и лечения социально значимых заболеваний зарегистрированы личные кабинеты 349 организаций, содержались записи более 131 тысячи врачей и размещены более 11 тысяч программ, позволяющих непрерывно поддерживать и совершенствовать уровень квалификации специалистов.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Основной задачей повышения качества оказываемой гражданам медицинской помощи является решение проблемы дефицита медицинских кадров, особенно оказывающих первичную медико-санитарную помощь. При этом стремительное развитие медицинских технологий требует высокой квалификации врачей.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В сложившейся ситуации особое значение приобретает поэтапное внедрение с 2016 года принципиально новой системы допуска к профессиональной деятельности – аккредитации специалиста, основанной на независимой оценке профессиональным сообществом уровня подготовки специалиста.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В целях реализации поэтапного перехода к аккредитации Минздравом России создана соответствующая нормативная правовая база: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- внесены изменения в часть 3 статьи 69 Федерального закона от 21.11.2011 № 323-ФЗ «Об основах охраны здоровья граждан в Российской Федерации» (Федеральный закон от 29.12.2015 № 389-ФЗ «О внесении изменений в отдельные законодательные акты Российской Федерации»);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- установлены конкретные этапы и сроки перехода, а также категории лиц, имеющих медицинское, фармацевтическое или иное образование и подлежащих аккредитации специалистов (приказ Министерства здравоохранения Российской Федерации от 25.02.2016 № 127н);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- утверждено Положение об аккредитации специалистов, определяющее контингент специалистов, подлежащих аккредитации; порядок прохождения первичной, первичной специализированной и периодической аккредитации; формирования и организации работы </w:t>
      </w:r>
      <w:proofErr w:type="spellStart"/>
      <w:r w:rsidRPr="00A3173D">
        <w:rPr>
          <w:rFonts w:ascii="Times New Roman" w:hAnsi="Times New Roman"/>
          <w:sz w:val="28"/>
        </w:rPr>
        <w:t>аккредитационной</w:t>
      </w:r>
      <w:proofErr w:type="spellEnd"/>
      <w:r w:rsidRPr="00A3173D">
        <w:rPr>
          <w:rFonts w:ascii="Times New Roman" w:hAnsi="Times New Roman"/>
          <w:sz w:val="28"/>
        </w:rPr>
        <w:t xml:space="preserve"> комиссии (приказ Минздрава России от 02.06.2016 </w:t>
      </w:r>
      <w:r w:rsidRPr="00A3173D">
        <w:rPr>
          <w:rFonts w:ascii="Times New Roman" w:hAnsi="Times New Roman"/>
          <w:sz w:val="28"/>
        </w:rPr>
        <w:br/>
        <w:t xml:space="preserve">№ 334н);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- установлен </w:t>
      </w:r>
      <w:hyperlink r:id="rId11" w:history="1">
        <w:r w:rsidRPr="00A3173D">
          <w:rPr>
            <w:rFonts w:ascii="Times New Roman" w:hAnsi="Times New Roman"/>
            <w:sz w:val="28"/>
          </w:rPr>
          <w:t>порядок</w:t>
        </w:r>
      </w:hyperlink>
      <w:r w:rsidRPr="00A3173D">
        <w:rPr>
          <w:rFonts w:ascii="Times New Roman" w:hAnsi="Times New Roman"/>
          <w:sz w:val="28"/>
        </w:rPr>
        <w:t xml:space="preserve"> выдачи свидетельства об аккредитации специалиста; </w:t>
      </w:r>
      <w:hyperlink r:id="rId12" w:history="1">
        <w:r w:rsidRPr="00A3173D">
          <w:rPr>
            <w:rFonts w:ascii="Times New Roman" w:hAnsi="Times New Roman"/>
            <w:sz w:val="28"/>
          </w:rPr>
          <w:t>форма</w:t>
        </w:r>
      </w:hyperlink>
      <w:r w:rsidRPr="00A3173D">
        <w:rPr>
          <w:rFonts w:ascii="Times New Roman" w:hAnsi="Times New Roman"/>
          <w:sz w:val="28"/>
        </w:rPr>
        <w:t xml:space="preserve"> свидетельства и </w:t>
      </w:r>
      <w:hyperlink r:id="rId13" w:history="1">
        <w:r w:rsidRPr="00A3173D">
          <w:rPr>
            <w:rFonts w:ascii="Times New Roman" w:hAnsi="Times New Roman"/>
            <w:sz w:val="28"/>
          </w:rPr>
          <w:t>технические требования</w:t>
        </w:r>
      </w:hyperlink>
      <w:r w:rsidRPr="00A3173D">
        <w:rPr>
          <w:rFonts w:ascii="Times New Roman" w:hAnsi="Times New Roman"/>
          <w:sz w:val="28"/>
        </w:rPr>
        <w:t xml:space="preserve"> к нему (приказ Минздрава России от 06.06.2016 № 352н).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В июле 2016 года впервые проведена аккредитация специалистов, получивших образование по программам </w:t>
      </w:r>
      <w:proofErr w:type="spellStart"/>
      <w:r w:rsidRPr="00A3173D">
        <w:rPr>
          <w:rFonts w:ascii="Times New Roman" w:hAnsi="Times New Roman"/>
          <w:sz w:val="28"/>
        </w:rPr>
        <w:t>специалитета</w:t>
      </w:r>
      <w:proofErr w:type="spellEnd"/>
      <w:r w:rsidRPr="00A3173D">
        <w:rPr>
          <w:rFonts w:ascii="Times New Roman" w:hAnsi="Times New Roman"/>
          <w:sz w:val="28"/>
        </w:rPr>
        <w:t xml:space="preserve"> в соответствии с федеральными государственными образовательными стандартами </w:t>
      </w:r>
      <w:r w:rsidRPr="00A3173D">
        <w:rPr>
          <w:rFonts w:ascii="Times New Roman" w:hAnsi="Times New Roman"/>
          <w:sz w:val="28"/>
        </w:rPr>
        <w:br/>
        <w:t xml:space="preserve">по специальностям «Стоматология» и «Фармация».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lastRenderedPageBreak/>
        <w:t>Определение соответствия лиц,</w:t>
      </w:r>
      <w:r w:rsidR="002F3038" w:rsidRPr="00A3173D">
        <w:rPr>
          <w:rFonts w:ascii="Times New Roman" w:hAnsi="Times New Roman"/>
          <w:sz w:val="28"/>
        </w:rPr>
        <w:t xml:space="preserve"> получивших высшее образование </w:t>
      </w:r>
      <w:r w:rsidRPr="00A3173D">
        <w:rPr>
          <w:rFonts w:ascii="Times New Roman" w:hAnsi="Times New Roman"/>
          <w:sz w:val="28"/>
        </w:rPr>
        <w:t xml:space="preserve">по специальности «Стоматология», требованиям профессионального стандарта «Врач-стоматолог» было проведено в 56 образовательных организациях высшего образования, к аккредитации было допущено 4 694 выпускника, 97,72% из которых были аккредитованы.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Аккредитация лиц, получивших высшее образование по специальности «Фармация» на соответствие требованиям профессионального стандарта «Провизор» проводилась в 52 образовательных организациях высшего образования, из 3 037 допущенных выпускников успешно прошли аккредитацию 94,24%.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В 2016 году разработано и утверж</w:t>
      </w:r>
      <w:r w:rsidR="002F3038" w:rsidRPr="00A3173D">
        <w:rPr>
          <w:rFonts w:ascii="Times New Roman" w:hAnsi="Times New Roman"/>
          <w:sz w:val="28"/>
        </w:rPr>
        <w:t xml:space="preserve">дено приказами Минтруда России </w:t>
      </w:r>
      <w:r w:rsidRPr="00A3173D">
        <w:rPr>
          <w:rFonts w:ascii="Times New Roman" w:hAnsi="Times New Roman"/>
          <w:sz w:val="28"/>
        </w:rPr>
        <w:t xml:space="preserve">4 профессиональных стандарта для специалистов в области здравоохранения («Младший медицинский персонал», «Специалист в области </w:t>
      </w:r>
      <w:proofErr w:type="spellStart"/>
      <w:r w:rsidRPr="00A3173D">
        <w:rPr>
          <w:rFonts w:ascii="Times New Roman" w:hAnsi="Times New Roman"/>
          <w:sz w:val="28"/>
        </w:rPr>
        <w:t>слухопротезирования</w:t>
      </w:r>
      <w:proofErr w:type="spellEnd"/>
      <w:r w:rsidRPr="00A3173D">
        <w:rPr>
          <w:rFonts w:ascii="Times New Roman" w:hAnsi="Times New Roman"/>
          <w:sz w:val="28"/>
        </w:rPr>
        <w:t xml:space="preserve"> (</w:t>
      </w:r>
      <w:proofErr w:type="spellStart"/>
      <w:r w:rsidRPr="00A3173D">
        <w:rPr>
          <w:rFonts w:ascii="Times New Roman" w:hAnsi="Times New Roman"/>
          <w:sz w:val="28"/>
        </w:rPr>
        <w:t>сурдоакустик</w:t>
      </w:r>
      <w:proofErr w:type="spellEnd"/>
      <w:r w:rsidRPr="00A3173D">
        <w:rPr>
          <w:rFonts w:ascii="Times New Roman" w:hAnsi="Times New Roman"/>
          <w:sz w:val="28"/>
        </w:rPr>
        <w:t xml:space="preserve">)», «Провизор», «Врач-стоматолог»).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Разработанные проекты профессиональных стандартов для выпускников лечебного факультета («Врач-лечебник (врач-терапевт участковый)», педиатрического факультета («Врач-педиатр участковый»), медико-профилактического факультета («Специалист по медико-профилактическому делу») и медико-биологического факультета («Врач-биохимик», «Врач-биофизик» и «</w:t>
      </w:r>
      <w:proofErr w:type="spellStart"/>
      <w:r w:rsidRPr="00A3173D">
        <w:rPr>
          <w:rFonts w:ascii="Times New Roman" w:hAnsi="Times New Roman"/>
          <w:sz w:val="28"/>
        </w:rPr>
        <w:t>Врач-медицинский</w:t>
      </w:r>
      <w:proofErr w:type="spellEnd"/>
      <w:r w:rsidRPr="00A3173D">
        <w:rPr>
          <w:rFonts w:ascii="Times New Roman" w:hAnsi="Times New Roman"/>
          <w:sz w:val="28"/>
        </w:rPr>
        <w:t xml:space="preserve"> кибернетик» – для выпускников, завершивших обучение по специальностям «Медицинская биохимия», «Медицинская биофизика» и «Медицинский кибернетик») выступают базисом для формирования оценочных средств, которые будут использованы при проведении в 2017 году процедуры аккредитации специалистов, завершивших обучение по программам </w:t>
      </w:r>
      <w:proofErr w:type="spellStart"/>
      <w:r w:rsidRPr="00A3173D">
        <w:rPr>
          <w:rFonts w:ascii="Times New Roman" w:hAnsi="Times New Roman"/>
          <w:sz w:val="28"/>
        </w:rPr>
        <w:t>специалитета</w:t>
      </w:r>
      <w:proofErr w:type="spellEnd"/>
      <w:r w:rsidRPr="00A3173D">
        <w:rPr>
          <w:rFonts w:ascii="Times New Roman" w:hAnsi="Times New Roman"/>
          <w:sz w:val="28"/>
        </w:rPr>
        <w:t xml:space="preserve"> в соответствии с федеральными государственными образовательными стандартами по специальностям «Лечебное дело», «Педиатрия», «Медицинская биохимия» и «Медицинская биофизика». </w:t>
      </w:r>
    </w:p>
    <w:p w:rsidR="00560BE7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>По итогам мониторинга эффективности деятельности образовательных организаций высшего образования, проведенного Министерством образования и науки Российской Федерации в 2016 году, все образовательные организации высшего образования, подведомственные Министерству здравоохранения Российской Федерации, отнесены к образовательным организациям высшего образования, не имеющим признаков неэффективности.</w:t>
      </w:r>
    </w:p>
    <w:p w:rsidR="002F3038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A3173D">
        <w:rPr>
          <w:rFonts w:ascii="Times New Roman" w:hAnsi="Times New Roman"/>
          <w:sz w:val="28"/>
        </w:rPr>
        <w:t xml:space="preserve">В целях реализации современной эффективной корпоративной системы подготовки квалифицированных специалистов здравоохранения, создания эффективной инновационной системы непрерывного профессионального образования, реализации инновационных проектов на основе интеграции научного, образовательного и инновационного потенциала образовательных организаций Минздрава России функционируют 13 научно-образовательных медицинских </w:t>
      </w:r>
      <w:r w:rsidRPr="00A3173D">
        <w:rPr>
          <w:rFonts w:ascii="Times New Roman" w:hAnsi="Times New Roman"/>
          <w:sz w:val="28"/>
        </w:rPr>
        <w:lastRenderedPageBreak/>
        <w:t>кластеров (11 – по территориальному признаку и 2 – по профильному) (приказ Минздрава России от 26.11.2015 № 844).</w:t>
      </w:r>
    </w:p>
    <w:p w:rsidR="002F3038" w:rsidRPr="00A3173D" w:rsidRDefault="00560BE7" w:rsidP="00A3173D">
      <w:pPr>
        <w:pStyle w:val="af0"/>
        <w:spacing w:after="0"/>
        <w:ind w:firstLine="709"/>
        <w:jc w:val="both"/>
        <w:rPr>
          <w:rFonts w:ascii="Times New Roman" w:hAnsi="Times New Roman"/>
          <w:sz w:val="28"/>
        </w:rPr>
      </w:pPr>
      <w:r w:rsidRPr="002F3038">
        <w:rPr>
          <w:rFonts w:ascii="Times New Roman" w:hAnsi="Times New Roman"/>
          <w:sz w:val="28"/>
        </w:rPr>
        <w:t>Таким образом, н</w:t>
      </w:r>
      <w:r w:rsidRPr="00A3173D">
        <w:rPr>
          <w:rFonts w:ascii="Times New Roman" w:hAnsi="Times New Roman"/>
          <w:sz w:val="28"/>
        </w:rPr>
        <w:t>а сегодняшний день система подготовки медицинских и фармацевтических работников в вузах Минздрава России полностью сопряжена с потребностями практического здравоохранения и ориентирована не только на подготовку достаточного объема специалистов для отрасли, но и на методологическое сопровождение поддержания баланса медицинских и фармацевтических кадров как на конкретном уровне медицинской помощи, так и в разрезе</w:t>
      </w:r>
      <w:r w:rsidR="006177F3" w:rsidRPr="00A3173D">
        <w:rPr>
          <w:rFonts w:ascii="Times New Roman" w:hAnsi="Times New Roman"/>
          <w:sz w:val="28"/>
        </w:rPr>
        <w:t>.</w:t>
      </w:r>
      <w:r w:rsidRPr="00A3173D">
        <w:rPr>
          <w:rFonts w:ascii="Times New Roman" w:hAnsi="Times New Roman"/>
          <w:sz w:val="28"/>
        </w:rPr>
        <w:t xml:space="preserve"> специальностей.</w:t>
      </w:r>
      <w:r w:rsidR="002F3038" w:rsidRPr="00A3173D">
        <w:rPr>
          <w:rFonts w:ascii="Times New Roman" w:hAnsi="Times New Roman"/>
          <w:sz w:val="28"/>
        </w:rPr>
        <w:t xml:space="preserve"> </w:t>
      </w:r>
    </w:p>
    <w:p w:rsidR="00A3173D" w:rsidRDefault="00A3173D" w:rsidP="002F3038">
      <w:pPr>
        <w:pStyle w:val="22"/>
        <w:shd w:val="clear" w:color="auto" w:fill="auto"/>
        <w:spacing w:after="0" w:line="446" w:lineRule="exact"/>
        <w:ind w:left="60" w:right="60" w:firstLine="820"/>
        <w:jc w:val="both"/>
        <w:rPr>
          <w:color w:val="000000"/>
          <w:sz w:val="28"/>
          <w:szCs w:val="28"/>
        </w:rPr>
      </w:pPr>
    </w:p>
    <w:p w:rsidR="002F3038" w:rsidRPr="002F3038" w:rsidRDefault="002F3038" w:rsidP="002F3038">
      <w:pPr>
        <w:pStyle w:val="22"/>
        <w:shd w:val="clear" w:color="auto" w:fill="auto"/>
        <w:spacing w:after="0" w:line="446" w:lineRule="exact"/>
        <w:ind w:left="60" w:right="60" w:firstLine="820"/>
        <w:jc w:val="both"/>
        <w:rPr>
          <w:color w:val="000000"/>
          <w:sz w:val="28"/>
          <w:szCs w:val="28"/>
        </w:rPr>
      </w:pPr>
      <w:r w:rsidRPr="002F3038">
        <w:rPr>
          <w:color w:val="000000"/>
          <w:sz w:val="28"/>
          <w:szCs w:val="28"/>
        </w:rPr>
        <w:t>II. Показатели мониторинга системы образования</w:t>
      </w:r>
    </w:p>
    <w:tbl>
      <w:tblPr>
        <w:tblStyle w:val="af"/>
        <w:tblW w:w="9511" w:type="dxa"/>
        <w:tblInd w:w="60" w:type="dxa"/>
        <w:tblLook w:val="04A0"/>
      </w:tblPr>
      <w:tblGrid>
        <w:gridCol w:w="6867"/>
        <w:gridCol w:w="1460"/>
        <w:gridCol w:w="1184"/>
      </w:tblGrid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240" w:lineRule="auto"/>
              <w:ind w:left="160"/>
              <w:jc w:val="center"/>
              <w:rPr>
                <w:b/>
                <w:sz w:val="23"/>
                <w:szCs w:val="23"/>
              </w:rPr>
            </w:pPr>
            <w:r w:rsidRPr="002F3038">
              <w:rPr>
                <w:sz w:val="23"/>
                <w:szCs w:val="23"/>
              </w:rPr>
              <w:t>Раздел/подраздел/показатель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b/>
                <w:sz w:val="23"/>
                <w:szCs w:val="23"/>
              </w:rPr>
            </w:pPr>
            <w:r w:rsidRPr="002F3038">
              <w:rPr>
                <w:sz w:val="23"/>
                <w:szCs w:val="23"/>
              </w:rPr>
              <w:t>Единица</w:t>
            </w:r>
          </w:p>
          <w:p w:rsidR="002F3038" w:rsidRPr="002F3038" w:rsidRDefault="002F3038" w:rsidP="00F1676E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b/>
                <w:sz w:val="23"/>
                <w:szCs w:val="23"/>
              </w:rPr>
            </w:pPr>
            <w:r w:rsidRPr="002F3038">
              <w:rPr>
                <w:sz w:val="23"/>
                <w:szCs w:val="23"/>
              </w:rPr>
              <w:t>измерения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F3038">
              <w:rPr>
                <w:sz w:val="23"/>
                <w:szCs w:val="23"/>
              </w:rPr>
              <w:t>Значение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240" w:lineRule="auto"/>
              <w:ind w:right="62"/>
              <w:jc w:val="center"/>
              <w:rPr>
                <w:color w:val="000000"/>
                <w:sz w:val="28"/>
                <w:szCs w:val="28"/>
              </w:rPr>
            </w:pPr>
            <w:r w:rsidRPr="002F3038">
              <w:rPr>
                <w:rStyle w:val="115pt"/>
                <w:rFonts w:eastAsia="Courier New"/>
              </w:rPr>
              <w:t>II. Профессиональное образование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240" w:lineRule="auto"/>
              <w:ind w:right="62"/>
              <w:jc w:val="center"/>
              <w:rPr>
                <w:color w:val="000000"/>
                <w:sz w:val="28"/>
                <w:szCs w:val="28"/>
              </w:rPr>
            </w:pPr>
            <w:r w:rsidRPr="002F3038">
              <w:rPr>
                <w:rStyle w:val="115pt"/>
                <w:rFonts w:eastAsia="Courier New"/>
              </w:rPr>
              <w:t>3. Сведения о развитии среднего профессионального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"/>
                <w:rFonts w:eastAsia="Courier New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jc w:val="both"/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</w:pPr>
            <w:r w:rsidRPr="002F3038">
              <w:rPr>
                <w:rStyle w:val="115pt"/>
                <w:rFonts w:eastAsia="Courier New"/>
              </w:rPr>
              <w:t>3.2.1.</w:t>
            </w:r>
            <w:r w:rsidRPr="002F3038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лиц, освоивших образовательные программы среднего профессионального образования – программы подготовки специалистов среднего звена с использованием дистанционных образовательных технологий, электронного обучения, в общей численности выпускников получивших среднее профессиональное образование по программам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038" w:rsidRPr="002F3038" w:rsidRDefault="002F3038" w:rsidP="00F1676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3038">
              <w:rPr>
                <w:rFonts w:ascii="Times New Roman" w:hAnsi="Times New Roman" w:cs="Times New Roman"/>
                <w:sz w:val="23"/>
                <w:szCs w:val="23"/>
              </w:rPr>
              <w:t>19,74</w:t>
            </w:r>
          </w:p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spacing w:line="230" w:lineRule="exact"/>
              <w:ind w:left="78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на базе основного общего образования;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35,48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spacing w:line="230" w:lineRule="exact"/>
              <w:ind w:left="8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на базе среднего общего образования.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64,52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 по формам обучения (удельный вес численности студентов соответствующей формы обучения,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spacing w:line="230" w:lineRule="exact"/>
              <w:ind w:left="8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очная форма обучения;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93,89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spacing w:line="230" w:lineRule="exact"/>
              <w:ind w:left="800"/>
              <w:rPr>
                <w:rFonts w:ascii="Times New Roman" w:hAnsi="Times New Roman" w:cs="Times New Roman"/>
              </w:rPr>
            </w:pPr>
            <w:proofErr w:type="spellStart"/>
            <w:r w:rsidRPr="002F3038">
              <w:rPr>
                <w:rStyle w:val="115pt0"/>
                <w:rFonts w:eastAsia="Courier New"/>
              </w:rPr>
              <w:t>очно-заочная</w:t>
            </w:r>
            <w:proofErr w:type="spellEnd"/>
            <w:r w:rsidRPr="002F3038">
              <w:rPr>
                <w:rStyle w:val="115pt0"/>
                <w:rFonts w:eastAsia="Courier New"/>
              </w:rPr>
              <w:t xml:space="preserve"> форма обучения;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6,11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spacing w:line="230" w:lineRule="exact"/>
              <w:ind w:left="8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заочная форма обучения.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0,00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 xml:space="preserve">3.2.6 Удельный вес численности лиц, обучающихся на платной </w:t>
            </w:r>
            <w:r w:rsidRPr="002F3038">
              <w:rPr>
                <w:rStyle w:val="115pt0"/>
                <w:rFonts w:eastAsia="Courier New"/>
              </w:rPr>
              <w:lastRenderedPageBreak/>
              <w:t>основе,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lastRenderedPageBreak/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40,35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"/>
                <w:rFonts w:eastAsia="Courier New"/>
              </w:rPr>
              <w:lastRenderedPageBreak/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3.3.2.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всего;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18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96,47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преподаватели.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18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97,15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3.3.4.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высшую квалификационную категорию;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18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23,24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первую квалификационную категорию.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18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27,84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3.3.5. 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программы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человек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18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13,68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"/>
                <w:rFonts w:eastAsia="Courier New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3.4.1. 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16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44,98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3.4.4.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всего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единица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15,82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имеющих доступ к Интернету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единица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12,55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 xml:space="preserve">3.4.5. Удельный вес числа организаций, подключенных к Интернету со скоростью передачи данных 2 Мбит/сек и выше, в общем числе профессиональных образовательных организаций, </w:t>
            </w:r>
            <w:r w:rsidRPr="002F3038">
              <w:rPr>
                <w:rStyle w:val="115pt0"/>
                <w:rFonts w:eastAsia="Courier New"/>
              </w:rPr>
              <w:lastRenderedPageBreak/>
              <w:t>реализующих образовательные программы среднего профессионального образования - программы подготовки специалистов среднего звена, подключенных к Интернету.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lastRenderedPageBreak/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100,00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lastRenderedPageBreak/>
              <w:t>3.4.6. Площадь учебно-лабораторных зданий профессиональных образовательных организаций в расчете на одного студента: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профессиональные образовательные организации, реализующие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after="120"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квадратный</w:t>
            </w:r>
          </w:p>
          <w:p w:rsidR="002F3038" w:rsidRPr="002F3038" w:rsidRDefault="002F3038" w:rsidP="00F1676E">
            <w:pPr>
              <w:spacing w:before="120"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метр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  <w:sz w:val="23"/>
                <w:szCs w:val="23"/>
              </w:rPr>
            </w:pPr>
            <w:r w:rsidRPr="002F3038">
              <w:rPr>
                <w:rFonts w:ascii="Times New Roman" w:hAnsi="Times New Roman" w:cs="Times New Roman"/>
                <w:sz w:val="23"/>
                <w:szCs w:val="23"/>
              </w:rPr>
              <w:t>7,81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F1676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"/>
                <w:rFonts w:eastAsia="Courier New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60,00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3.5.2. Удельный вес численности студентов с ограниченными возможностями здоровья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программы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3,1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3.5.3. Удельный вес численности студентов-инвалидов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программы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3,0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pStyle w:val="22"/>
              <w:shd w:val="clear" w:color="auto" w:fill="auto"/>
              <w:spacing w:after="0" w:line="240" w:lineRule="auto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2F3038">
              <w:rPr>
                <w:rStyle w:val="115pt"/>
                <w:rFonts w:eastAsia="Courier New"/>
              </w:rPr>
              <w:t xml:space="preserve">3.6. Учебные и </w:t>
            </w:r>
            <w:proofErr w:type="spellStart"/>
            <w:r w:rsidRPr="002F3038">
              <w:rPr>
                <w:rStyle w:val="115pt"/>
                <w:rFonts w:eastAsia="Courier New"/>
              </w:rPr>
              <w:t>внеучебные</w:t>
            </w:r>
            <w:proofErr w:type="spellEnd"/>
            <w:r w:rsidRPr="002F3038">
              <w:rPr>
                <w:rStyle w:val="115pt"/>
                <w:rFonts w:eastAsia="Courier New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pStyle w:val="22"/>
              <w:shd w:val="clear" w:color="auto" w:fill="auto"/>
              <w:spacing w:after="0" w:line="240" w:lineRule="auto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2F3038">
              <w:rPr>
                <w:rStyle w:val="115pt0"/>
                <w:rFonts w:eastAsia="Courier New"/>
              </w:rPr>
              <w:t>3.6.1.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18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42,44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3.8.2. 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специалистов среднего звена: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firstLine="933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профессиональные образовательные организации;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26,7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firstLine="933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</w:rPr>
              <w:t>организации высшего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38,98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pStyle w:val="22"/>
              <w:shd w:val="clear" w:color="auto" w:fill="auto"/>
              <w:spacing w:after="0" w:line="240" w:lineRule="auto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2F3038">
              <w:rPr>
                <w:rStyle w:val="115pt0"/>
                <w:rFonts w:eastAsia="Courier New"/>
              </w:rPr>
              <w:t>3.8.3. Объем финансовых средств, поступивших в профессиональные образовательные организации, в расчете на 1 студента: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профессиональные образовательные организации, реализующие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тысяча</w:t>
            </w:r>
          </w:p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рублей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80,75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pStyle w:val="22"/>
              <w:shd w:val="clear" w:color="auto" w:fill="auto"/>
              <w:spacing w:after="0" w:line="240" w:lineRule="auto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2F3038">
              <w:rPr>
                <w:rStyle w:val="115pt"/>
                <w:rFonts w:eastAsia="Courier New"/>
              </w:rPr>
              <w:t xml:space="preserve"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</w:t>
            </w:r>
            <w:r w:rsidRPr="002F3038">
              <w:rPr>
                <w:rStyle w:val="115pt"/>
                <w:rFonts w:eastAsia="Courier New"/>
              </w:rPr>
              <w:lastRenderedPageBreak/>
              <w:t>образовательных программ среднего профессионального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lastRenderedPageBreak/>
              <w:t>3.10.1. Удельный вес площади зданий, оборудованной охранно-пожарной сигнализацией, в общей площади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4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учебно-лабораторные здания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94,04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4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общежития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100,00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</w:rPr>
              <w:t>3.10.4. Удельный вес площади учебно-лабораторных зданий, находящейся в аварийном состоянии,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– программы подготовки специалистов среднего звена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3038">
              <w:rPr>
                <w:rFonts w:ascii="Times New Roman" w:hAnsi="Times New Roman" w:cs="Times New Roman"/>
                <w:sz w:val="23"/>
                <w:szCs w:val="23"/>
              </w:rPr>
              <w:t>6,7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</w:rPr>
              <w:t>3.10.5.</w:t>
            </w:r>
            <w:r w:rsidRPr="002F3038">
              <w:rPr>
                <w:rFonts w:ascii="Times New Roman" w:hAnsi="Times New Roman" w:cs="Times New Roman"/>
              </w:rPr>
              <w:t xml:space="preserve"> </w:t>
            </w:r>
            <w:r w:rsidRPr="002F3038">
              <w:rPr>
                <w:rStyle w:val="115pt0"/>
                <w:rFonts w:eastAsia="Courier New"/>
              </w:rPr>
              <w:t>Удельный вес площади учебно-лабораторных зданий, требующей капитального ремонта,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– программы подготовки специалистов среднего звена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3038">
              <w:rPr>
                <w:rFonts w:ascii="Times New Roman" w:hAnsi="Times New Roman" w:cs="Times New Roman"/>
                <w:sz w:val="23"/>
                <w:szCs w:val="23"/>
              </w:rPr>
              <w:t>34,78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3.10.6. Удельный вес площади общежитий, находящейся в аварийном состоянии,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0,00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pStyle w:val="22"/>
              <w:shd w:val="clear" w:color="auto" w:fill="auto"/>
              <w:spacing w:after="0" w:line="240" w:lineRule="auto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2F3038">
              <w:rPr>
                <w:rStyle w:val="115pt0"/>
                <w:rFonts w:eastAsia="Courier New"/>
              </w:rPr>
              <w:t>3.10.7. Удельный вес площади общежитий, требующей капитального ремонта,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68,91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pStyle w:val="22"/>
              <w:shd w:val="clear" w:color="auto" w:fill="auto"/>
              <w:spacing w:after="0" w:line="240" w:lineRule="auto"/>
              <w:ind w:right="62"/>
              <w:jc w:val="both"/>
              <w:rPr>
                <w:color w:val="000000"/>
                <w:sz w:val="28"/>
                <w:szCs w:val="28"/>
              </w:rPr>
            </w:pPr>
            <w:r w:rsidRPr="002F3038">
              <w:rPr>
                <w:rStyle w:val="115pt"/>
                <w:rFonts w:eastAsia="Courier New"/>
              </w:rPr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9.1.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pStyle w:val="22"/>
              <w:shd w:val="clear" w:color="auto" w:fill="auto"/>
              <w:spacing w:after="0" w:line="446" w:lineRule="exact"/>
              <w:ind w:right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0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всего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4,09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0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граждане СНГ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</w:rPr>
              <w:t>4,00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4. Сведения о развитии высшего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Style w:val="115pt0"/>
                <w:rFonts w:eastAsia="Courier New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4.1. Содержание образовательной деятельности и организация образовательного процесса по образовательным программам высшего образования: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Style w:val="115pt0"/>
                <w:rFonts w:eastAsia="Courier New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4.2.1. Структура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программам магистратуры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, программам магистратуры):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6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lastRenderedPageBreak/>
              <w:t>очная форма обучения;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93,65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6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очно-заочная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 форма обучения;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2,14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6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заочная форма обучения.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4,20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4.2.2. Удельный вес численности лиц, обучающихся на платной основе,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, программам магистратуры.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44,59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4.2.3. Удельный вес численности лиц, обучающихся с применением дистанционных образовательных технологий, электронного обучения, в общей численности студентов, обучающихся по образовательным программам высшего образования: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6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программы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35,98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6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программы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17,66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6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программы магистратуры.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10,40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4.3.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Style w:val="115pt0"/>
                <w:rFonts w:eastAsia="Courier New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6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доктора наук;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21,20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6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кандидата наук.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56,17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4.3.2. Удельный вес численности лиц в возрасте до 30 лет,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7,01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4.3.3. Соотношение численности штатного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профессорско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- преподавательского состава и профессорско-преподавательского состава, работающего на условиях внешнего совместительства, организаций, осуществляющих образовательную деятельность по реализации образовательных программ высшего образования (на 100 работников штатного состава приходится внешних совместителей).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человек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32,95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4.3.4. Численность студентов, обучающихся по образовательным программам высшего образования -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, программам магистратуры, в расчете на одного работника профессорско-преподавательского состава.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человек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8,48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4.4.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Style w:val="115pt0"/>
                <w:rFonts w:eastAsia="Courier New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4.4.1. Обеспеченность студентов образовательных организаций высшего образования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89,06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4.4.3. Число персональных компьютеров, используемых в учебных </w:t>
            </w:r>
            <w:r w:rsidRPr="002F3038">
              <w:rPr>
                <w:rStyle w:val="115pt1"/>
                <w:rFonts w:eastAsia="Courier New"/>
                <w:b w:val="0"/>
              </w:rPr>
              <w:lastRenderedPageBreak/>
              <w:t>целях, в расчете на 100 студентов образовательных организаций высшего образования: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4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lastRenderedPageBreak/>
              <w:t>всего;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единица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21,26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4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имеющих доступ к Интернету.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единица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14,54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4.4.4. Удельный вес числа организаций, подключенных к Интернету со скоростью передачи данных 2 Мбит/сек и выше, в общем числе образовательных организаций высшего образования, подключенных к Интернету.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100,00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4.4.5. Площадь учебно-лабораторных зданий образовательных организаций высшего образования в расчете на одного студента.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квадратный</w:t>
            </w:r>
          </w:p>
          <w:p w:rsidR="002F3038" w:rsidRPr="002F3038" w:rsidRDefault="002F3038" w:rsidP="00F1676E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метр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17,85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4.5. Условия получения высшего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Style w:val="115pt0"/>
                <w:rFonts w:eastAsia="Courier New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образовательных организаций высшего образования.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89,58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4.5.2. Удельный вес численности студентов-инвалидов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, программам магистратуры.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1,15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 xml:space="preserve">4.6. Учебные и </w:t>
            </w:r>
            <w:proofErr w:type="spellStart"/>
            <w:r w:rsidRPr="002F3038">
              <w:rPr>
                <w:rStyle w:val="115pt0"/>
                <w:rFonts w:eastAsia="Courier New"/>
                <w:b/>
                <w:bCs/>
              </w:rPr>
              <w:t>внеучебные</w:t>
            </w:r>
            <w:proofErr w:type="spellEnd"/>
            <w:r w:rsidRPr="002F3038">
              <w:rPr>
                <w:rStyle w:val="115pt0"/>
                <w:rFonts w:eastAsia="Courier New"/>
                <w:b/>
                <w:bCs/>
              </w:rPr>
              <w:t xml:space="preserve"> достижения обучающихся лиц и профессиональные достижения выпускников организаций, реализующих программы высшего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4.6.1.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высшего образования -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, программам магистратуры.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36,64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4.7.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Style w:val="115pt0"/>
                <w:rFonts w:eastAsia="Courier New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Style w:val="115pt0"/>
                <w:rFonts w:eastAsia="Courier New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4.7.1. Удельный вес финансовых средств от приносящей доход деятельности в общем объеме финансовых средств, полученных образовательными организациями высшего образования от реализации образовательных программ высшего образования - программ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, программ магистратуры.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40,39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83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4.7.2. Объем финансовых средств, поступивших в образовательные организации высшего образования, в расчете на одного студента.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after="60"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тысяча</w:t>
            </w:r>
          </w:p>
          <w:p w:rsidR="002F3038" w:rsidRPr="002F3038" w:rsidRDefault="002F3038" w:rsidP="00F1676E">
            <w:pPr>
              <w:spacing w:before="60"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рублей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399,37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4.8.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4.8.1. Удельный вес числа организаций, имеющих филиалы, реализующие образовательные программы высшего образования - программы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программы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, программы магистратуры, в общем числе образовательных организаций высшего образования.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6,52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4.9.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lastRenderedPageBreak/>
              <w:t>4.9.1. Удельный вес финансовых средств, полученных от научной деятельности, в общем объеме финансовых средств образовательных организаций высшего образования.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5,45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4.9.2. Объем финансовых средств, полученных от научной деятельности, в расчете на 1 научно-педагогического работника.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after="60"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тысяча</w:t>
            </w:r>
          </w:p>
          <w:p w:rsidR="002F3038" w:rsidRPr="002F3038" w:rsidRDefault="002F3038" w:rsidP="00F1676E">
            <w:pPr>
              <w:spacing w:before="60"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рублей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180,79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4.10.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Style w:val="115pt0"/>
                <w:rFonts w:eastAsia="Courier New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4.10.1 . Удельный вес площади зданий, оборудованной охранно-пожарной сигнализацией, в общей площади зданий образовательных организаций высшего образования: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4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учебно-лабораторные здания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78,58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4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общежития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88,19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4.10.2. Удельный вес площади зданий, находящейся в аварийном состоянии, в общей площади зданий образовательных организаций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высшего образования: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учебно-лабораторные здания;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0,61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общежития.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1,78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4.10.3. Удельный вес площади зданий, требующей капитального ремонта, в общей площади зданий образовательных организаций высшего образования: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учебно-лабораторные здания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14,95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общежития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>28,37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jc w:val="both"/>
              <w:rPr>
                <w:rStyle w:val="115pt0"/>
                <w:rFonts w:eastAsia="Courier New"/>
              </w:rPr>
            </w:pPr>
            <w:r w:rsidRPr="002F3038">
              <w:rPr>
                <w:rStyle w:val="115pt0"/>
                <w:rFonts w:eastAsia="Courier New"/>
                <w:b/>
                <w:bCs/>
              </w:rPr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jc w:val="center"/>
              <w:rPr>
                <w:rStyle w:val="115pt0"/>
                <w:rFonts w:eastAsia="Courier New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F3038">
              <w:rPr>
                <w:rStyle w:val="115pt1"/>
                <w:rFonts w:eastAsia="Courier New"/>
                <w:b w:val="0"/>
              </w:rPr>
              <w:t xml:space="preserve">9.2. 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бакалавриата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 xml:space="preserve">, программам </w:t>
            </w:r>
            <w:proofErr w:type="spellStart"/>
            <w:r w:rsidRPr="002F3038">
              <w:rPr>
                <w:rStyle w:val="115pt1"/>
                <w:rFonts w:eastAsia="Courier New"/>
                <w:b w:val="0"/>
              </w:rPr>
              <w:t>специалитета</w:t>
            </w:r>
            <w:proofErr w:type="spellEnd"/>
            <w:r w:rsidRPr="002F3038">
              <w:rPr>
                <w:rStyle w:val="115pt1"/>
                <w:rFonts w:eastAsia="Courier New"/>
                <w:b w:val="0"/>
              </w:rPr>
              <w:t>, программам магистратуры: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всего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10,86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граждане СНГ</w:t>
            </w: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процент</w:t>
            </w: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F3038">
              <w:rPr>
                <w:rStyle w:val="115pt1"/>
                <w:rFonts w:eastAsia="Courier New"/>
                <w:b w:val="0"/>
              </w:rPr>
              <w:t>5,07</w:t>
            </w: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</w:rPr>
            </w:pPr>
          </w:p>
        </w:tc>
      </w:tr>
      <w:tr w:rsidR="002F3038" w:rsidRPr="002F3038" w:rsidTr="00F1676E">
        <w:tc>
          <w:tcPr>
            <w:tcW w:w="6867" w:type="dxa"/>
          </w:tcPr>
          <w:p w:rsidR="002F3038" w:rsidRPr="002F3038" w:rsidRDefault="002F3038" w:rsidP="00A3173D">
            <w:pPr>
              <w:spacing w:line="230" w:lineRule="exact"/>
              <w:ind w:left="8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F3038" w:rsidRPr="002F3038" w:rsidRDefault="002F3038" w:rsidP="00F1676E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2F3038" w:rsidRPr="002F3038" w:rsidRDefault="002F3038" w:rsidP="002F3038">
      <w:pPr>
        <w:pStyle w:val="22"/>
        <w:shd w:val="clear" w:color="auto" w:fill="auto"/>
        <w:spacing w:after="0" w:line="446" w:lineRule="exact"/>
        <w:ind w:left="60" w:right="60" w:firstLine="820"/>
        <w:jc w:val="both"/>
        <w:rPr>
          <w:color w:val="000000"/>
          <w:sz w:val="28"/>
          <w:szCs w:val="28"/>
        </w:rPr>
      </w:pPr>
    </w:p>
    <w:p w:rsidR="002F3038" w:rsidRPr="002F3038" w:rsidRDefault="002F3038" w:rsidP="002F3038">
      <w:pPr>
        <w:pStyle w:val="ae"/>
        <w:framePr w:w="10718" w:wrap="notBeside" w:vAnchor="text" w:hAnchor="page" w:x="1195" w:y="2938"/>
        <w:shd w:val="clear" w:color="auto" w:fill="auto"/>
      </w:pPr>
    </w:p>
    <w:p w:rsidR="002F3038" w:rsidRPr="002F3038" w:rsidRDefault="002F3038" w:rsidP="002F3038">
      <w:pPr>
        <w:pStyle w:val="22"/>
        <w:shd w:val="clear" w:color="auto" w:fill="auto"/>
        <w:spacing w:after="0" w:line="240" w:lineRule="auto"/>
        <w:ind w:left="62" w:right="62" w:hanging="62"/>
        <w:jc w:val="both"/>
        <w:rPr>
          <w:color w:val="000000"/>
        </w:rPr>
      </w:pPr>
      <w:r w:rsidRPr="002F3038">
        <w:rPr>
          <w:color w:val="000000"/>
        </w:rPr>
        <w:t xml:space="preserve">Заместитель </w:t>
      </w:r>
    </w:p>
    <w:p w:rsidR="002F3038" w:rsidRPr="002F3038" w:rsidRDefault="002F3038" w:rsidP="002F3038">
      <w:pPr>
        <w:pStyle w:val="22"/>
        <w:shd w:val="clear" w:color="auto" w:fill="auto"/>
        <w:spacing w:after="0" w:line="240" w:lineRule="auto"/>
        <w:ind w:left="62" w:right="62" w:hanging="62"/>
        <w:jc w:val="both"/>
        <w:rPr>
          <w:color w:val="000000"/>
        </w:rPr>
      </w:pPr>
      <w:r w:rsidRPr="002F3038">
        <w:rPr>
          <w:color w:val="000000"/>
        </w:rPr>
        <w:t>Министра здравоохранения</w:t>
      </w:r>
    </w:p>
    <w:p w:rsidR="002F3038" w:rsidRPr="002F3038" w:rsidRDefault="002F3038" w:rsidP="002F3038">
      <w:pPr>
        <w:pStyle w:val="22"/>
        <w:shd w:val="clear" w:color="auto" w:fill="auto"/>
        <w:spacing w:after="0" w:line="240" w:lineRule="auto"/>
        <w:ind w:left="62" w:right="62" w:hanging="62"/>
        <w:jc w:val="both"/>
        <w:rPr>
          <w:color w:val="000000"/>
        </w:rPr>
      </w:pPr>
      <w:r w:rsidRPr="002F3038">
        <w:rPr>
          <w:color w:val="000000"/>
        </w:rPr>
        <w:t>Российской Федерации                                                                      Т.В. Яковлева</w:t>
      </w:r>
    </w:p>
    <w:p w:rsidR="002F3038" w:rsidRPr="002F3038" w:rsidRDefault="002F3038" w:rsidP="002F3038">
      <w:pPr>
        <w:rPr>
          <w:rFonts w:ascii="Times New Roman" w:hAnsi="Times New Roman" w:cs="Times New Roman"/>
          <w:sz w:val="27"/>
          <w:szCs w:val="27"/>
        </w:rPr>
      </w:pPr>
    </w:p>
    <w:p w:rsidR="00560BE7" w:rsidRPr="004C7CA6" w:rsidRDefault="00560BE7" w:rsidP="00560BE7">
      <w:pPr>
        <w:pBdr>
          <w:bottom w:val="single" w:sz="6" w:space="31" w:color="FFFFFF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C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MON_1573030033"/>
      <w:bookmarkEnd w:id="0"/>
      <w:r w:rsidR="006C08FF" w:rsidRPr="00FE2A34">
        <w:rPr>
          <w:rFonts w:ascii="Times New Roman" w:hAnsi="Times New Roman" w:cs="Times New Roman"/>
          <w:sz w:val="28"/>
          <w:szCs w:val="28"/>
        </w:rPr>
        <w:object w:dxaOrig="9581" w:dyaOrig="14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707.5pt" o:ole="">
            <v:imagedata r:id="rId14" o:title=""/>
          </v:shape>
          <o:OLEObject Type="Embed" ProgID="Word.Document.12" ShapeID="_x0000_i1025" DrawAspect="Content" ObjectID="_1573293015" r:id="rId15">
            <o:FieldCodes>\s</o:FieldCodes>
          </o:OLEObject>
        </w:object>
      </w:r>
    </w:p>
    <w:sectPr w:rsidR="00560BE7" w:rsidRPr="004C7CA6" w:rsidSect="00170F13">
      <w:headerReference w:type="default" r:id="rId16"/>
      <w:type w:val="continuous"/>
      <w:pgSz w:w="11909" w:h="16838"/>
      <w:pgMar w:top="1194" w:right="732" w:bottom="863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F7" w:rsidRDefault="00DF48F7" w:rsidP="0003532D">
      <w:r>
        <w:separator/>
      </w:r>
    </w:p>
  </w:endnote>
  <w:endnote w:type="continuationSeparator" w:id="0">
    <w:p w:rsidR="00DF48F7" w:rsidRDefault="00DF48F7" w:rsidP="0003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F7" w:rsidRDefault="00DF48F7"/>
  </w:footnote>
  <w:footnote w:type="continuationSeparator" w:id="0">
    <w:p w:rsidR="00DF48F7" w:rsidRDefault="00DF48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326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0F13" w:rsidRDefault="00170F13">
        <w:pPr>
          <w:pStyle w:val="a8"/>
          <w:jc w:val="center"/>
        </w:pPr>
      </w:p>
      <w:p w:rsidR="007F1C34" w:rsidRDefault="007F1C34">
        <w:pPr>
          <w:pStyle w:val="a8"/>
          <w:jc w:val="center"/>
          <w:rPr>
            <w:rFonts w:ascii="Times New Roman" w:hAnsi="Times New Roman" w:cs="Times New Roman"/>
          </w:rPr>
        </w:pPr>
      </w:p>
      <w:p w:rsidR="00170F13" w:rsidRPr="007F1C34" w:rsidRDefault="007F080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1C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0F13" w:rsidRPr="007F1C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1C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03F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F1C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532D" w:rsidRDefault="0003532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342"/>
    <w:multiLevelType w:val="multilevel"/>
    <w:tmpl w:val="8C94B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133AF"/>
    <w:multiLevelType w:val="multilevel"/>
    <w:tmpl w:val="F71EE62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3532D"/>
    <w:rsid w:val="000143DD"/>
    <w:rsid w:val="0003532D"/>
    <w:rsid w:val="000D1726"/>
    <w:rsid w:val="001278F7"/>
    <w:rsid w:val="00170F13"/>
    <w:rsid w:val="002E03FD"/>
    <w:rsid w:val="002F3038"/>
    <w:rsid w:val="0030077F"/>
    <w:rsid w:val="00363AA8"/>
    <w:rsid w:val="003B7EC3"/>
    <w:rsid w:val="00433FEE"/>
    <w:rsid w:val="00450DC7"/>
    <w:rsid w:val="00557FD5"/>
    <w:rsid w:val="00560BE7"/>
    <w:rsid w:val="006177F3"/>
    <w:rsid w:val="006C08FF"/>
    <w:rsid w:val="007206D9"/>
    <w:rsid w:val="007F0808"/>
    <w:rsid w:val="007F1C34"/>
    <w:rsid w:val="00874122"/>
    <w:rsid w:val="008A2602"/>
    <w:rsid w:val="008B1448"/>
    <w:rsid w:val="009158BA"/>
    <w:rsid w:val="00A3173D"/>
    <w:rsid w:val="00AB31A5"/>
    <w:rsid w:val="00B16686"/>
    <w:rsid w:val="00B26467"/>
    <w:rsid w:val="00BC20D3"/>
    <w:rsid w:val="00C23585"/>
    <w:rsid w:val="00D73C86"/>
    <w:rsid w:val="00DE499E"/>
    <w:rsid w:val="00DF48F7"/>
    <w:rsid w:val="00E26199"/>
    <w:rsid w:val="00EE79A1"/>
    <w:rsid w:val="00F03552"/>
    <w:rsid w:val="00F225AB"/>
    <w:rsid w:val="00F574D5"/>
    <w:rsid w:val="00FE2A34"/>
    <w:rsid w:val="00FE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3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32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35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35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0353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03532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7pt">
    <w:name w:val="Основной текст (2) + 17 pt;Курсив"/>
    <w:basedOn w:val="2"/>
    <w:rsid w:val="0003532D"/>
    <w:rPr>
      <w:i/>
      <w:iCs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35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Основной текст_"/>
    <w:basedOn w:val="a0"/>
    <w:link w:val="1"/>
    <w:rsid w:val="00035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Основной текст + 14 pt"/>
    <w:basedOn w:val="a7"/>
    <w:rsid w:val="0003532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35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2pt">
    <w:name w:val="Колонтитул + 12 pt"/>
    <w:basedOn w:val="a4"/>
    <w:rsid w:val="0003532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532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0353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03532D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Основной текст1"/>
    <w:basedOn w:val="a"/>
    <w:link w:val="a7"/>
    <w:rsid w:val="0003532D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03532D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0D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0DC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50D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0DC7"/>
    <w:rPr>
      <w:color w:val="000000"/>
    </w:rPr>
  </w:style>
  <w:style w:type="paragraph" w:customStyle="1" w:styleId="22">
    <w:name w:val="Основной текст2"/>
    <w:basedOn w:val="a"/>
    <w:rsid w:val="00560BE7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character" w:styleId="ac">
    <w:name w:val="Strong"/>
    <w:basedOn w:val="a0"/>
    <w:uiPriority w:val="22"/>
    <w:qFormat/>
    <w:rsid w:val="00560BE7"/>
    <w:rPr>
      <w:b/>
      <w:bCs/>
    </w:rPr>
  </w:style>
  <w:style w:type="character" w:customStyle="1" w:styleId="ad">
    <w:name w:val="Подпись к таблице_"/>
    <w:basedOn w:val="a0"/>
    <w:link w:val="ae"/>
    <w:rsid w:val="002F30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F30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15pt">
    <w:name w:val="Основной текст + 11;5 pt;Полужирный"/>
    <w:basedOn w:val="a7"/>
    <w:rsid w:val="002F303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7"/>
    <w:rsid w:val="002F3038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f">
    <w:name w:val="Table Grid"/>
    <w:basedOn w:val="a1"/>
    <w:uiPriority w:val="59"/>
    <w:rsid w:val="002F303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1">
    <w:name w:val="Основной текст + 11;5 pt;Не полужирный"/>
    <w:basedOn w:val="a7"/>
    <w:rsid w:val="002F303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0">
    <w:name w:val="Body Text"/>
    <w:basedOn w:val="a"/>
    <w:link w:val="af1"/>
    <w:uiPriority w:val="99"/>
    <w:semiHidden/>
    <w:unhideWhenUsed/>
    <w:rsid w:val="00A3173D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3173D"/>
    <w:rPr>
      <w:rFonts w:ascii="Calibri" w:eastAsia="Times New Roman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32F86A2F735799D3D2BBDD6F4207EA4F6C036590F16A6DF22790FC47A3DEFC4F0AE11F5B501E6cFr3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32F86A2F735799D3D2BBDD6F4207EA4F6C036590F16A6DF22790FC47A3DEFC4F0AE11F5B500E0cFr7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432F86A2F735799D3D2BBDD6F4207EA4F6C036590F16A6DF22790FC47A3DEFC4F0AE11F5B500E4cFr0K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_________Microsoft_Office_Word1.docx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5FEE305B76746C49BC2274519BA50FB4" ma:contentTypeVersion="0" ma:contentTypeDescription="Создание вики-страницы." ma:contentTypeScope="" ma:versionID="4c9cbaf838989f10ff421171e10923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81337f8e3424358b645926d534c4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Wiki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BD85D-46D4-477A-816D-F618AB20E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7D9E72-7F13-4862-9B1F-0EEBB843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231C1-CAE8-4EF3-99E1-57D8111AD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7DE5B-2686-4FE3-8228-BC71A01A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ЦИТиС</Company>
  <LinksUpToDate>false</LinksUpToDate>
  <CharactersWithSpaces>30914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odudkin</dc:creator>
  <cp:lastModifiedBy>KamilovaTD</cp:lastModifiedBy>
  <cp:revision>14</cp:revision>
  <cp:lastPrinted>2017-11-27T09:57:00Z</cp:lastPrinted>
  <dcterms:created xsi:type="dcterms:W3CDTF">2017-11-23T12:58:00Z</dcterms:created>
  <dcterms:modified xsi:type="dcterms:W3CDTF">2017-11-27T09:59:00Z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0x010108005FEE305B76746C49BC2274519BA50FB4</vt:lpwstr>
  </property>
</Properties>
</file>