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D" w:rsidRDefault="005C1F5F" w:rsidP="00B37615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 xml:space="preserve">Материалы, вынесенные на </w:t>
      </w:r>
      <w:r w:rsidRPr="00B37615">
        <w:rPr>
          <w:bCs/>
          <w:iCs/>
          <w:sz w:val="20"/>
          <w:szCs w:val="20"/>
        </w:rPr>
        <w:t>заседание Совета по Этике №</w:t>
      </w:r>
      <w:r w:rsidR="00001F18">
        <w:rPr>
          <w:bCs/>
          <w:iCs/>
          <w:sz w:val="20"/>
          <w:szCs w:val="20"/>
        </w:rPr>
        <w:t xml:space="preserve"> </w:t>
      </w:r>
      <w:r w:rsidR="00755181">
        <w:rPr>
          <w:bCs/>
          <w:iCs/>
          <w:sz w:val="20"/>
          <w:szCs w:val="20"/>
        </w:rPr>
        <w:t>1</w:t>
      </w:r>
      <w:r w:rsidR="006A1058">
        <w:rPr>
          <w:bCs/>
          <w:iCs/>
          <w:sz w:val="20"/>
          <w:szCs w:val="20"/>
        </w:rPr>
        <w:t>4</w:t>
      </w:r>
      <w:r w:rsidR="007226BA">
        <w:rPr>
          <w:bCs/>
          <w:iCs/>
          <w:sz w:val="20"/>
          <w:szCs w:val="20"/>
        </w:rPr>
        <w:t>9</w:t>
      </w:r>
      <w:r w:rsidR="00A51CB3">
        <w:rPr>
          <w:bCs/>
          <w:iCs/>
          <w:sz w:val="20"/>
          <w:szCs w:val="20"/>
        </w:rPr>
        <w:t xml:space="preserve"> </w:t>
      </w:r>
      <w:r w:rsidR="002D42F3">
        <w:rPr>
          <w:bCs/>
          <w:iCs/>
          <w:sz w:val="20"/>
          <w:szCs w:val="20"/>
        </w:rPr>
        <w:t xml:space="preserve">от </w:t>
      </w:r>
      <w:r w:rsidR="007226BA">
        <w:rPr>
          <w:bCs/>
          <w:iCs/>
          <w:sz w:val="20"/>
          <w:szCs w:val="20"/>
        </w:rPr>
        <w:t>13</w:t>
      </w:r>
      <w:r w:rsidR="002D42F3">
        <w:rPr>
          <w:bCs/>
          <w:iCs/>
          <w:sz w:val="20"/>
          <w:szCs w:val="20"/>
        </w:rPr>
        <w:t>.</w:t>
      </w:r>
      <w:r w:rsidR="006A1058">
        <w:rPr>
          <w:bCs/>
          <w:iCs/>
          <w:sz w:val="20"/>
          <w:szCs w:val="20"/>
        </w:rPr>
        <w:t>0</w:t>
      </w:r>
      <w:r w:rsidR="007226BA">
        <w:rPr>
          <w:bCs/>
          <w:iCs/>
          <w:sz w:val="20"/>
          <w:szCs w:val="20"/>
        </w:rPr>
        <w:t>6</w:t>
      </w:r>
      <w:r w:rsidR="00473A7A">
        <w:rPr>
          <w:bCs/>
          <w:iCs/>
          <w:sz w:val="20"/>
          <w:szCs w:val="20"/>
        </w:rPr>
        <w:t>.201</w:t>
      </w:r>
      <w:r w:rsidR="006A1058">
        <w:rPr>
          <w:bCs/>
          <w:iCs/>
          <w:sz w:val="20"/>
          <w:szCs w:val="20"/>
        </w:rPr>
        <w:t>7</w:t>
      </w:r>
      <w:r w:rsidR="00D46CD3">
        <w:rPr>
          <w:bCs/>
          <w:iCs/>
          <w:sz w:val="20"/>
          <w:szCs w:val="20"/>
        </w:rPr>
        <w:t xml:space="preserve"> г</w:t>
      </w:r>
      <w:r w:rsidR="00FB31BD" w:rsidRPr="00FB31BD">
        <w:rPr>
          <w:bCs/>
          <w:iCs/>
          <w:sz w:val="20"/>
          <w:szCs w:val="20"/>
        </w:rPr>
        <w:t>.</w:t>
      </w:r>
    </w:p>
    <w:p w:rsidR="00537A5B" w:rsidRDefault="00537A5B" w:rsidP="00B37615">
      <w:pPr>
        <w:jc w:val="both"/>
        <w:rPr>
          <w:bCs/>
          <w:iCs/>
          <w:sz w:val="20"/>
          <w:szCs w:val="20"/>
        </w:rPr>
      </w:pPr>
    </w:p>
    <w:tbl>
      <w:tblPr>
        <w:tblpPr w:leftFromText="180" w:rightFromText="180" w:vertAnchor="text" w:horzAnchor="margin" w:tblpX="-352" w:tblpY="19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7"/>
        <w:gridCol w:w="1276"/>
        <w:gridCol w:w="1984"/>
        <w:gridCol w:w="1560"/>
        <w:gridCol w:w="1417"/>
        <w:gridCol w:w="4536"/>
        <w:gridCol w:w="1843"/>
      </w:tblGrid>
      <w:tr w:rsidR="003F1B76" w:rsidRPr="00537A5B" w:rsidTr="00850E53">
        <w:trPr>
          <w:trHeight w:val="988"/>
        </w:trPr>
        <w:tc>
          <w:tcPr>
            <w:tcW w:w="534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</w:t>
            </w:r>
            <w:r w:rsidRPr="00957332">
              <w:rPr>
                <w:sz w:val="20"/>
                <w:szCs w:val="20"/>
              </w:rPr>
              <w:t>ний №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№ задания Минздрава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№ протокола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jc w:val="center"/>
              <w:rPr>
                <w:color w:val="000000"/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Предварительное решение</w:t>
            </w:r>
          </w:p>
        </w:tc>
      </w:tr>
      <w:tr w:rsidR="007226BA" w:rsidRPr="00537A5B" w:rsidTr="00850E53">
        <w:trPr>
          <w:trHeight w:val="1966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ЭК-51805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4044172-20-1/ЭС от 12.05.2017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«Новартис Фарма»,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CLCZ696D2302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24-недельное, рандомизированное, двойное слепое, многоцентровое исследование в параллельных группах с активным контролем с целью оценки эффекта препарата LCZ696 в отношении уровня NT-proBNP, клинических проявлений, толерантности к физической нагрузке и безопасности по сравнению с индивидуально подобранной лекарственной терапией сопутствующих заболеваний у пациентов с сердечной недостаточностью и сохраненной фракцией выброса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700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ЭК-51813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4044117-20-1/ЭС от: 12.05.2017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"Ново Нордиск",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NN1218-4113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 безопасность быстродействующего инсулина аспарт в сравнении с препаратом НовоРапид®, применяемых в комбинации с инсулином деглудек и метформином или без метформина у взрослых пациентов с сахарным диабетом 2 типа (onset® 9)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697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4043990-20-1/ЭС от: 11.05.2017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«ЭббВи»,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M16-289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открытое, многоцентровое исследование 3-й фазы по оценке ровалпитузумаба тезирина в сравнении с топотеканом у пациентов с распространенным или метастазирующим мелкоклеточным раком легкого (MPJI) с высокой экспрессией DLL3, у которых наблюдается первое прогрессирование заболевания во время или после получения химиотерапии первой линии на основе платины ТАНОЕ)».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538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ЭК-51816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4044363-20-1/ЭС-П от: 15.05.2017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«Парексель Интернэшнл (РУС)»,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новых версий Информационных листков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CNT0148JIA3003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открытое исследование препарата Голимумаб, представляющего собой человеческие анти-ФНО-а Антитела для внутривенного введения, у пациентов детского возраста с активным полиартикулярным течением ювенильного идиопатического артрита с недостаточным ответом на терапию метотрексатом. Гоу - ВИВ А».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697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ЭК-51823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4-44557-20-1/ЭС-П от 18.05.2017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"Бристол-Майерс Сквибб",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CA209-025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открытое исследование фазы III препарата Ниволумаб (BMS-936558) в сравнении с препаратом Эверолимус у пациентов с распространенным или метастатическим светлоклеточным раком почки, ранее получавших антиангиогенную терапию (CheckMate 025)»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415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ЭК-51824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4044386-20-1/ЭС от 17.05.2017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"ПиЭсАй",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АСТ-128800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AC-058B303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несравнительное исследование понесимода при длительном применении в дозе 20 мг с целью оценки его безопасности, переносимости и способности контролировать течение рецидивирующего рассеянного склероза (продолжение исследования AC-058B301)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974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ЭК-51825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4044757-20-1/ЭС-П от 19.05.2017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"Квинтайлс ГезмбХ", Австрия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TMC207-C211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несравнительное исследование фазы 2 для оценки фармакокинетики, безопасности, переносимости и антимикобактериальной активности препарата TMC207 при применении в комбинации с фоновой схемой (ФС) препаратов для лечения туберкулеза с множественной лекарственной устойчивостью (ТБ-МЛУ) для лечения подростков в возрасте от ≥ 12 до &lt; 18 лет с подтвержденным или вероятным легочным ТБ-МЛУ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2967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ЭК-51826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4044673-20-1/ЭС от 19.05.2017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"ФармЭрудит",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Кеторолак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КИ-0001-2017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сравнительное рандомизированное исследование в параллельных группах эффективности и безопасности препарата «КЕТОРОЛАК, спрей назальный» (ОАО «МОСХИМФАРМПРЕПАРАТЫ» ИМ. Н.А. СЕМАШКО») в сравнении с препаратом КЕТОРОЛАК, раствор для внутримышечного введения 30 мг/мл (ОАО «МОСХИМФАРМПРЕПАРАТЫ» ИМ. Н.А. СЕМАШКО») при болевых синдромах травматического происхождения для установления его безопасности и эффективности, 3 фаза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413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ЭК-51827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4044502-20-1/ЭС от 18.05.2017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«ФармФирма «Сотекс»,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KI/1216-1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«Двойное слепое плацебо-контролируемое рандомизированное исследование эффективности и безопасности препарата Хондрогард®, раствор для внутримышечного введения, 100 мг/мл (ЗАО «ФармФирма «Сотекс», Россия) у пациентов с гонартрозом».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2122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ЭК-51828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4044537-20-1/ЭС от 18.05.2017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«Бристол-Майерс Сквибб»,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СА209-908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«Клиническое исследование Ib/II фазы по оценке ниволумаба в режиме монотерапии и ниволумаба в комбинации с ипилимумабом у пациентов детского возраста с низкодифференцированными первичными злокачественными опухолями центральной нервной системы. (CheckMate 908: контрольная точка сигнального пути и оценка ниволумаба в рамках клинического исследования 908)».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117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ЭК-51829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4044366-20-1/ЭС от 16.05.2017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«Парексель Интернэшнл (РУС)»,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STR001-202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«Мультицентровое, двойное слепое, плацебо контролируемое фазы III исследование оценки безопасности и эффективности при получении STR001 у взрослых с острой нейросенсорной тугоухостью».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109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4044355-20-1/ЭС-П от: 18.05.2017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"Акцельсиорс",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СР-4-004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"Исследование безопасности и поиск оптимальной дозы, при применении различных дозовых уровней MOD-4023 в сравнении с ежедневной терапией р-чГР у препубертатных детей с дефицитом гормона роста."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955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ЭК-51831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4045045-20-1ЭС-П от 22.05.2017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ГезмбХ», Австрия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К-877-302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«Применение пемафибрата с целью снижения количества осложнений сердечно-сосудистых заболеваний путем снижения уровня триглицеридов у пациентов с диабетом».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833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ЭК-51832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4043570-20-1/ЭС-П от 17.05.2017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«АстраЗенека Фармасьютикалз»,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D419BC00001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Международное многоцентровое открытое рандомизированное контролируемое исследование III фазы монотерапии препаратом MEDI4736 и терапии препаратом MEDI4736 в комбинации с Тремелимумабом в сравнении со стандартной химиотерапией у пациентов в первой линии с неоперабельным уротелиальным раком IV стадии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393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ЭК-51833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4043410-20-1/ЭС-П от 17.05.2017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«Ворлдвайд Клиникал Трайалз»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GNC-003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двойное-слепое плацебо-контролируемое международное исследование IIb фазы по оценке эффективности, безопасности и фармакокинетики препарата GNbAC1 у пациентов с рецидивирующе-ремиттирующим рассеянным склерозом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704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ЭК-51834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4044769-20-1/ЭС от 22.05.2017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«МСД Фармасьютикалс»,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585-00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 клиническое исследование III фазы для изучения применения пембролизумаба (МК-3475) в комбинации с химиотерапией (цисплатин + капецитабин или цисплатин + 5-фторурацил) в сравнении с плацебо в комбинации с химиотерапией (цисплатин + капецитабин или цисплатин + 5-фторурацил) в качестве неоадъювантной/адъювантной терапии у пациентов с аденокарциномой желудка и гастроэзофагеального соединения (ГЭС) (KEYNOTE-585)».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820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ЭК-51835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4044538-20-1/ЭС от: 18.05.2017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«Янссен Фармацевтика НВ» (Бельгия)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CNT01959-PSA-3001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двойное слепое, плацебо-контролируемое исследование фазы 3 для оценки эффективности и безопасности Гуселькумаба, применяемого подкожно, у пациентов с активным течением псориатического артрита, включая пациентов, уже получавших ранее лечение биологическими анти-ФНО препаратами».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967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4044799-20-1/ЭС-П от: 19.05.2017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"МСД Фармасьютикалс",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158-07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158-00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Клиническое исследование предиктивных биомаркеров для терапии пембролизумабом (MK-3475) у пациентов с распространенными солидными опухолями (KEYNOTE 158)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827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ЭК-51837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4044377-20-1/ЭС-П от: 18.05.2017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"МСД Фармасьютикалс",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604-03 и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604-01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слепое, плацебо-контролируемое исследование III фазы пембролизумаба (МК-3475/ SCH900475) в комбинации с этопозидом/препаратом платины (цисплатином или карбоплатином), применяемых в качестве первой линии терапии у пациентов с распространенным мелкоклеточным раком легких (KEYNOTE-604)».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405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ЭК-51838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4044331-20-1/ЭС-П от: 17.05.2017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"Амджен" (США)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1 к протоколу, новой версии протокола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20160275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открытое исследование 3 фазы для сравнения схемы карфилзомиб плюс дексаметазон плюс даратумумаб со схемой карфилзомиб плюс дексаметазон для лечения пациентов с рецидивирующей или рефрактерной множественной миеломой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978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4044925-20-1/ЭС-П от: 19.05.2017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"МБ Квест",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1 к протоколу, новой версии протокола,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AC-065A303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AC-065A303 GRIPHON OL «Долгосрочное открытое исследование без контрольной группы для оценки безопасности и переносимости препарата селексипаг (ACT-293987) у пациентов с легочной артериальной гипертензией»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836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4044874-20-1/ЭС-П от: 19.05.2017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"ФармаДиол",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добровольца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КИ-01-2016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исследование фармакокинетики, безопасности и переносимости препарата DD217 - таблетки, покрытые кишечнорастворимой оболочкой, 10 мг, разработанного ООО "ФармаДиол" (г. Москва), производства ФГУП НПЦ "Фармзащита" ФМБА России у здоровых добровольцев при однократном приеме натощак (I фаза)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835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ЭК-51841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4043577-20-1/ЭС-П от: 17.05.2017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"Айкон Холдингс" (Ирландия, г. Москва)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Информационных листков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SPD405-207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исследование, состоящее из 3 частей, с целью оценки фармакокинетики карбоната лантана, для сравнения эффективности, безопасности и переносимости 8-недельного лечения карбонатом лантана и карбонатом кальция с использованием перекрестного дизайна, а также с целью изучения эффективности и безопасности 12-месячного лечения карбонатом лантана детей и подростков с гиперфосфатемией в возрасте от 6 месяцев до &lt;18 лет, страдающих хронической болезнью почек и находящихся на диализе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685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ЭК-51842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4044457-20-1/ЭС-П от: 17.05.2017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"Квинтайлс ГезмбХ"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с включенной поправкой № 3,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PCYC-1130-CA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многоцентровое, открытое исследование фазы 3 по оценке ингибитора тирозинкиназы Брутона ибрутиниба в сочетании с обинутузумабом по сравнению с хлорамбуцилом в сочетании с обинутузумабом у пациентов с нелеченным хроническим лимфоцитарным лейкозом или мелкоклеточной лимфоцитарной лимфомой»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2031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4044875-20-1/ЭС-П от: 19.05.2017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"Д-р Редди'с Лабораторис Лтд." (Индия)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1 к протоколу, новой версии информационного листка добровольца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Pr="007226BA" w:rsidRDefault="007226BA">
            <w:pPr>
              <w:rPr>
                <w:color w:val="000000"/>
                <w:sz w:val="20"/>
                <w:szCs w:val="20"/>
                <w:lang w:val="en-US"/>
              </w:rPr>
            </w:pPr>
            <w:r w:rsidRPr="007226BA">
              <w:rPr>
                <w:color w:val="000000"/>
                <w:sz w:val="20"/>
                <w:szCs w:val="20"/>
                <w:lang w:val="en-US"/>
              </w:rPr>
              <w:t>DRL_RUS/MDR/KCT/2017/PCFT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двухпериодное, двухпоследовательное исследование относительной биодоступности и биоэквивалентности препарата ИБУКЛИН® КОЛД &amp; ФЛЮ («Д-р Редди’с Лабораторис Лтд.», Индия) и Ринза® («Юник Фарм. Лабораторис», Индия), в лекарственной форме таблетки, при однократном приеме здоровыми добровольцами натощак.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2400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ЭК-51844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4044778-20-1/ЭС от 22.05.2017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Московское представительство Акционерного Общества "Эли Лилли Восток С.А." (Швейцария)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LY2835219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I3Y-MC-JPCF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открытое исследование 3 фазы по оценке препарата абемациклиб в комбинации со стандартной адъювантной эндокринной терапией по сравнению с применением только стандартной адъювантной эндокринной терапии у больных раком молочной железы на ранней стадии, с высоким риском развития рецидива, поражением регионарных лимфатических узлов, с положительным статусом гормональных рецепторов и отрицательным статусом рецептора эпидермального фактора роста человека 2-го типа (MonarchE)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413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4044936-20-1/ЭС-П от: 22.05.2017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приложения 4 к протоколу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CAMN107A2303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открытое, многоцентровое исследование III фазы препарата нилотиниб по сравнению с иматинибом у взрослых пациентов с впервые диагностированным хроническим миелолейкозом в хронической фазе, с наличием Филадельфийской хромосомы 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129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ЭК-51846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4044637-20-1/ЭС-П от: 18.05.2017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"Синерджи Ресерч Групп"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FYB201-C2015-01-P3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 безопасность биоподобного ранибизумаба FYB201 в сравнении с препаратом Луцентис у пациентов с неоваскулярной возрастной макулярной дегенерацией (COLUMBUS-AMD).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939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ЭК-51847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4043321-20-1/ЭС-П от: 17.05.2017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"Янссен Фармацевтика НВ" (Бельгия),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56022473AML2002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исследование II/III фазы по оценке применения препарата Дакоген (Децитабин) в сочетании с препаратом JNJ-56022473 (анти-CD123) в сравнении с монотерапией препаратом Дакоген (Децитабин) у пациентов с острым миелоидным лейкозом, которым не может быть проведена интенсивная химиотерапия»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273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ЭК-51848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4044602-20-1/ЭС-П от: 18.05.2017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"Медпейс",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ISIS 304801-CS17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двойное слепое плацебо-контролируемое исследование фазы 2/3 подкожного применения препарата ISIS 304801 у пациентов с парциальной липодистрофией.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830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ЭК-51849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4044696-20-1/ЭС-П от: 19.05.2017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"ГлаксоСмитКляйн Трейдинг",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200304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открытое исследование Фазы 3b противовирусной активности и безопасности долутегравира по сравнению с лопинавиром/ритонавиром, назначаемых совместно с двумя нуклеозидными ингибиторами обратной транскриптазы у ВИЧ-1 инфицированных взрослых с неэффективностью терапии первой линии».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118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4044652-20-1/ЭС-П от: 17.05.2017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Квинтайлс ГезмбХ,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DU176b-C-E314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«Оценка применения эдоксабана у пациентов с неклапанной фибрилляцией предсердий (НКФП) и высоким клиренсом креатинина, ранее не получавших антикоагулирующие препараты»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376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4044518-20-1/ЭС-П от: 18.05.2017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"Айкон Холдингс" (Ирландия),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R475-PN-1523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 исследование 3 фазы для оценки эффективности и долгосрочной безопасности различных доз фасинумаба при применении у пациентов с болью, вызванной остеоартритом коленного или тазобедренного сустава.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838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ЭК-51852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4044988-20-1/ЭС-П от: 22.05.2017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"ЭббВи",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М13-549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 исследование III фазы с целью сравнения препарата ABT-494 с плацебо у пациентов со среднетяжелым или тяжелым активным течением ревматоидного артрита, получающих стандартные базисные противоревматические препараты в стабильной дозе и не достигших адекватного ответа на них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130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ЭК-51853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4044575-20-1/ЭС от: 18.05.2017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"Патент - Фарм",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Орлистат Форте-ЛекТ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ORLY-III-02/17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проспективное, рандомизированное клиническое исследование в параллельных группах по изучению сравнительной эффективности и безопасности препарата Орлистат Форте-ЛекТ, капсулы 120 мг (производитель ОАО «Тюменский химико-фармацевтический завод», Россия») и препарата «Ксеникал»®, капсулы 120 мг, («Рош С.п.А.», Италия) у пациентов с ожирением.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598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ЭК-51854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4044834-20-1/ЭС от: 22.05.2017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"ГЕНЕРИУМ",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INN-HPB-III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проспективное многоцентровое несравнительное клиническое исследование фармакокинетики, эффективности и безопасности препарата Иннонафактор® (АО "ГЕНЕРИУМ", Россия) в двух возрастных когортах у детей в возрасте от 2 до 12 лет с тяжёлой и среднетяжёлой формой гемофилии В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394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ЭК-51855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4045124-20-1/ЭС-П от: 23.05.2017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"МБ Квест",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ALD403-CLIN-011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«Двойное слепое рандомизированное плацебо-контролируемое исследование III фазы с параллельными группами для оценки эффективности и безопасности ALD403 при внутривенном введении пациентам с хронической мигренью»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839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ЭК-51857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4045030-20-1/ЭС от: 24.05.2017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Максигезик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AFT-MX-15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препарата Максигезик при острой зубной боли: многоцентровое, рандомизированное исследование, проводимое в параллельных группах, для сравнения эффективности действия препарата Максигезик и Парацетамола у пациентов с умеренной или сильной болью в результате удаления по крайней мере двух третьих моляров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690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ЭК-51858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4044678-20-1/ЭС от 22.05.2017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"Лиганд ресерч",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PHX 401-14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Эффективность, переносимость и приемлемость спермицидного крема бензалкония хлорида у женщин 40 лет и старше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845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4044604-20-1/ЭС от: 19.05.2017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"Канонфарма продакшн",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Эторикоксиб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«Проспективное, открытое, рандомизированное, перекрестное, сравнительное исследование фармакокинетики и биоэквивалентности лекарственных препаратов Эторикоксиб, таблетки, покрытые пленочной оболочкой 120 мг (ЗАО «Канонфарма продакшн», Россия) и Аркоксиа®, таблетки, покрытые пленочной оболочкой, 120 мг, компании Мерк Шарп и Доум Б.В., Нидерланды у здоровых добровольцев с однократным приемом внутрь натощак»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2254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ЭК-51861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4044833-20-1/ЭС от 23.05.2017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"Технология лекарств",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Доксорубицин наносомальный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NanoBB-1-Dox-CT-02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Международное многоцентровое рандомизированное открытое сравнительное в параллельных группах клиническое исследование эффективности и безопасности лекарственного препарата Доксорубицин наносомальный, лиофилизат для приготовления суспензии для инфузий 25 мг в комплекте с растворителем (ООО «Технология лекарств», Россия) в сравнении с ломустином у пациентов с рецидивирующей глиобластомой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2494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ЭК-51862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4044895-20-1/ЭС от: 23.05.2017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Амлодипин + Валсартан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20042017-AmlValSZ-001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препаратов Амлодипин + Валсартан таблетки, покрытые плёночной оболочкой 10 мг + 160 мг (ЗАО «Северная звезда», Россия) и Эксфорж® таблетки, покрытые плёночной оболочкой 10 мг + 160 мг (производства Новартис Фармасьютика С.А., Испания, владелец регистрационного удостоверения Новартис Фарма А.Г., Швейцария) с участием здоровых добровольцев натощак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2091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ЭК-51863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4044867-20-1/ЭС от: 23.05.2017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«ЭР ЭНД ДИ ФАРМА»,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RDPh_17_02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«Одноцентровое, открытое, рандомизированное, двухпериодное, с двумя последовательными приемами, перекрестное исследование относительной биодоступности и биоэквивалентности препарата Осельтамивир (капсулы, 75 мг, ООО «Изварино Фарма», Россия) в сравнении с препаратом Тамифлю® (капсулы, 75 мг, Ф.Хоффманн-Ля Рош Лтд., Швейцария) при приеме натощак здоровыми добровольцами».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682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ЭК-51864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4045041-20-1/ЭС от 24.05.2017 г.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«Новартис Фарма»,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CPDR001C2101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открытое исследование lb фазы с целью изучения препарата PDR001 в комбинации с двухкомпонентной химиотерапией на основе препарата платины в неселективной по статусу PD-L1 популяции пациентов с метастатическим немелкоклеточным раком легкого».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2263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ЭК-51865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4045154-20-1/ЭС-П от: 23.05.2017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"Янссен Фармацевтика НВ" (Бельгия)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INT-3 к протоколу,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56022473MDS2002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второй фазы для проверки обоснованности концепции, чтобы раздельно оценить активность препаратов талакотузумаб (JNJ-56022473) или даратумумаб у трансфузионно-зависимых пациентов с миелодиспластическим синдромом низкого или промежуточного-1 риска, у которых произошел рецидив, либо развилась резистентность на фоне терапии препаратами, стимулирующими эритропоэз.»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2120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ЭК-51866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4045007-20-1/ЭС от 24.05.2017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"Биокад",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BCD-100-2/DOMINUS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Международное многоцентровое открытое рандомизированное исследование эффективности и безопасности, а также фармакокинетических свойств препарата BCD-100 (ЗАО «БИОКАД», Россия) в монотерапии в сравнении с доцетакселом в качестве второй линии терапии пациентов c распространенным неоперабельным или метастатическим немелкоклеточным раком легкого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684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ЭК-51867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4044578-20-1/ЭС от 18.05.2017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"иФарма",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URI-LYSSPR-01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открытое исследование эффективности и безопасности препарата ЛИЗОБАКТ КОМПЛИТ СПРЕЙ® по сравнению с препаратом Тантум® Верде у пациентов c болью в горле при инфекционно-воспалительных заболеваниях полости рта, глотки и гортани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410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ЭК-51868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4045081-20-1/ЭС-П от 23.05.2017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Контрактно-исследовательская организация ООО «ППД Девелопмент (Смоленск)»,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CD-IA-MEDI-551-1155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Плацебо-контролируемое исследование с двойной маскировкой и периодом открытого лечения, в котором оценивается эффективность и безопасность препарата MEDI-551 у взрослых пациентов с оптиконевромиелитом и расстройствами группы оптиконевромиелита.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969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ЭК-51869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4044891-20-1/ЭС от 23.05.2017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"МБА-групп",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MBA-EVR-BE-01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 открытое рандомизированное перекрестное исследование сравнительной фармакокинетики и биоэквивалентности препаратов Эфавиренз , таблетки, покрытые пленочной оболочкой, 600 мг (ООО «МБА-групп», Россия) и Стокрин, таблетки, покрытые пленочной оболочкой, 600 мг (Мерк Шарп и Доум Б.В., Нидерланды) у здоровых добровольцев натощак.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перенесено на следующее заседание Совета по этике</w:t>
            </w:r>
          </w:p>
        </w:tc>
      </w:tr>
      <w:tr w:rsidR="007226BA" w:rsidRPr="00537A5B" w:rsidTr="00850E53">
        <w:trPr>
          <w:trHeight w:val="1777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4045288-20-1/ЭС от 29.05.2017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"Медицинский Центр Пробиотек",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Абиратерон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11032017-AbiratIzvar-001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проводимое в четыре периода перекрестное исследование сравнительной фармакокинетики и биоэквивалентности препаратов Абиратерон, таблетки 250 мг (ООО «НАНОФАРМА ДЕВЕЛОПМЕНТ», Россия) и Зитига®, таблетки 250 мг (ООО “Джонсон &amp; Джонсон”, Россия) с однократным приемом у здоровых добровольцев-мужчин натощак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753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ЭК-51871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4044136-20-1/ЭС от 25.05.2017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"Корал-Мед",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КМ-082015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 исследование сравнительной фармакокинетики и биоэквивалентности препаратов КЛОПИСИМ, таблетки, покрытые пленочной оболочкой, 75 мг (Симпекс Фарма Пвт. Лтд., Индия) и ПЛАВИКС, таблетки, покрытые пленочной оболочкой, 75 мг (Санофи Винтроп Индустрия, Франция)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537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ЭК-51872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4045597-20-1/ЭС от 30.05.2017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"Московский эндокринный завод",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Морфина гидрохлорид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MRPH-04-17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открытое, рандомизированное исследование в параллельных группах по изучению эффективности, безопасности и фармакокинетики препарата «Морфина гидрохлорид», таблетки пролонгированного действия, покрытые пленочной оболочкой 30 мг (ФГУП «Московский эндокринный завод», Россия) в сравнении с препаратом МСТ континус, таблетки пролонгированного действия покрытые оболочкой 30 мг («Бард Фармасьютикалс Лтд», Великобритания) у онкологических пациентов с хроническим болевым синдромом сильной интенсивности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2385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ЭК-51873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4045349-20-1/ЭС-П от 25.05.2017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@ЯДРАН-ГАЛЕНСКИ ЛАБОРАТОРИЙ а.о.» (Хорватия)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DORZOTIMOL-10/2015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контролируемое, открытое сравнительное исследование эффективности и безопасности препарата Дорзотимол, капли глазные, 20 мг/мл + 5 мг/мл производства ЯДРАН-ГАЛЕНСКИ ЛАБОРАТОРИЙ а.о., Хорватия, в сравнении с препаратом Косопт®, капли глазные, 20 мг/мл+5 мг/мл, производства Лаборатории Мерк Шарп и Доум-Шибре, Франция, у пациентов с офтальмогипертензией и первичной открытоугольной глаукомой».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472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ЭК-51874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4045210-20-1/ЭС-П от 24.05.2017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"Акковион"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603-PG-PSC-191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плацебо-контролируемое долгосрочное исследование препарата "Depigoid Birch 5000" (5000 ДПП/мл) на взрослых и подростках с аллергическим ринитом и/или риноконъюктивитом, с приступами астмы или без таковых (интермиттирующая астма)"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850E53">
        <w:trPr>
          <w:trHeight w:val="1551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ЭК-51875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4044086-20-1/ЭС от 29.05.2017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"ФАРМАПАРК",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EPD/R02-17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двойное слепое рандомизированное сравнительное исследование в параллельных группах эффективности, безопасности и иммуногенности препаратов ЭпоДарба® (ООО "ФАРМАПАРК", Россия; производитель ОАО "Фармстандарт-УфаВИТА", Россия), раствор для инъекций, и Аранесп® (Амджен Европа Б.В., Нидерланды), раствор для инъекций у пациентов с хронической болезнью почек при подкожном пути введения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697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ЭК-51876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4045370-20-1/ЭС-П от 30.05.2017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«Бристол-Майерс Сквибб»,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IM101-291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слепое, плацебо-контролируемое клиническое исследование эффективности и безопасности препарата BMS-188667 (Абатацепт) по сравнению с плацебо на фоне терапии Микофенолата мофетилом (ММФ) и кортикостероидами у пациентов с активным волчаночным нефритом III и IV класса. Фаза 3»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408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ЭК-51877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4045261-20-1/ЭС от: 29.05.2017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«Биокад»,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BCD-058-1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рандомизированное двойное перекрестное исследование биоэквивалентности препаратов BCD-058 (ЗАО «БИОКАД», Россия) и Текфидера® («Биоген Айдек Лимитед», Великобритания) у здоровых добровольцев при пероральном приеме натощак».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826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4045289-20-1/ЭС от: 29.05.2017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"Медицинский Центр Пробиотек",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Леналидомид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17042017-LenaIzvar-001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двухэтапное исследование сравнительной фармакокинетики и биоэквивалентности препаратов Леналидомид капсулы 25 мг (ООО «НАНОФАРМА ДЕВЕЛОПМЕНТ», Россия) и Ревлимид капсулы 25 мг (Селджен Интернешнл Сарл, Швейцария) с участием здоровых добровольцев-мужчин натощак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668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ЭК-51882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4043626-20-1/ЭС от: 25.05.2017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корпорации "Селджен Интернэшнл Холдингз Корпорэйшн" (США)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Дурвалумаб, MEDI4736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MEDI4736-MM-002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многоцентровое исследование 1/2 фазы определения рекомендованной дозы и режима приема Дурвалумаба в комбинации с Леналидомидом или Леналидомидом с дексаметазоном у пациентов с впервые диагностированной множественной миеломой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850E53" w:rsidTr="007226BA">
        <w:trPr>
          <w:trHeight w:val="1139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4045469-20--1/ЭС от 31.05.2017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CBL0137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I137-102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1 фазы СBL0137 для внутривенного введения с эскалацией и подтверждением дозы в расширенных группах у ранее леченных больных злокачественными опухолями системы крови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1255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4045842-20-1/ЭС-П от 02.06.2017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"Фармасьютикал Рисерч Ассошиэйтс СиАйЭс", США, г. Москва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MIT-Es0001-C301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открытое, проводимое в одной группе исследование для оценки эффективности и безопасности комбинированного перорального контрацептива, содержащего 15 мг эстетрола и 3 мг дроспиренона.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7226BA">
        <w:trPr>
          <w:trHeight w:val="562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ЭК-51891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4044378-20-1/ЭС-П от: 18.05.2017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"МСД Фармасьютикалс",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№181-00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открытое клиническое исследование III фазы для изучения монотерапии пембролизумабом по сравнению с монотерапией доцетакселом, паклитакселом или иринотеканом (по выбору врача) у пациентов с распространенной / метастатической аденокарциномой и плоскоклеточным раком пищевода с прогрессированием после стандартной терапии первой линии (KEYNOTE-181)».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7226BA" w:rsidRPr="00537A5B" w:rsidTr="00E7556C">
        <w:trPr>
          <w:trHeight w:val="1974"/>
        </w:trPr>
        <w:tc>
          <w:tcPr>
            <w:tcW w:w="534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ЭК-51895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4044519-20-1/ЭС от: 25.05.2017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"Фирма Евросервис",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Анима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EUS-BPT001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сравнительное многоцентровое исследование эффективности безопасности препаратов Анима, крем для наружного применения (Аджио Фармацевтикалз Лтд., Индия) и БЕПАНТЕН® Плюс, крем для наружного применения («ГП Гренцах Продукционс ГмбХ», Германия) у пациентов с термическими поверхностными ожогами I-II степени по классификации МКБ-10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7226BA" w:rsidRDefault="00722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537A5B" w:rsidRDefault="00537A5B" w:rsidP="00B37615">
      <w:pPr>
        <w:jc w:val="both"/>
        <w:rPr>
          <w:bCs/>
          <w:iCs/>
          <w:sz w:val="20"/>
          <w:szCs w:val="20"/>
        </w:rPr>
      </w:pPr>
    </w:p>
    <w:p w:rsidR="00537A5B" w:rsidRDefault="00537A5B" w:rsidP="00B37615">
      <w:pPr>
        <w:jc w:val="both"/>
        <w:rPr>
          <w:bCs/>
          <w:iCs/>
          <w:sz w:val="20"/>
          <w:szCs w:val="20"/>
        </w:rPr>
      </w:pPr>
    </w:p>
    <w:p w:rsidR="00537A5B" w:rsidRPr="00FB31BD" w:rsidRDefault="00537A5B" w:rsidP="00B37615">
      <w:pPr>
        <w:jc w:val="both"/>
        <w:rPr>
          <w:bCs/>
          <w:iCs/>
          <w:sz w:val="20"/>
          <w:szCs w:val="20"/>
        </w:rPr>
      </w:pPr>
    </w:p>
    <w:p w:rsidR="00FB31BD" w:rsidRPr="00FB31BD" w:rsidRDefault="00FB31BD" w:rsidP="00B37615">
      <w:pPr>
        <w:jc w:val="both"/>
        <w:rPr>
          <w:bCs/>
          <w:iCs/>
          <w:sz w:val="20"/>
          <w:szCs w:val="20"/>
        </w:rPr>
      </w:pPr>
    </w:p>
    <w:p w:rsidR="00FB31BD" w:rsidRPr="00086FA5" w:rsidRDefault="00FB31BD" w:rsidP="00086FA5">
      <w:pPr>
        <w:jc w:val="both"/>
        <w:rPr>
          <w:sz w:val="20"/>
          <w:szCs w:val="20"/>
        </w:rPr>
      </w:pPr>
    </w:p>
    <w:sectPr w:rsidR="00FB31BD" w:rsidRPr="00086FA5" w:rsidSect="000C5A6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5F"/>
    <w:rsid w:val="00001F18"/>
    <w:rsid w:val="00007A5A"/>
    <w:rsid w:val="00011450"/>
    <w:rsid w:val="00053F96"/>
    <w:rsid w:val="00081408"/>
    <w:rsid w:val="00086FA5"/>
    <w:rsid w:val="00087BBE"/>
    <w:rsid w:val="00094193"/>
    <w:rsid w:val="000A546B"/>
    <w:rsid w:val="000B142B"/>
    <w:rsid w:val="000C5A67"/>
    <w:rsid w:val="000C5CEF"/>
    <w:rsid w:val="000D6AC4"/>
    <w:rsid w:val="000F5C20"/>
    <w:rsid w:val="00143E47"/>
    <w:rsid w:val="00163149"/>
    <w:rsid w:val="001705BE"/>
    <w:rsid w:val="001839E9"/>
    <w:rsid w:val="00187576"/>
    <w:rsid w:val="00190A07"/>
    <w:rsid w:val="00190CBF"/>
    <w:rsid w:val="00194BB2"/>
    <w:rsid w:val="001B0A29"/>
    <w:rsid w:val="001C1A9C"/>
    <w:rsid w:val="001E59A5"/>
    <w:rsid w:val="001E7747"/>
    <w:rsid w:val="001F5484"/>
    <w:rsid w:val="00243389"/>
    <w:rsid w:val="00246254"/>
    <w:rsid w:val="002775D8"/>
    <w:rsid w:val="00284D7E"/>
    <w:rsid w:val="0029595E"/>
    <w:rsid w:val="002B05BD"/>
    <w:rsid w:val="002D42F3"/>
    <w:rsid w:val="002D4BC3"/>
    <w:rsid w:val="002D7B8D"/>
    <w:rsid w:val="002E4795"/>
    <w:rsid w:val="002E4F99"/>
    <w:rsid w:val="002E554E"/>
    <w:rsid w:val="002F27D2"/>
    <w:rsid w:val="003229CF"/>
    <w:rsid w:val="0033510B"/>
    <w:rsid w:val="00375EAF"/>
    <w:rsid w:val="00383D8E"/>
    <w:rsid w:val="00386079"/>
    <w:rsid w:val="00390767"/>
    <w:rsid w:val="003A106B"/>
    <w:rsid w:val="003D5A74"/>
    <w:rsid w:val="003F1B76"/>
    <w:rsid w:val="003F29F6"/>
    <w:rsid w:val="004031FE"/>
    <w:rsid w:val="00422B38"/>
    <w:rsid w:val="00423A08"/>
    <w:rsid w:val="0043560B"/>
    <w:rsid w:val="00457B6D"/>
    <w:rsid w:val="00460862"/>
    <w:rsid w:val="00471C8E"/>
    <w:rsid w:val="0047346E"/>
    <w:rsid w:val="00473A7A"/>
    <w:rsid w:val="004846C8"/>
    <w:rsid w:val="00486E4F"/>
    <w:rsid w:val="004B01B9"/>
    <w:rsid w:val="004C5153"/>
    <w:rsid w:val="004D1D8C"/>
    <w:rsid w:val="004D5570"/>
    <w:rsid w:val="004D7A67"/>
    <w:rsid w:val="004E3420"/>
    <w:rsid w:val="004E4E76"/>
    <w:rsid w:val="00516CD0"/>
    <w:rsid w:val="00536D3F"/>
    <w:rsid w:val="00537A5B"/>
    <w:rsid w:val="005A27D6"/>
    <w:rsid w:val="005C07E1"/>
    <w:rsid w:val="005C1F5F"/>
    <w:rsid w:val="005E59B9"/>
    <w:rsid w:val="005F6069"/>
    <w:rsid w:val="006151A7"/>
    <w:rsid w:val="0064788F"/>
    <w:rsid w:val="006A1058"/>
    <w:rsid w:val="006D3EB2"/>
    <w:rsid w:val="006F1066"/>
    <w:rsid w:val="006F51BB"/>
    <w:rsid w:val="007226BA"/>
    <w:rsid w:val="00731D03"/>
    <w:rsid w:val="007338AD"/>
    <w:rsid w:val="00751A2A"/>
    <w:rsid w:val="00755181"/>
    <w:rsid w:val="00756EB5"/>
    <w:rsid w:val="00763951"/>
    <w:rsid w:val="00780E22"/>
    <w:rsid w:val="00783A91"/>
    <w:rsid w:val="007B2390"/>
    <w:rsid w:val="007C1E1A"/>
    <w:rsid w:val="007C1ECD"/>
    <w:rsid w:val="007D12C3"/>
    <w:rsid w:val="007D5DD9"/>
    <w:rsid w:val="007D66B5"/>
    <w:rsid w:val="007F01CD"/>
    <w:rsid w:val="007F58B8"/>
    <w:rsid w:val="008111D8"/>
    <w:rsid w:val="00821753"/>
    <w:rsid w:val="00827F53"/>
    <w:rsid w:val="00835426"/>
    <w:rsid w:val="00835B30"/>
    <w:rsid w:val="00843426"/>
    <w:rsid w:val="00850E53"/>
    <w:rsid w:val="0085497C"/>
    <w:rsid w:val="00877A84"/>
    <w:rsid w:val="008924B1"/>
    <w:rsid w:val="008959A9"/>
    <w:rsid w:val="008B3211"/>
    <w:rsid w:val="009118D2"/>
    <w:rsid w:val="00926700"/>
    <w:rsid w:val="00930237"/>
    <w:rsid w:val="0094186B"/>
    <w:rsid w:val="00944A00"/>
    <w:rsid w:val="00957332"/>
    <w:rsid w:val="00962017"/>
    <w:rsid w:val="00991667"/>
    <w:rsid w:val="00991A46"/>
    <w:rsid w:val="009B5DCB"/>
    <w:rsid w:val="009C2A93"/>
    <w:rsid w:val="009C6FB1"/>
    <w:rsid w:val="009E153A"/>
    <w:rsid w:val="009E4729"/>
    <w:rsid w:val="009F064B"/>
    <w:rsid w:val="009F2FA2"/>
    <w:rsid w:val="009F3D53"/>
    <w:rsid w:val="00A167F6"/>
    <w:rsid w:val="00A25D6A"/>
    <w:rsid w:val="00A408BF"/>
    <w:rsid w:val="00A51CB3"/>
    <w:rsid w:val="00A850E3"/>
    <w:rsid w:val="00A92E78"/>
    <w:rsid w:val="00AA04E3"/>
    <w:rsid w:val="00AA2FB2"/>
    <w:rsid w:val="00AA3529"/>
    <w:rsid w:val="00AC3A88"/>
    <w:rsid w:val="00AD75CC"/>
    <w:rsid w:val="00AD7C95"/>
    <w:rsid w:val="00B10FE8"/>
    <w:rsid w:val="00B37615"/>
    <w:rsid w:val="00B37EC8"/>
    <w:rsid w:val="00B768A6"/>
    <w:rsid w:val="00B93CE8"/>
    <w:rsid w:val="00B9454D"/>
    <w:rsid w:val="00BA4AC0"/>
    <w:rsid w:val="00BA58A1"/>
    <w:rsid w:val="00BB0E8A"/>
    <w:rsid w:val="00BB2984"/>
    <w:rsid w:val="00BC0E00"/>
    <w:rsid w:val="00BE36F5"/>
    <w:rsid w:val="00BF2835"/>
    <w:rsid w:val="00BF4303"/>
    <w:rsid w:val="00C0244C"/>
    <w:rsid w:val="00C03B68"/>
    <w:rsid w:val="00C17A18"/>
    <w:rsid w:val="00C34F03"/>
    <w:rsid w:val="00C45B8E"/>
    <w:rsid w:val="00C66DE8"/>
    <w:rsid w:val="00C73A8B"/>
    <w:rsid w:val="00C74FAA"/>
    <w:rsid w:val="00C761A3"/>
    <w:rsid w:val="00C8305E"/>
    <w:rsid w:val="00C9258D"/>
    <w:rsid w:val="00CA07F9"/>
    <w:rsid w:val="00CA46F4"/>
    <w:rsid w:val="00CC4F11"/>
    <w:rsid w:val="00CC5582"/>
    <w:rsid w:val="00CE0A25"/>
    <w:rsid w:val="00CE72A0"/>
    <w:rsid w:val="00CF08EB"/>
    <w:rsid w:val="00D01A82"/>
    <w:rsid w:val="00D03BD1"/>
    <w:rsid w:val="00D25881"/>
    <w:rsid w:val="00D336AA"/>
    <w:rsid w:val="00D46CD3"/>
    <w:rsid w:val="00D86606"/>
    <w:rsid w:val="00D91FFB"/>
    <w:rsid w:val="00DC15D7"/>
    <w:rsid w:val="00E17665"/>
    <w:rsid w:val="00E33B17"/>
    <w:rsid w:val="00E7556C"/>
    <w:rsid w:val="00E96352"/>
    <w:rsid w:val="00EB3495"/>
    <w:rsid w:val="00ED7516"/>
    <w:rsid w:val="00F14932"/>
    <w:rsid w:val="00F15C71"/>
    <w:rsid w:val="00F17CD1"/>
    <w:rsid w:val="00F22BF3"/>
    <w:rsid w:val="00F30F94"/>
    <w:rsid w:val="00F522D8"/>
    <w:rsid w:val="00F66293"/>
    <w:rsid w:val="00F927C2"/>
    <w:rsid w:val="00F93F51"/>
    <w:rsid w:val="00FA7EAA"/>
    <w:rsid w:val="00FB31BD"/>
    <w:rsid w:val="00FB787E"/>
    <w:rsid w:val="00FC7DC2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rsid w:val="005C1F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C1F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l24">
    <w:name w:val="xl24"/>
    <w:basedOn w:val="a"/>
    <w:rsid w:val="002775D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character" w:styleId="a4">
    <w:name w:val="FollowedHyperlink"/>
    <w:basedOn w:val="a0"/>
    <w:rsid w:val="002D42F3"/>
    <w:rPr>
      <w:color w:val="800080"/>
      <w:u w:val="single"/>
    </w:rPr>
  </w:style>
  <w:style w:type="character" w:styleId="a5">
    <w:name w:val="Hyperlink"/>
    <w:basedOn w:val="a0"/>
    <w:uiPriority w:val="99"/>
    <w:rsid w:val="00001F18"/>
    <w:rPr>
      <w:color w:val="0000FF"/>
      <w:u w:val="single"/>
    </w:rPr>
  </w:style>
  <w:style w:type="character" w:customStyle="1" w:styleId="z-0">
    <w:name w:val="z-Начало формы Знак"/>
    <w:basedOn w:val="a0"/>
    <w:link w:val="z-"/>
    <w:uiPriority w:val="99"/>
    <w:rsid w:val="009E153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E15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D1E33-7D39-411D-80DA-D74731A5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вынесенные на заседание Совета по Этике №11 от 09</vt:lpstr>
    </vt:vector>
  </TitlesOfParts>
  <Company>NCESMP</Company>
  <LinksUpToDate>false</LinksUpToDate>
  <CharactersWithSpaces>29464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вынесенные на заседание Совета по Этике №11 от 09</dc:title>
  <dc:creator>kuznetsovaa</dc:creator>
  <cp:lastModifiedBy>NikolaevaTN</cp:lastModifiedBy>
  <cp:revision>2</cp:revision>
  <cp:lastPrinted>2017-05-24T11:34:00Z</cp:lastPrinted>
  <dcterms:created xsi:type="dcterms:W3CDTF">2017-06-22T12:51:00Z</dcterms:created>
  <dcterms:modified xsi:type="dcterms:W3CDTF">2017-06-22T12:51:00Z</dcterms:modified>
</cp:coreProperties>
</file>