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FF5C80">
        <w:rPr>
          <w:b/>
          <w:sz w:val="44"/>
          <w:szCs w:val="44"/>
        </w:rPr>
        <w:t>1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632EF8" w:rsidRPr="00632EF8">
        <w:rPr>
          <w:b/>
          <w:sz w:val="44"/>
          <w:szCs w:val="44"/>
        </w:rPr>
        <w:t>7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FF5C80" w:rsidRPr="00540461">
        <w:t xml:space="preserve">1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632EF8" w:rsidRPr="00632EF8">
        <w:t>7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FD0AC6" w:rsidRPr="00EA012F">
        <w:t>3</w:t>
      </w:r>
      <w:r w:rsidR="00EA012F" w:rsidRPr="00EA012F">
        <w:t>4</w:t>
      </w:r>
      <w:r w:rsidR="00081A35" w:rsidRPr="00EA012F">
        <w:t>,</w:t>
      </w:r>
      <w:r w:rsidR="00EA012F" w:rsidRPr="00EA012F">
        <w:t>8</w:t>
      </w:r>
      <w:r w:rsidR="00297E0D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                               </w:t>
      </w:r>
      <w:r w:rsidR="00081A35" w:rsidRPr="00EA012F">
        <w:t xml:space="preserve"> 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081A35" w:rsidRPr="00EA012F">
        <w:t>201</w:t>
      </w:r>
      <w:r w:rsidR="00632EF8" w:rsidRPr="00EA012F">
        <w:t>6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081A35" w:rsidRPr="00EA012F">
        <w:t xml:space="preserve">- </w:t>
      </w:r>
      <w:r w:rsidR="00632EF8" w:rsidRPr="00EA012F">
        <w:t>30511</w:t>
      </w:r>
      <w:r w:rsidR="00081A35" w:rsidRPr="00EA012F">
        <w:t xml:space="preserve"> 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>контрол</w:t>
      </w:r>
      <w:r w:rsidRPr="00EA012F">
        <w:t>ь</w:t>
      </w:r>
      <w:r w:rsidRPr="00EA012F">
        <w:t xml:space="preserve">ных – </w:t>
      </w:r>
      <w:r w:rsidR="00EA012F" w:rsidRPr="00EA012F">
        <w:t>486</w:t>
      </w:r>
      <w:r w:rsidR="00081A35" w:rsidRPr="00EA012F">
        <w:t xml:space="preserve"> </w:t>
      </w:r>
      <w:r w:rsidRPr="00EA012F">
        <w:t>обращений.</w:t>
      </w:r>
      <w:r w:rsidR="00297E0D">
        <w:t xml:space="preserve">  </w:t>
      </w:r>
      <w:r w:rsidR="00081A35" w:rsidRPr="00EA012F">
        <w:t>Отмечается</w:t>
      </w:r>
      <w:r w:rsidR="00F119E0" w:rsidRPr="00EA012F">
        <w:t xml:space="preserve"> продолжающаяся </w:t>
      </w:r>
      <w:r w:rsidR="00081A35" w:rsidRPr="00EA012F">
        <w:t>тенденция к увелич</w:t>
      </w:r>
      <w:r w:rsidR="00081A35" w:rsidRPr="00EA012F">
        <w:t>е</w:t>
      </w:r>
      <w:r w:rsidR="00081A35" w:rsidRPr="00EA012F">
        <w:t xml:space="preserve">нию  </w:t>
      </w:r>
      <w:r w:rsidR="00297E0D">
        <w:t xml:space="preserve">                   </w:t>
      </w:r>
      <w:r w:rsidR="00081A35" w:rsidRPr="00EA012F">
        <w:t>(в 1,</w:t>
      </w:r>
      <w:r w:rsidR="00EA012F" w:rsidRPr="00EA012F">
        <w:t>1</w:t>
      </w:r>
      <w:r w:rsidR="00081A35" w:rsidRPr="00EA012F">
        <w:t xml:space="preserve"> раза)</w:t>
      </w:r>
      <w:r w:rsidR="00081A35" w:rsidRPr="00540461">
        <w:t xml:space="preserve"> количества поступивших </w:t>
      </w:r>
      <w:r w:rsidR="00F70125" w:rsidRPr="00540461">
        <w:t xml:space="preserve"> </w:t>
      </w:r>
      <w:r w:rsidR="00081A35" w:rsidRPr="00540461">
        <w:t xml:space="preserve">обращений граждан  за рассматриваемый период по сравнению </w:t>
      </w:r>
      <w:r w:rsidR="00297E0D">
        <w:t xml:space="preserve"> </w:t>
      </w:r>
      <w:r w:rsidR="00081A35" w:rsidRPr="00540461">
        <w:t xml:space="preserve">с 1 </w:t>
      </w:r>
      <w:r w:rsidR="00F119E0" w:rsidRPr="00540461">
        <w:t>кварталом</w:t>
      </w:r>
      <w:r w:rsidR="00081A35" w:rsidRPr="00540461">
        <w:t xml:space="preserve"> </w:t>
      </w:r>
      <w:r w:rsidR="00C465A3" w:rsidRPr="00540461">
        <w:t xml:space="preserve">предыдущего </w:t>
      </w:r>
      <w:r w:rsidR="00081A35" w:rsidRPr="00540461">
        <w:t>г</w:t>
      </w:r>
      <w:r w:rsidR="00081A35" w:rsidRPr="00540461">
        <w:t>о</w:t>
      </w:r>
      <w:r w:rsidR="00081A35" w:rsidRPr="00540461">
        <w:t>да.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EA012F" w:rsidRDefault="00725E2D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</w:rPr>
              <w:t>2</w:t>
            </w:r>
            <w:r w:rsidR="00EA012F" w:rsidRPr="00EA012F">
              <w:rPr>
                <w:sz w:val="28"/>
                <w:szCs w:val="28"/>
                <w:lang w:val="en-US"/>
              </w:rPr>
              <w:t>9239</w:t>
            </w:r>
          </w:p>
        </w:tc>
        <w:tc>
          <w:tcPr>
            <w:tcW w:w="1182" w:type="dxa"/>
          </w:tcPr>
          <w:p w:rsidR="001E2B3E" w:rsidRPr="00EA012F" w:rsidRDefault="00EA012F" w:rsidP="00953607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</w:rPr>
              <w:t>8</w:t>
            </w:r>
            <w:r w:rsidR="00953607">
              <w:rPr>
                <w:sz w:val="28"/>
                <w:szCs w:val="28"/>
                <w:lang w:val="en-US"/>
              </w:rPr>
              <w:t>3</w:t>
            </w:r>
            <w:r w:rsidR="00394B7D" w:rsidRPr="005404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EA012F" w:rsidRDefault="00725E2D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</w:rPr>
              <w:t>45</w:t>
            </w:r>
            <w:r w:rsidR="00EA012F" w:rsidRPr="00EA012F">
              <w:rPr>
                <w:sz w:val="28"/>
                <w:szCs w:val="28"/>
                <w:lang w:val="en-US"/>
              </w:rPr>
              <w:t>9</w:t>
            </w:r>
          </w:p>
          <w:p w:rsidR="001E2B3E" w:rsidRPr="00EA012F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EA012F" w:rsidRDefault="00EA012F" w:rsidP="00290E43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  <w:lang w:val="en-US"/>
              </w:rPr>
              <w:t>2941</w:t>
            </w:r>
          </w:p>
        </w:tc>
        <w:tc>
          <w:tcPr>
            <w:tcW w:w="1182" w:type="dxa"/>
          </w:tcPr>
          <w:p w:rsidR="001E2B3E" w:rsidRPr="00EA012F" w:rsidRDefault="00EA012F" w:rsidP="00953607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540461" w:rsidRPr="00540461">
              <w:rPr>
                <w:sz w:val="28"/>
                <w:szCs w:val="28"/>
              </w:rPr>
              <w:t>,</w:t>
            </w:r>
            <w:r w:rsidR="00953607">
              <w:rPr>
                <w:sz w:val="28"/>
                <w:szCs w:val="28"/>
                <w:lang w:val="en-US"/>
              </w:rPr>
              <w:t>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EA012F" w:rsidRDefault="00EA012F" w:rsidP="001E2B3E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  <w:lang w:val="en-US"/>
              </w:rPr>
              <w:t>563</w:t>
            </w:r>
          </w:p>
        </w:tc>
        <w:tc>
          <w:tcPr>
            <w:tcW w:w="1182" w:type="dxa"/>
          </w:tcPr>
          <w:p w:rsidR="001E2B3E" w:rsidRPr="00953607" w:rsidRDefault="00540461" w:rsidP="00953607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540461">
              <w:rPr>
                <w:sz w:val="28"/>
                <w:szCs w:val="28"/>
              </w:rPr>
              <w:t>1</w:t>
            </w:r>
            <w:r w:rsidR="00D20291" w:rsidRPr="00540461">
              <w:rPr>
                <w:sz w:val="28"/>
                <w:szCs w:val="28"/>
              </w:rPr>
              <w:t>,</w:t>
            </w:r>
            <w:r w:rsidR="00953607">
              <w:rPr>
                <w:sz w:val="28"/>
                <w:szCs w:val="28"/>
                <w:lang w:val="en-US"/>
              </w:rPr>
              <w:t>6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EA012F" w:rsidRDefault="00540461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</w:rPr>
              <w:t>1</w:t>
            </w:r>
            <w:r w:rsidR="00EA012F" w:rsidRPr="00EA012F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182" w:type="dxa"/>
          </w:tcPr>
          <w:p w:rsidR="001E2B3E" w:rsidRPr="00953607" w:rsidRDefault="00953607" w:rsidP="00953607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394B7D" w:rsidRPr="0054046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EA012F" w:rsidRDefault="00C465A3" w:rsidP="00EA012F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EA012F">
              <w:rPr>
                <w:sz w:val="28"/>
                <w:szCs w:val="28"/>
              </w:rPr>
              <w:t>25</w:t>
            </w:r>
            <w:r w:rsidR="00EA012F" w:rsidRPr="00EA012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82" w:type="dxa"/>
          </w:tcPr>
          <w:p w:rsidR="001E2B3E" w:rsidRPr="00953607" w:rsidRDefault="00394B7D" w:rsidP="00953607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 w:rsidRPr="00540461">
              <w:rPr>
                <w:sz w:val="28"/>
                <w:szCs w:val="28"/>
              </w:rPr>
              <w:t>0,</w:t>
            </w:r>
            <w:r w:rsidR="00953607">
              <w:rPr>
                <w:sz w:val="28"/>
                <w:szCs w:val="28"/>
                <w:lang w:val="en-US"/>
              </w:rPr>
              <w:t>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EA012F" w:rsidRDefault="00C465A3" w:rsidP="00EA012F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EA012F">
              <w:rPr>
                <w:sz w:val="28"/>
                <w:szCs w:val="28"/>
              </w:rPr>
              <w:t>3</w:t>
            </w:r>
            <w:r w:rsidR="00EA012F" w:rsidRPr="00EA012F">
              <w:rPr>
                <w:sz w:val="28"/>
                <w:szCs w:val="28"/>
                <w:lang w:val="en-US"/>
              </w:rPr>
              <w:t>4848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53607" w:rsidRPr="0015172F">
        <w:rPr>
          <w:sz w:val="28"/>
          <w:szCs w:val="28"/>
        </w:rPr>
        <w:t>21</w:t>
      </w:r>
      <w:r w:rsidR="00761742" w:rsidRPr="0015172F">
        <w:rPr>
          <w:sz w:val="28"/>
          <w:szCs w:val="28"/>
        </w:rPr>
        <w:t>,</w:t>
      </w:r>
      <w:r w:rsidR="00953607" w:rsidRPr="0015172F">
        <w:rPr>
          <w:sz w:val="28"/>
          <w:szCs w:val="28"/>
        </w:rPr>
        <w:t>8</w:t>
      </w:r>
      <w:r w:rsidR="00953607" w:rsidRPr="00953607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тыс.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>первом квартале</w:t>
      </w:r>
      <w:r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</w:t>
      </w:r>
      <w:r w:rsidR="006860C8">
        <w:rPr>
          <w:sz w:val="28"/>
          <w:szCs w:val="28"/>
        </w:rPr>
        <w:t>ч</w:t>
      </w:r>
      <w:r w:rsidR="006860C8">
        <w:rPr>
          <w:sz w:val="28"/>
          <w:szCs w:val="28"/>
        </w:rPr>
        <w:t>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t> 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 w:rsidR="00F119E0">
        <w:rPr>
          <w:sz w:val="28"/>
          <w:szCs w:val="28"/>
        </w:rPr>
        <w:t>ной</w:t>
      </w:r>
      <w:r w:rsidR="00053923">
        <w:rPr>
          <w:sz w:val="28"/>
          <w:szCs w:val="28"/>
        </w:rPr>
        <w:t xml:space="preserve"> линии </w:t>
      </w:r>
      <w:r w:rsidRPr="00D20291">
        <w:rPr>
          <w:sz w:val="28"/>
          <w:szCs w:val="28"/>
        </w:rPr>
        <w:t xml:space="preserve">по вопросам оказания бесплатной медицинской </w:t>
      </w:r>
      <w:r w:rsidR="00297E0D">
        <w:rPr>
          <w:sz w:val="28"/>
          <w:szCs w:val="28"/>
        </w:rPr>
        <w:t xml:space="preserve">               </w:t>
      </w:r>
      <w:r w:rsidRPr="00D20291">
        <w:rPr>
          <w:sz w:val="28"/>
          <w:szCs w:val="28"/>
        </w:rPr>
        <w:t>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B33C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F119E0" w:rsidRPr="00540461">
        <w:rPr>
          <w:sz w:val="28"/>
          <w:szCs w:val="28"/>
        </w:rPr>
        <w:t>января</w:t>
      </w:r>
      <w:r w:rsidRPr="00540461">
        <w:rPr>
          <w:sz w:val="28"/>
          <w:szCs w:val="28"/>
        </w:rPr>
        <w:t xml:space="preserve">  по </w:t>
      </w:r>
      <w:r w:rsidR="00F119E0" w:rsidRPr="00540461">
        <w:rPr>
          <w:sz w:val="28"/>
          <w:szCs w:val="28"/>
        </w:rPr>
        <w:t>март</w:t>
      </w:r>
      <w:r w:rsidRPr="00540461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953607" w:rsidRPr="004F7E36">
        <w:rPr>
          <w:sz w:val="28"/>
          <w:szCs w:val="28"/>
        </w:rPr>
        <w:t>8</w:t>
      </w:r>
      <w:r w:rsidR="00297E0D">
        <w:rPr>
          <w:sz w:val="28"/>
          <w:szCs w:val="28"/>
        </w:rPr>
        <w:t xml:space="preserve">                   </w:t>
      </w:r>
      <w:r w:rsidRPr="00540461">
        <w:rPr>
          <w:sz w:val="28"/>
          <w:szCs w:val="28"/>
        </w:rPr>
        <w:t xml:space="preserve"> обращений граждан, поступивших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proofErr w:type="gramStart"/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</w:t>
      </w:r>
      <w:r w:rsidR="00F70125" w:rsidRPr="00540461">
        <w:rPr>
          <w:sz w:val="28"/>
          <w:szCs w:val="28"/>
        </w:rPr>
        <w:t>о</w:t>
      </w:r>
      <w:r w:rsidR="00F70125" w:rsidRPr="00540461">
        <w:rPr>
          <w:sz w:val="28"/>
          <w:szCs w:val="28"/>
        </w:rPr>
        <w:t>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F70125" w:rsidRPr="00540461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 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</w:t>
      </w:r>
      <w:proofErr w:type="gramEnd"/>
      <w:r w:rsidRPr="00540461">
        <w:rPr>
          <w:sz w:val="28"/>
          <w:szCs w:val="28"/>
        </w:rPr>
        <w:t>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в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FF5C80">
        <w:rPr>
          <w:sz w:val="28"/>
          <w:szCs w:val="28"/>
        </w:rPr>
        <w:t xml:space="preserve">1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01729C">
        <w:rPr>
          <w:sz w:val="28"/>
          <w:szCs w:val="28"/>
        </w:rPr>
        <w:t>7</w:t>
      </w:r>
      <w:r w:rsidR="00632EF8" w:rsidRPr="00632EF8">
        <w:rPr>
          <w:sz w:val="28"/>
          <w:szCs w:val="28"/>
        </w:rPr>
        <w:t>14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01729C">
        <w:rPr>
          <w:sz w:val="28"/>
          <w:szCs w:val="28"/>
        </w:rPr>
        <w:t>3</w:t>
      </w:r>
      <w:r w:rsidR="00861BF6" w:rsidRPr="003F3387">
        <w:rPr>
          <w:sz w:val="28"/>
          <w:szCs w:val="28"/>
        </w:rPr>
        <w:t xml:space="preserve"> </w:t>
      </w:r>
      <w:r w:rsidR="000155FC" w:rsidRPr="003F3387">
        <w:rPr>
          <w:sz w:val="28"/>
          <w:szCs w:val="28"/>
        </w:rPr>
        <w:t>мес</w:t>
      </w:r>
      <w:r w:rsidR="00B33CB0">
        <w:rPr>
          <w:sz w:val="28"/>
          <w:szCs w:val="28"/>
        </w:rPr>
        <w:t>яца</w:t>
      </w:r>
      <w:r w:rsidR="00861BF6"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6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632EF8" w:rsidRPr="00632EF8">
        <w:rPr>
          <w:sz w:val="28"/>
          <w:szCs w:val="28"/>
        </w:rPr>
        <w:t>708</w:t>
      </w:r>
      <w:r w:rsidR="00B33CB0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              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297E0D">
        <w:rPr>
          <w:sz w:val="28"/>
          <w:szCs w:val="28"/>
        </w:rPr>
        <w:t xml:space="preserve">                 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01729C">
        <w:rPr>
          <w:sz w:val="28"/>
          <w:szCs w:val="28"/>
        </w:rPr>
        <w:t>458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 ходе личн</w:t>
      </w:r>
      <w:r w:rsidRPr="003F3387">
        <w:rPr>
          <w:sz w:val="28"/>
          <w:szCs w:val="28"/>
        </w:rPr>
        <w:t>о</w:t>
      </w:r>
      <w:r w:rsidRPr="003F3387">
        <w:rPr>
          <w:sz w:val="28"/>
          <w:szCs w:val="28"/>
        </w:rPr>
        <w:t xml:space="preserve">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(Пр</w:t>
      </w:r>
      <w:r w:rsidRPr="00B63093">
        <w:rPr>
          <w:sz w:val="28"/>
          <w:szCs w:val="28"/>
        </w:rPr>
        <w:t>и</w:t>
      </w:r>
      <w:r w:rsidRPr="00B63093">
        <w:rPr>
          <w:sz w:val="28"/>
          <w:szCs w:val="28"/>
        </w:rPr>
        <w:t xml:space="preserve">каз Минздрава России от </w:t>
      </w:r>
      <w:r w:rsidR="007D63BD">
        <w:rPr>
          <w:sz w:val="28"/>
          <w:szCs w:val="28"/>
        </w:rPr>
        <w:t>3</w:t>
      </w:r>
      <w:r w:rsidR="0001729C">
        <w:rPr>
          <w:sz w:val="28"/>
          <w:szCs w:val="28"/>
        </w:rPr>
        <w:t>1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01729C">
        <w:rPr>
          <w:sz w:val="28"/>
          <w:szCs w:val="28"/>
        </w:rPr>
        <w:t>5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1041</w:t>
      </w:r>
      <w:r w:rsidRPr="00B63093">
        <w:rPr>
          <w:sz w:val="28"/>
          <w:szCs w:val="28"/>
        </w:rPr>
        <w:t xml:space="preserve">) </w:t>
      </w:r>
      <w:r w:rsidR="007D63BD">
        <w:rPr>
          <w:sz w:val="28"/>
          <w:szCs w:val="28"/>
        </w:rPr>
        <w:t xml:space="preserve">за </w:t>
      </w:r>
      <w:r w:rsidR="00632EF8" w:rsidRPr="00632EF8">
        <w:rPr>
          <w:sz w:val="28"/>
          <w:szCs w:val="28"/>
        </w:rPr>
        <w:t xml:space="preserve">3 </w:t>
      </w:r>
      <w:r w:rsidR="007D63BD">
        <w:rPr>
          <w:sz w:val="28"/>
          <w:szCs w:val="28"/>
        </w:rPr>
        <w:t>месяц</w:t>
      </w:r>
      <w:r w:rsidR="00632EF8">
        <w:rPr>
          <w:sz w:val="28"/>
          <w:szCs w:val="28"/>
        </w:rPr>
        <w:t>а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297E0D">
        <w:rPr>
          <w:sz w:val="28"/>
          <w:szCs w:val="28"/>
        </w:rPr>
        <w:t xml:space="preserve">                 </w:t>
      </w:r>
      <w:r w:rsidR="00F70125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прием </w:t>
      </w:r>
      <w:r w:rsidR="00632EF8">
        <w:rPr>
          <w:sz w:val="28"/>
          <w:szCs w:val="28"/>
        </w:rPr>
        <w:t>21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</w:t>
      </w:r>
      <w:r w:rsidR="00632EF8">
        <w:rPr>
          <w:sz w:val="28"/>
          <w:szCs w:val="28"/>
        </w:rPr>
        <w:t>ина</w:t>
      </w:r>
      <w:r w:rsidRPr="00B63093">
        <w:rPr>
          <w:sz w:val="28"/>
          <w:szCs w:val="28"/>
        </w:rPr>
        <w:t xml:space="preserve">.     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2B63DA" w:rsidRDefault="000C74CA" w:rsidP="00703F16">
      <w:pPr>
        <w:pStyle w:val="20"/>
        <w:ind w:firstLine="709"/>
        <w:jc w:val="center"/>
      </w:pPr>
      <w:r w:rsidRPr="002B63DA">
        <w:t xml:space="preserve">Тематика и количество зарегистрированных в Министерстве обращений граждан за </w:t>
      </w:r>
      <w:r w:rsidR="00632EF8">
        <w:t>3</w:t>
      </w:r>
      <w:r w:rsidR="007D63BD">
        <w:t xml:space="preserve"> </w:t>
      </w:r>
      <w:r w:rsidR="006C47CD" w:rsidRPr="002B63DA">
        <w:t xml:space="preserve"> </w:t>
      </w:r>
      <w:r w:rsidR="007D63BD">
        <w:t>месяц</w:t>
      </w:r>
      <w:r w:rsidR="00632EF8">
        <w:t>а</w:t>
      </w:r>
      <w:r w:rsidRPr="002B63DA">
        <w:t xml:space="preserve"> 201</w:t>
      </w:r>
      <w:r w:rsidR="00632EF8">
        <w:t>7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DD2AE3">
        <w:t>16111</w:t>
      </w:r>
      <w:r w:rsidRPr="002B63DA">
        <w:t xml:space="preserve"> обращени</w:t>
      </w:r>
      <w:r w:rsidR="00DD2AE3">
        <w:t>й</w:t>
      </w:r>
      <w:r w:rsidRPr="002B63DA">
        <w:t xml:space="preserve"> или </w:t>
      </w:r>
      <w:r w:rsidR="00053923" w:rsidRPr="002B63DA">
        <w:t>4</w:t>
      </w:r>
      <w:r w:rsidR="006D0649">
        <w:t>6</w:t>
      </w:r>
      <w:r w:rsidRPr="002B63DA">
        <w:t>,</w:t>
      </w:r>
      <w:r w:rsidR="00DD2AE3">
        <w:t>6</w:t>
      </w:r>
      <w:r w:rsidRPr="002B63DA">
        <w:t xml:space="preserve"> %  от общего количества писем граждан.   </w:t>
      </w:r>
    </w:p>
    <w:p w:rsidR="00DD2AE3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</w:t>
      </w:r>
      <w:r w:rsidRPr="00DD2AE3">
        <w:t xml:space="preserve">– </w:t>
      </w:r>
      <w:r w:rsidR="00DD2AE3" w:rsidRPr="00DD2AE3">
        <w:t>9715</w:t>
      </w:r>
      <w:r w:rsidR="00DD2AE3">
        <w:t xml:space="preserve"> </w:t>
      </w:r>
      <w:r w:rsidR="00B11342" w:rsidRPr="00B11342">
        <w:t xml:space="preserve"> </w:t>
      </w:r>
      <w:r w:rsidRPr="00B11342">
        <w:t>обращени</w:t>
      </w:r>
      <w:r w:rsidR="00DD2AE3">
        <w:t>й</w:t>
      </w:r>
      <w:r w:rsidR="0042061D" w:rsidRPr="00B11342">
        <w:t xml:space="preserve">  </w:t>
      </w:r>
      <w:r w:rsidRPr="00B11342">
        <w:t xml:space="preserve"> или    </w:t>
      </w:r>
      <w:r w:rsidR="00DD2AE3">
        <w:t>28,1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DD2AE3" w:rsidRPr="00DD2AE3">
        <w:t>3350</w:t>
      </w:r>
      <w:r w:rsidR="00DD2AE3">
        <w:t xml:space="preserve"> </w:t>
      </w:r>
      <w:r w:rsidRPr="00B11342">
        <w:t xml:space="preserve"> обращени</w:t>
      </w:r>
      <w:r w:rsidR="00B11342" w:rsidRPr="00B11342">
        <w:t xml:space="preserve">й или </w:t>
      </w:r>
      <w:r w:rsidR="00DD2AE3">
        <w:t>9</w:t>
      </w:r>
      <w:r w:rsidRPr="00B11342">
        <w:t>,</w:t>
      </w:r>
      <w:r w:rsidR="00DD2AE3">
        <w:t>7</w:t>
      </w:r>
      <w:r w:rsidRPr="00B11342">
        <w:t xml:space="preserve"> % от общего</w:t>
      </w:r>
      <w:r w:rsidR="00B11342" w:rsidRPr="00B11342">
        <w:t xml:space="preserve"> </w:t>
      </w:r>
      <w:r w:rsidRPr="00B11342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836D8E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 </w:t>
      </w:r>
      <w:r w:rsidR="00297E0D">
        <w:lastRenderedPageBreak/>
        <w:t>фа</w:t>
      </w:r>
      <w:r w:rsidRPr="00836D8E">
        <w:t xml:space="preserve">рмацевтических работников и т.д. – </w:t>
      </w:r>
      <w:r w:rsidR="00DD2AE3">
        <w:t>1776</w:t>
      </w:r>
      <w:r w:rsidRPr="00836D8E">
        <w:t xml:space="preserve"> обращени</w:t>
      </w:r>
      <w:r w:rsidR="006D0649">
        <w:t>е</w:t>
      </w:r>
      <w:r w:rsidRPr="00836D8E">
        <w:t xml:space="preserve"> или </w:t>
      </w:r>
      <w:r w:rsidR="00DD2AE3">
        <w:t>5</w:t>
      </w:r>
      <w:r w:rsidRPr="00836D8E">
        <w:t>,</w:t>
      </w:r>
      <w:r w:rsidR="00DD2AE3">
        <w:t>1</w:t>
      </w:r>
      <w:r w:rsidRPr="00836D8E">
        <w:t xml:space="preserve"> % от общего</w:t>
      </w:r>
      <w:r w:rsidR="00297E0D">
        <w:t xml:space="preserve">        </w:t>
      </w:r>
      <w:r w:rsidRPr="00836D8E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>
        <w:t>–</w:t>
      </w:r>
      <w:r w:rsidRPr="00BC567F">
        <w:t xml:space="preserve"> </w:t>
      </w:r>
      <w:r w:rsidR="00DD2AE3">
        <w:t xml:space="preserve">3641 </w:t>
      </w:r>
      <w:r w:rsidRPr="00BC567F">
        <w:t>обращени</w:t>
      </w:r>
      <w:r w:rsidR="00DD2AE3">
        <w:t>е</w:t>
      </w:r>
      <w:r w:rsidRPr="00BC567F">
        <w:t xml:space="preserve"> или  </w:t>
      </w:r>
      <w:r w:rsidR="0042061D">
        <w:t>1</w:t>
      </w:r>
      <w:r w:rsidR="00DD2AE3">
        <w:t>0</w:t>
      </w:r>
      <w:r w:rsidRPr="00BC567F">
        <w:t xml:space="preserve">, </w:t>
      </w:r>
      <w:r w:rsidR="00DD2AE3">
        <w:t>5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175F06">
        <w:rPr>
          <w:sz w:val="28"/>
          <w:szCs w:val="28"/>
        </w:rPr>
        <w:t>3</w:t>
      </w:r>
      <w:r w:rsidR="00323794">
        <w:rPr>
          <w:sz w:val="28"/>
          <w:szCs w:val="28"/>
        </w:rPr>
        <w:t xml:space="preserve"> месяц</w:t>
      </w:r>
      <w:r w:rsidR="00175F06">
        <w:rPr>
          <w:sz w:val="28"/>
          <w:szCs w:val="28"/>
        </w:rPr>
        <w:t>а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632EF8">
        <w:rPr>
          <w:sz w:val="28"/>
          <w:szCs w:val="28"/>
        </w:rPr>
        <w:t>7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75138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Москва</w:t>
      </w:r>
      <w:r w:rsidR="0073720A" w:rsidRPr="00751387">
        <w:rPr>
          <w:sz w:val="28"/>
          <w:szCs w:val="28"/>
        </w:rPr>
        <w:t xml:space="preserve"> </w:t>
      </w:r>
      <w:r w:rsidRPr="00751387">
        <w:rPr>
          <w:sz w:val="28"/>
          <w:szCs w:val="28"/>
        </w:rPr>
        <w:t xml:space="preserve">- </w:t>
      </w:r>
      <w:r w:rsidR="004F7E36">
        <w:rPr>
          <w:sz w:val="28"/>
          <w:szCs w:val="28"/>
          <w:lang w:val="en-US"/>
        </w:rPr>
        <w:t>4</w:t>
      </w:r>
      <w:r w:rsidR="00175F06">
        <w:rPr>
          <w:sz w:val="28"/>
          <w:szCs w:val="28"/>
        </w:rPr>
        <w:t>8</w:t>
      </w:r>
      <w:r w:rsidR="00751387" w:rsidRPr="00751387">
        <w:rPr>
          <w:sz w:val="28"/>
          <w:szCs w:val="28"/>
        </w:rPr>
        <w:t>,</w:t>
      </w:r>
      <w:r w:rsidR="004F7E36">
        <w:rPr>
          <w:sz w:val="28"/>
          <w:szCs w:val="28"/>
          <w:lang w:val="en-US"/>
        </w:rPr>
        <w:t>58</w:t>
      </w:r>
      <w:r w:rsidRPr="00751387">
        <w:rPr>
          <w:sz w:val="28"/>
          <w:szCs w:val="28"/>
        </w:rPr>
        <w:t>;</w:t>
      </w:r>
    </w:p>
    <w:p w:rsidR="000155FC" w:rsidRPr="00751387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Московская область - </w:t>
      </w:r>
      <w:r w:rsidR="00175F06">
        <w:rPr>
          <w:sz w:val="28"/>
          <w:szCs w:val="28"/>
        </w:rPr>
        <w:t>37</w:t>
      </w:r>
      <w:r w:rsidRPr="00751387">
        <w:rPr>
          <w:sz w:val="28"/>
          <w:szCs w:val="28"/>
        </w:rPr>
        <w:t>,</w:t>
      </w:r>
      <w:r w:rsidR="004F7E36">
        <w:rPr>
          <w:sz w:val="28"/>
          <w:szCs w:val="28"/>
          <w:lang w:val="en-US"/>
        </w:rPr>
        <w:t>94</w:t>
      </w:r>
      <w:r w:rsidR="000155FC" w:rsidRPr="00751387">
        <w:rPr>
          <w:sz w:val="28"/>
          <w:szCs w:val="28"/>
        </w:rPr>
        <w:t>;</w:t>
      </w:r>
    </w:p>
    <w:p w:rsidR="000155FC" w:rsidRPr="00751387" w:rsidRDefault="004F7E36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Мурманская область – 29.51</w:t>
      </w:r>
      <w:r w:rsidR="000155FC" w:rsidRPr="00751387">
        <w:rPr>
          <w:sz w:val="28"/>
          <w:szCs w:val="28"/>
        </w:rPr>
        <w:t>;</w:t>
      </w:r>
    </w:p>
    <w:p w:rsidR="00922B95" w:rsidRP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4</w:t>
      </w:r>
      <w:r w:rsidR="00922B95" w:rsidRPr="00751387">
        <w:rPr>
          <w:sz w:val="28"/>
          <w:szCs w:val="28"/>
        </w:rPr>
        <w:t xml:space="preserve">. </w:t>
      </w:r>
      <w:r w:rsidR="004F7E36">
        <w:rPr>
          <w:sz w:val="28"/>
          <w:szCs w:val="28"/>
        </w:rPr>
        <w:t>Волгоградская область</w:t>
      </w:r>
      <w:r w:rsidR="0073720A" w:rsidRPr="00751387">
        <w:rPr>
          <w:sz w:val="28"/>
          <w:szCs w:val="28"/>
        </w:rPr>
        <w:t xml:space="preserve"> </w:t>
      </w:r>
      <w:r w:rsidR="00F13B48" w:rsidRPr="00751387">
        <w:rPr>
          <w:sz w:val="28"/>
          <w:szCs w:val="28"/>
        </w:rPr>
        <w:t>-</w:t>
      </w:r>
      <w:r w:rsidR="0073720A" w:rsidRPr="00751387">
        <w:rPr>
          <w:sz w:val="28"/>
          <w:szCs w:val="28"/>
        </w:rPr>
        <w:t xml:space="preserve"> </w:t>
      </w:r>
      <w:r w:rsidR="00486869" w:rsidRPr="00751387">
        <w:rPr>
          <w:sz w:val="28"/>
          <w:szCs w:val="28"/>
        </w:rPr>
        <w:t>2</w:t>
      </w:r>
      <w:r w:rsidR="004F7E36">
        <w:rPr>
          <w:sz w:val="28"/>
          <w:szCs w:val="28"/>
        </w:rPr>
        <w:t>8</w:t>
      </w:r>
      <w:r w:rsidR="00F13B48" w:rsidRPr="00751387">
        <w:rPr>
          <w:sz w:val="28"/>
          <w:szCs w:val="28"/>
        </w:rPr>
        <w:t>,</w:t>
      </w:r>
      <w:r w:rsidR="004F7E36">
        <w:rPr>
          <w:sz w:val="28"/>
          <w:szCs w:val="28"/>
        </w:rPr>
        <w:t>68</w:t>
      </w:r>
      <w:r w:rsidR="00B2054B" w:rsidRPr="00751387">
        <w:rPr>
          <w:sz w:val="28"/>
          <w:szCs w:val="28"/>
        </w:rPr>
        <w:t>;</w:t>
      </w:r>
    </w:p>
    <w:p w:rsid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5. </w:t>
      </w:r>
      <w:r w:rsidR="004F7E36" w:rsidRPr="004F7E36">
        <w:rPr>
          <w:sz w:val="28"/>
          <w:szCs w:val="28"/>
        </w:rPr>
        <w:t>Севастополь-28,16</w:t>
      </w:r>
      <w:r w:rsidRPr="00751387">
        <w:rPr>
          <w:sz w:val="28"/>
          <w:szCs w:val="28"/>
        </w:rPr>
        <w:t>.</w:t>
      </w: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821A96">
        <w:t>1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632EF8">
        <w:t>7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-в </w:t>
      </w:r>
      <w:r w:rsidR="004D6040" w:rsidRPr="005D668A">
        <w:t>Департамент организации медицинской помощи и санаторно-курортного д</w:t>
      </w:r>
      <w:r w:rsidR="004D6040" w:rsidRPr="005D668A">
        <w:t>е</w:t>
      </w:r>
      <w:r w:rsidR="004D6040" w:rsidRPr="005D668A">
        <w:t>ла</w:t>
      </w:r>
      <w:r w:rsidRPr="005D668A">
        <w:t xml:space="preserve"> поступило </w:t>
      </w:r>
      <w:r w:rsidR="00760407">
        <w:t>16481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5D668A">
        <w:t>4</w:t>
      </w:r>
      <w:r w:rsidR="000A534A">
        <w:t>7</w:t>
      </w:r>
      <w:r w:rsidR="004D6040" w:rsidRPr="005D668A">
        <w:t>,</w:t>
      </w:r>
      <w:r w:rsidR="000A534A">
        <w:t>3</w:t>
      </w:r>
      <w:r w:rsidRPr="005D668A">
        <w:t xml:space="preserve"> %  от общего             колич</w:t>
      </w:r>
      <w:r w:rsidRPr="005D668A">
        <w:t>е</w:t>
      </w:r>
      <w:r w:rsidRPr="005D668A">
        <w:t>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>-в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760407">
        <w:t>7760</w:t>
      </w:r>
      <w:r w:rsidR="005D668A">
        <w:t xml:space="preserve"> </w:t>
      </w:r>
      <w:r w:rsidR="004D6040" w:rsidRPr="005D668A">
        <w:t>(</w:t>
      </w:r>
      <w:r w:rsidR="005D668A">
        <w:t>2</w:t>
      </w:r>
      <w:r w:rsidR="000A534A">
        <w:t>2</w:t>
      </w:r>
      <w:r w:rsidR="004D6040" w:rsidRPr="005D668A">
        <w:t>,</w:t>
      </w:r>
      <w:r w:rsidR="000A534A">
        <w:t>3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-в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760407">
        <w:t>3448</w:t>
      </w:r>
      <w:r w:rsidR="0001729C">
        <w:t xml:space="preserve"> </w:t>
      </w:r>
      <w:r w:rsidR="004D6040" w:rsidRPr="005D668A">
        <w:t>(</w:t>
      </w:r>
      <w:r w:rsidR="000A534A">
        <w:t>9</w:t>
      </w:r>
      <w:r w:rsidR="00821A96">
        <w:t>,</w:t>
      </w:r>
      <w:r w:rsidR="000A534A">
        <w:t>9</w:t>
      </w:r>
      <w:r w:rsidR="004D6040" w:rsidRPr="005D668A">
        <w:t xml:space="preserve"> %);</w:t>
      </w:r>
    </w:p>
    <w:p w:rsidR="0001729C" w:rsidRDefault="00C40596" w:rsidP="004D6040">
      <w:pPr>
        <w:pStyle w:val="20"/>
        <w:ind w:firstLine="709"/>
      </w:pPr>
      <w:r>
        <w:lastRenderedPageBreak/>
        <w:t>-</w:t>
      </w:r>
      <w:r w:rsidR="0001729C" w:rsidRPr="005D668A">
        <w:t xml:space="preserve">в </w:t>
      </w:r>
      <w:r w:rsidR="0001729C" w:rsidRPr="0001729C">
        <w:t xml:space="preserve">Департамент организации экстренной медицинской помощи и </w:t>
      </w:r>
      <w:r>
        <w:t xml:space="preserve">                  </w:t>
      </w:r>
      <w:r w:rsidR="0001729C" w:rsidRPr="0001729C">
        <w:t>экспертной деятельности</w:t>
      </w:r>
      <w:r w:rsidR="0001729C" w:rsidRPr="005D668A">
        <w:t xml:space="preserve"> </w:t>
      </w:r>
      <w:r w:rsidR="0053632B">
        <w:t>-</w:t>
      </w:r>
      <w:r w:rsidR="0001729C" w:rsidRPr="000A534A">
        <w:t>2</w:t>
      </w:r>
      <w:r w:rsidR="00760407" w:rsidRPr="000A534A">
        <w:t>202</w:t>
      </w:r>
      <w:r w:rsidR="0001729C" w:rsidRPr="005D668A">
        <w:t xml:space="preserve"> (</w:t>
      </w:r>
      <w:r w:rsidR="000A534A">
        <w:t>6</w:t>
      </w:r>
      <w:r w:rsidR="0001729C" w:rsidRPr="005D668A">
        <w:t>,</w:t>
      </w:r>
      <w:r w:rsidR="000A534A">
        <w:t>3</w:t>
      </w:r>
      <w:r w:rsidR="0001729C" w:rsidRPr="005D668A">
        <w:t xml:space="preserve"> %);</w:t>
      </w:r>
    </w:p>
    <w:p w:rsidR="004D6040" w:rsidRDefault="00C40596" w:rsidP="004D6040">
      <w:pPr>
        <w:pStyle w:val="20"/>
        <w:ind w:firstLine="709"/>
      </w:pPr>
      <w:r>
        <w:t>-</w:t>
      </w:r>
      <w:r w:rsidR="0053632B">
        <w:t>в</w:t>
      </w:r>
      <w:r w:rsidR="004D6040" w:rsidRPr="005D668A">
        <w:t xml:space="preserve"> </w:t>
      </w:r>
      <w:r w:rsidR="000026C7" w:rsidRPr="005D668A">
        <w:t xml:space="preserve"> </w:t>
      </w:r>
      <w:r w:rsidR="0001729C" w:rsidRPr="0001729C">
        <w:t>Департамент  медицинского образования и кадровой политики в</w:t>
      </w:r>
      <w:r>
        <w:t xml:space="preserve">             </w:t>
      </w:r>
      <w:bookmarkStart w:id="0" w:name="_GoBack"/>
      <w:bookmarkEnd w:id="0"/>
      <w:r w:rsidR="0001729C" w:rsidRPr="0001729C">
        <w:t xml:space="preserve"> здравоохранении</w:t>
      </w:r>
      <w:r w:rsidR="004D6040" w:rsidRPr="005D668A">
        <w:t xml:space="preserve">- </w:t>
      </w:r>
      <w:r w:rsidR="0001729C" w:rsidRPr="000A534A">
        <w:t>1</w:t>
      </w:r>
      <w:r w:rsidR="00760407" w:rsidRPr="000A534A">
        <w:t>863</w:t>
      </w:r>
      <w:r w:rsidR="00C90B2A">
        <w:t xml:space="preserve"> </w:t>
      </w:r>
      <w:r w:rsidR="004D6040" w:rsidRPr="005D668A">
        <w:t>(</w:t>
      </w:r>
      <w:r w:rsidR="0001729C">
        <w:t>5</w:t>
      </w:r>
      <w:r w:rsidR="004D6040" w:rsidRPr="005D668A">
        <w:t>,</w:t>
      </w:r>
      <w:r w:rsidR="000A534A">
        <w:t>3</w:t>
      </w:r>
      <w:r w:rsidR="004D6040" w:rsidRPr="005D668A">
        <w:t xml:space="preserve"> %);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760407">
        <w:t xml:space="preserve">920 </w:t>
      </w:r>
      <w:r w:rsidRPr="005D668A">
        <w:t>(</w:t>
      </w:r>
      <w:r w:rsidR="0053632B">
        <w:t>2</w:t>
      </w:r>
      <w:r w:rsidRPr="005D668A">
        <w:t>,</w:t>
      </w:r>
      <w:r w:rsidR="000A534A">
        <w:t>6</w:t>
      </w:r>
      <w:r w:rsidR="000026C7" w:rsidRPr="005D668A">
        <w:t xml:space="preserve"> </w:t>
      </w:r>
      <w:r w:rsidRPr="005D668A">
        <w:t>%);</w:t>
      </w:r>
      <w:r w:rsidR="00A77E11" w:rsidRPr="005D668A">
        <w:t xml:space="preserve"> </w:t>
      </w:r>
    </w:p>
    <w:p w:rsidR="00E51305" w:rsidRPr="00525694" w:rsidRDefault="00297E0D" w:rsidP="004D6040">
      <w:pPr>
        <w:pStyle w:val="20"/>
        <w:ind w:firstLine="709"/>
      </w:pPr>
      <w:r>
        <w:t>-</w:t>
      </w:r>
      <w:r w:rsidR="004D6040" w:rsidRPr="00525694">
        <w:t xml:space="preserve">в другие структурные  подразделения – </w:t>
      </w:r>
      <w:r w:rsidR="00760407">
        <w:t>2174</w:t>
      </w:r>
      <w:r w:rsidR="004D6040" w:rsidRPr="00525694">
        <w:t>(</w:t>
      </w:r>
      <w:r w:rsidR="00821A96">
        <w:t>6</w:t>
      </w:r>
      <w:r w:rsidR="004D6040" w:rsidRPr="00525694">
        <w:t>,</w:t>
      </w:r>
      <w:r w:rsidR="000A534A">
        <w:t>2</w:t>
      </w:r>
      <w:r w:rsidR="004D6040" w:rsidRPr="00525694">
        <w:t xml:space="preserve"> %); поступление </w:t>
      </w:r>
      <w:r>
        <w:t xml:space="preserve">               </w:t>
      </w:r>
      <w:r w:rsidR="004D6040" w:rsidRPr="00525694">
        <w:t xml:space="preserve">менее  </w:t>
      </w:r>
      <w:r w:rsidR="00760407">
        <w:t>5</w:t>
      </w:r>
      <w:r w:rsidR="0053632B">
        <w:t>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E51305" w:rsidRPr="00836D8E">
        <w:rPr>
          <w:szCs w:val="28"/>
        </w:rPr>
        <w:t xml:space="preserve"> </w:t>
      </w:r>
      <w:r w:rsidR="007D63BD">
        <w:rPr>
          <w:szCs w:val="28"/>
        </w:rPr>
        <w:t>1</w:t>
      </w:r>
      <w:r w:rsidR="00E51305" w:rsidRPr="00836D8E">
        <w:rPr>
          <w:szCs w:val="28"/>
        </w:rPr>
        <w:t xml:space="preserve"> </w:t>
      </w:r>
      <w:r w:rsidR="00963D3A">
        <w:rPr>
          <w:szCs w:val="28"/>
        </w:rPr>
        <w:t>квартале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632EF8">
        <w:rPr>
          <w:szCs w:val="28"/>
        </w:rPr>
        <w:t>7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33409C" w:rsidRPr="0033409C">
        <w:rPr>
          <w:szCs w:val="28"/>
        </w:rPr>
        <w:t>6</w:t>
      </w:r>
      <w:r w:rsidR="00D22DB7">
        <w:rPr>
          <w:szCs w:val="28"/>
        </w:rPr>
        <w:t>2</w:t>
      </w:r>
      <w:r w:rsidR="0033409C" w:rsidRPr="0033409C">
        <w:rPr>
          <w:szCs w:val="28"/>
        </w:rPr>
        <w:t xml:space="preserve"> </w:t>
      </w:r>
      <w:r w:rsidRPr="00836D8E">
        <w:rPr>
          <w:szCs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«Даны разъяснения»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33409C" w:rsidRPr="0033409C">
        <w:rPr>
          <w:szCs w:val="28"/>
        </w:rPr>
        <w:t>15</w:t>
      </w:r>
      <w:r w:rsidR="00D22DB7">
        <w:rPr>
          <w:szCs w:val="28"/>
        </w:rPr>
        <w:t>539</w:t>
      </w:r>
      <w:r w:rsidR="004D3C67" w:rsidRPr="00836D8E">
        <w:rPr>
          <w:szCs w:val="28"/>
        </w:rPr>
        <w:t xml:space="preserve"> обращениях;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для рассмотрения по принадлежности»                            </w:t>
      </w:r>
      <w:r w:rsidR="00D22DB7">
        <w:rPr>
          <w:szCs w:val="28"/>
        </w:rPr>
        <w:t>30</w:t>
      </w:r>
      <w:r w:rsidR="0033409C">
        <w:rPr>
          <w:szCs w:val="28"/>
        </w:rPr>
        <w:t>18</w:t>
      </w:r>
      <w:r w:rsidR="00C40596">
        <w:rPr>
          <w:szCs w:val="28"/>
        </w:rPr>
        <w:t> </w:t>
      </w:r>
      <w:r w:rsidRPr="00836D8E">
        <w:rPr>
          <w:szCs w:val="28"/>
        </w:rPr>
        <w:t>обращени</w:t>
      </w:r>
      <w:r w:rsidR="00D22DB7">
        <w:rPr>
          <w:szCs w:val="28"/>
        </w:rPr>
        <w:t>й</w:t>
      </w:r>
      <w:r w:rsidRPr="00836D8E">
        <w:rPr>
          <w:szCs w:val="28"/>
        </w:rPr>
        <w:t xml:space="preserve"> </w:t>
      </w:r>
      <w:r w:rsidR="003C72D6" w:rsidRPr="00836D8E">
        <w:rPr>
          <w:szCs w:val="28"/>
        </w:rPr>
        <w:t>в другие органы исполнительной власти</w:t>
      </w:r>
      <w:r w:rsidR="004D3C67" w:rsidRPr="00836D8E">
        <w:rPr>
          <w:szCs w:val="28"/>
        </w:rPr>
        <w:t xml:space="preserve">                                                 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33409C" w:rsidRPr="0033409C">
        <w:rPr>
          <w:szCs w:val="28"/>
        </w:rPr>
        <w:t>12</w:t>
      </w:r>
      <w:r w:rsidR="00297E0D">
        <w:rPr>
          <w:szCs w:val="28"/>
        </w:rPr>
        <w:t>699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D22DB7">
        <w:rPr>
          <w:szCs w:val="28"/>
        </w:rPr>
        <w:t>й</w:t>
      </w:r>
      <w:r w:rsidRPr="00836D8E">
        <w:rPr>
          <w:szCs w:val="28"/>
        </w:rPr>
        <w:t xml:space="preserve"> граждан для</w:t>
      </w:r>
      <w:r w:rsidR="00C40596">
        <w:rPr>
          <w:szCs w:val="28"/>
        </w:rPr>
        <w:t xml:space="preserve"> </w:t>
      </w:r>
      <w:r w:rsidRPr="00836D8E">
        <w:rPr>
          <w:szCs w:val="28"/>
        </w:rPr>
        <w:t>рассмотрения и направления отве</w:t>
      </w:r>
      <w:r w:rsidR="00C40596">
        <w:rPr>
          <w:szCs w:val="28"/>
        </w:rPr>
        <w:t>тов</w:t>
      </w:r>
      <w:r w:rsidRPr="00836D8E">
        <w:rPr>
          <w:szCs w:val="28"/>
        </w:rPr>
        <w:t xml:space="preserve"> заявителям,  из них </w:t>
      </w:r>
      <w:r w:rsidR="00297E0D">
        <w:rPr>
          <w:szCs w:val="28"/>
        </w:rPr>
        <w:t>14</w:t>
      </w:r>
      <w:r w:rsidR="00E51305" w:rsidRPr="00C26D4B">
        <w:rPr>
          <w:szCs w:val="28"/>
        </w:rPr>
        <w:t>,</w:t>
      </w:r>
      <w:r w:rsidR="00297E0D">
        <w:rPr>
          <w:szCs w:val="28"/>
        </w:rPr>
        <w:t>6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>взяты на контроль</w:t>
      </w:r>
      <w:r w:rsidR="001E3C69" w:rsidRPr="00836D8E">
        <w:rPr>
          <w:szCs w:val="28"/>
        </w:rPr>
        <w:t xml:space="preserve"> </w:t>
      </w:r>
      <w:r w:rsidR="00297E0D">
        <w:rPr>
          <w:szCs w:val="28"/>
        </w:rPr>
        <w:t xml:space="preserve">                        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D22DB7">
        <w:rPr>
          <w:szCs w:val="28"/>
        </w:rPr>
        <w:t>894</w:t>
      </w:r>
      <w:r w:rsidR="00C40596">
        <w:rPr>
          <w:szCs w:val="28"/>
        </w:rPr>
        <w:t> </w:t>
      </w:r>
      <w:r w:rsidR="004D3C67" w:rsidRPr="00836D8E">
        <w:rPr>
          <w:szCs w:val="28"/>
        </w:rPr>
        <w:t>обращени</w:t>
      </w:r>
      <w:r w:rsidR="00D22DB7">
        <w:rPr>
          <w:szCs w:val="28"/>
        </w:rPr>
        <w:t>я</w:t>
      </w:r>
      <w:r w:rsidR="004D3C67" w:rsidRPr="00836D8E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836D8E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33409C" w:rsidRPr="0033409C">
        <w:rPr>
          <w:szCs w:val="28"/>
        </w:rPr>
        <w:t xml:space="preserve">3736 </w:t>
      </w:r>
      <w:r w:rsidRPr="00836D8E">
        <w:rPr>
          <w:szCs w:val="28"/>
        </w:rPr>
        <w:t>обращени</w:t>
      </w:r>
      <w:r w:rsidR="0033409C">
        <w:rPr>
          <w:szCs w:val="28"/>
        </w:rPr>
        <w:t>й</w:t>
      </w:r>
      <w:r w:rsidRPr="00836D8E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30" w:rsidRDefault="00201B30">
      <w:r>
        <w:separator/>
      </w:r>
    </w:p>
  </w:endnote>
  <w:endnote w:type="continuationSeparator" w:id="0">
    <w:p w:rsidR="00201B30" w:rsidRDefault="002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30" w:rsidRDefault="00201B30">
      <w:r>
        <w:separator/>
      </w:r>
    </w:p>
  </w:footnote>
  <w:footnote w:type="continuationSeparator" w:id="0">
    <w:p w:rsidR="00201B30" w:rsidRDefault="0020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C40596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153</c:v>
                </c:pt>
                <c:pt idx="1">
                  <c:v>144</c:v>
                </c:pt>
                <c:pt idx="2">
                  <c:v>137</c:v>
                </c:pt>
                <c:pt idx="3">
                  <c:v>93</c:v>
                </c:pt>
                <c:pt idx="4" formatCode="0">
                  <c:v>70</c:v>
                </c:pt>
                <c:pt idx="5">
                  <c:v>44</c:v>
                </c:pt>
                <c:pt idx="6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16111</c:v>
                </c:pt>
                <c:pt idx="1">
                  <c:v>9715</c:v>
                </c:pt>
                <c:pt idx="2">
                  <c:v>3350</c:v>
                </c:pt>
                <c:pt idx="3">
                  <c:v>1776</c:v>
                </c:pt>
                <c:pt idx="4" formatCode="0">
                  <c:v>3144</c:v>
                </c:pt>
                <c:pt idx="5">
                  <c:v>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48.58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37.94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29.51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Волгоградская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28.68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85383168"/>
        <c:axId val="185384960"/>
        <c:axId val="0"/>
      </c:bar3DChart>
      <c:catAx>
        <c:axId val="1853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384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38496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38316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8</cp:revision>
  <cp:lastPrinted>2017-04-03T10:39:00Z</cp:lastPrinted>
  <dcterms:created xsi:type="dcterms:W3CDTF">2017-04-03T10:34:00Z</dcterms:created>
  <dcterms:modified xsi:type="dcterms:W3CDTF">2017-04-04T11:45:00Z</dcterms:modified>
</cp:coreProperties>
</file>