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8F" w:rsidRPr="00883327" w:rsidRDefault="00CB2C8F" w:rsidP="00CB2C8F">
      <w:pPr>
        <w:snapToGrid w:val="0"/>
        <w:jc w:val="center"/>
        <w:rPr>
          <w:b/>
          <w:color w:val="FFFFFF" w:themeColor="background1"/>
          <w:spacing w:val="-10"/>
          <w:sz w:val="28"/>
          <w:szCs w:val="28"/>
        </w:rPr>
      </w:pPr>
      <w:bookmarkStart w:id="0" w:name="_GoBack"/>
      <w:bookmarkEnd w:id="0"/>
      <w:r w:rsidRPr="00883327">
        <w:rPr>
          <w:b/>
          <w:color w:val="FFFFFF" w:themeColor="background1"/>
          <w:spacing w:val="-10"/>
          <w:sz w:val="28"/>
          <w:szCs w:val="28"/>
        </w:rPr>
        <w:t>МИНИСТЕРСТВО ЗДРАВООХРАНЕНИЯ РОССИЙСКОЙ ФЕДЕРАЦИИ</w:t>
      </w:r>
    </w:p>
    <w:p w:rsidR="00CB2C8F" w:rsidRPr="00883327" w:rsidRDefault="00CB2C8F" w:rsidP="00CB2C8F">
      <w:pPr>
        <w:tabs>
          <w:tab w:val="left" w:pos="3828"/>
        </w:tabs>
        <w:spacing w:line="360" w:lineRule="auto"/>
        <w:jc w:val="center"/>
        <w:rPr>
          <w:snapToGrid w:val="0"/>
          <w:color w:val="FFFFFF" w:themeColor="background1"/>
          <w:sz w:val="32"/>
          <w:szCs w:val="32"/>
        </w:rPr>
      </w:pPr>
    </w:p>
    <w:p w:rsidR="0055330A" w:rsidRPr="00883327" w:rsidRDefault="0055330A" w:rsidP="008F24B6">
      <w:pPr>
        <w:pStyle w:val="3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</w:pPr>
    </w:p>
    <w:p w:rsidR="00565220" w:rsidRPr="00883327" w:rsidRDefault="00E6294D" w:rsidP="00660C45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color w:val="FFFFFF" w:themeColor="background1"/>
          <w:sz w:val="32"/>
        </w:rPr>
      </w:pPr>
      <w:r w:rsidRPr="00883327">
        <w:rPr>
          <w:rFonts w:ascii="Times New Roman" w:hAnsi="Times New Roman"/>
          <w:b/>
          <w:snapToGrid w:val="0"/>
          <w:color w:val="FFFFFF" w:themeColor="background1"/>
          <w:sz w:val="32"/>
        </w:rPr>
        <w:t>ФАРМАКОПЕЙНАЯ СТАТЬЯ</w:t>
      </w:r>
    </w:p>
    <w:p w:rsidR="008F24B6" w:rsidRPr="008F24B6" w:rsidRDefault="008F24B6" w:rsidP="008F24B6">
      <w:pPr>
        <w:pBdr>
          <w:bottom w:val="single" w:sz="4" w:space="1" w:color="auto"/>
        </w:pBdr>
        <w:tabs>
          <w:tab w:val="left" w:pos="6521"/>
        </w:tabs>
        <w:spacing w:line="360" w:lineRule="auto"/>
        <w:rPr>
          <w:b/>
          <w:sz w:val="28"/>
          <w:szCs w:val="28"/>
        </w:rPr>
      </w:pPr>
    </w:p>
    <w:p w:rsidR="00E6294D" w:rsidRPr="008F24B6" w:rsidRDefault="00E6294D" w:rsidP="008F24B6">
      <w:pPr>
        <w:pBdr>
          <w:bottom w:val="single" w:sz="4" w:space="1" w:color="auto"/>
        </w:pBdr>
        <w:tabs>
          <w:tab w:val="left" w:pos="6521"/>
        </w:tabs>
        <w:spacing w:line="360" w:lineRule="auto"/>
        <w:rPr>
          <w:b/>
          <w:sz w:val="28"/>
          <w:szCs w:val="28"/>
        </w:rPr>
      </w:pPr>
      <w:r w:rsidRPr="008F24B6">
        <w:rPr>
          <w:b/>
          <w:sz w:val="28"/>
          <w:szCs w:val="28"/>
        </w:rPr>
        <w:t>Фактор свертывания</w:t>
      </w:r>
      <w:r w:rsidR="006E46E8">
        <w:rPr>
          <w:b/>
          <w:sz w:val="28"/>
          <w:szCs w:val="28"/>
        </w:rPr>
        <w:t xml:space="preserve">                                           </w:t>
      </w:r>
      <w:r w:rsidR="0055330A" w:rsidRPr="008F24B6">
        <w:rPr>
          <w:sz w:val="24"/>
          <w:szCs w:val="24"/>
        </w:rPr>
        <w:t xml:space="preserve"> </w:t>
      </w:r>
      <w:r w:rsidR="00E94C5F" w:rsidRPr="008F24B6">
        <w:rPr>
          <w:b/>
          <w:sz w:val="28"/>
          <w:szCs w:val="28"/>
        </w:rPr>
        <w:t>ФС</w:t>
      </w:r>
    </w:p>
    <w:p w:rsidR="00E6294D" w:rsidRPr="008F24B6" w:rsidRDefault="00E6294D" w:rsidP="008F24B6">
      <w:pPr>
        <w:pBdr>
          <w:bottom w:val="single" w:sz="4" w:space="1" w:color="auto"/>
        </w:pBdr>
        <w:tabs>
          <w:tab w:val="left" w:pos="5040"/>
        </w:tabs>
        <w:spacing w:line="360" w:lineRule="auto"/>
        <w:rPr>
          <w:b/>
          <w:sz w:val="28"/>
          <w:szCs w:val="28"/>
        </w:rPr>
      </w:pPr>
      <w:r w:rsidRPr="008F24B6">
        <w:rPr>
          <w:b/>
          <w:sz w:val="28"/>
          <w:szCs w:val="28"/>
        </w:rPr>
        <w:t xml:space="preserve"> крови </w:t>
      </w:r>
      <w:r w:rsidRPr="008F24B6">
        <w:rPr>
          <w:b/>
          <w:sz w:val="28"/>
          <w:szCs w:val="28"/>
          <w:lang w:val="en-US"/>
        </w:rPr>
        <w:t>VII</w:t>
      </w:r>
      <w:r w:rsidR="0096644E" w:rsidRPr="008F24B6">
        <w:rPr>
          <w:b/>
          <w:sz w:val="28"/>
          <w:szCs w:val="28"/>
          <w:lang w:val="en-US"/>
        </w:rPr>
        <w:t>I</w:t>
      </w:r>
      <w:r w:rsidRPr="008F24B6">
        <w:rPr>
          <w:b/>
          <w:sz w:val="28"/>
          <w:szCs w:val="28"/>
        </w:rPr>
        <w:t xml:space="preserve"> человека</w:t>
      </w:r>
      <w:proofErr w:type="gramStart"/>
      <w:r w:rsidR="008F24B6" w:rsidRPr="008F24B6">
        <w:rPr>
          <w:b/>
          <w:sz w:val="28"/>
          <w:szCs w:val="28"/>
        </w:rPr>
        <w:tab/>
      </w:r>
      <w:r w:rsidR="008F24B6" w:rsidRPr="008F24B6">
        <w:rPr>
          <w:b/>
          <w:sz w:val="28"/>
          <w:szCs w:val="28"/>
        </w:rPr>
        <w:tab/>
      </w:r>
      <w:r w:rsidR="00604DBB" w:rsidRPr="008F24B6">
        <w:rPr>
          <w:b/>
          <w:sz w:val="28"/>
          <w:szCs w:val="28"/>
        </w:rPr>
        <w:t>В</w:t>
      </w:r>
      <w:proofErr w:type="gramEnd"/>
      <w:r w:rsidR="00604DBB" w:rsidRPr="008F24B6">
        <w:rPr>
          <w:b/>
          <w:sz w:val="28"/>
          <w:szCs w:val="28"/>
        </w:rPr>
        <w:t>замен</w:t>
      </w:r>
      <w:r w:rsidR="008F24B6" w:rsidRPr="008F24B6">
        <w:rPr>
          <w:b/>
          <w:sz w:val="28"/>
          <w:szCs w:val="28"/>
        </w:rPr>
        <w:t xml:space="preserve"> </w:t>
      </w:r>
      <w:r w:rsidR="00C502B1" w:rsidRPr="008F24B6">
        <w:rPr>
          <w:b/>
          <w:sz w:val="28"/>
          <w:szCs w:val="28"/>
        </w:rPr>
        <w:t>ФС.3.3.2.0003.15</w:t>
      </w:r>
    </w:p>
    <w:p w:rsidR="008F24B6" w:rsidRPr="008F24B6" w:rsidRDefault="008F24B6" w:rsidP="008F24B6">
      <w:pPr>
        <w:pBdr>
          <w:bottom w:val="single" w:sz="4" w:space="1" w:color="auto"/>
        </w:pBdr>
        <w:tabs>
          <w:tab w:val="left" w:pos="5040"/>
        </w:tabs>
        <w:spacing w:line="360" w:lineRule="auto"/>
        <w:rPr>
          <w:b/>
          <w:sz w:val="28"/>
          <w:szCs w:val="28"/>
        </w:rPr>
      </w:pPr>
    </w:p>
    <w:p w:rsidR="002A5BED" w:rsidRDefault="002A5BED" w:rsidP="00660C45">
      <w:pPr>
        <w:spacing w:line="360" w:lineRule="auto"/>
        <w:ind w:left="34" w:firstLine="675"/>
        <w:jc w:val="both"/>
        <w:rPr>
          <w:rFonts w:eastAsia="Calibri"/>
          <w:sz w:val="28"/>
          <w:szCs w:val="28"/>
        </w:rPr>
      </w:pPr>
    </w:p>
    <w:p w:rsidR="000D438F" w:rsidRDefault="000D438F" w:rsidP="000D438F">
      <w:pPr>
        <w:spacing w:before="120" w:line="360" w:lineRule="auto"/>
        <w:ind w:left="34" w:firstLine="6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Настоящая фармакопейная статья распространяется на препараты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тора свертывания крови </w:t>
      </w:r>
      <w:r>
        <w:rPr>
          <w:sz w:val="28"/>
          <w:szCs w:val="28"/>
          <w:lang w:val="en-US"/>
        </w:rPr>
        <w:t>VIII</w:t>
      </w:r>
      <w:r w:rsidRPr="0088332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человека, полученные из плазмы крови челов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ка для фракционирования.</w:t>
      </w:r>
    </w:p>
    <w:p w:rsidR="000D438F" w:rsidRDefault="000D438F" w:rsidP="000D438F">
      <w:pPr>
        <w:widowControl w:val="0"/>
        <w:spacing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 свертывания крови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человека является препаратом белковой фракции крови человека, содержащим </w:t>
      </w:r>
      <w:proofErr w:type="spellStart"/>
      <w:r>
        <w:rPr>
          <w:sz w:val="28"/>
          <w:szCs w:val="28"/>
        </w:rPr>
        <w:t>гликопротеиновый</w:t>
      </w:r>
      <w:proofErr w:type="spellEnd"/>
      <w:r>
        <w:rPr>
          <w:sz w:val="28"/>
          <w:szCs w:val="28"/>
        </w:rPr>
        <w:t xml:space="preserve"> комплекс фактора свертывания крови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и, в зависимости от метода получения, различные количества фактора </w:t>
      </w:r>
      <w:proofErr w:type="spellStart"/>
      <w:r>
        <w:rPr>
          <w:sz w:val="28"/>
          <w:szCs w:val="28"/>
        </w:rPr>
        <w:t>Виллебранда</w:t>
      </w:r>
      <w:proofErr w:type="spellEnd"/>
      <w:r>
        <w:rPr>
          <w:sz w:val="28"/>
          <w:szCs w:val="28"/>
        </w:rPr>
        <w:t>.</w:t>
      </w:r>
    </w:p>
    <w:p w:rsidR="000D438F" w:rsidRDefault="000D438F" w:rsidP="000D438F">
      <w:pPr>
        <w:widowControl w:val="0"/>
        <w:spacing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препарата после восстановления в условиях, указанных на этикетке, должна быть не менее 20 МЕ фактора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 1 мл.</w:t>
      </w:r>
    </w:p>
    <w:p w:rsidR="000D438F" w:rsidRDefault="000D438F" w:rsidP="000D438F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0D438F" w:rsidRDefault="000D438F" w:rsidP="000D43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производства препаратов фактора свертывания крови </w:t>
      </w:r>
      <w:r>
        <w:rPr>
          <w:sz w:val="28"/>
          <w:szCs w:val="28"/>
          <w:lang w:val="en-US"/>
        </w:rPr>
        <w:t>VIII</w:t>
      </w:r>
      <w:r w:rsidRPr="00883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используется плазма крови здоровых доноров, соответствующая требованиям ФС «Плазма человека для фракционирования». Технология производства включает стадии удаления или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инфекционных агентов. Если для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вирусов в производстве используют химические 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их концентрация должна быть снижена до уровня, не влияющего на безопасность препарата для пациентов. В процессе производства не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зуются </w:t>
      </w:r>
      <w:proofErr w:type="spellStart"/>
      <w:r>
        <w:rPr>
          <w:sz w:val="28"/>
          <w:szCs w:val="28"/>
        </w:rPr>
        <w:t>антимикробные</w:t>
      </w:r>
      <w:proofErr w:type="spellEnd"/>
      <w:r>
        <w:rPr>
          <w:sz w:val="28"/>
          <w:szCs w:val="28"/>
        </w:rPr>
        <w:t xml:space="preserve"> консерванты. Препарат может содержать стабилиз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торы (альбумин, </w:t>
      </w:r>
      <w:proofErr w:type="spellStart"/>
      <w:r>
        <w:rPr>
          <w:sz w:val="28"/>
          <w:szCs w:val="28"/>
        </w:rPr>
        <w:t>полисорбат</w:t>
      </w:r>
      <w:proofErr w:type="spellEnd"/>
      <w:r>
        <w:rPr>
          <w:sz w:val="28"/>
          <w:szCs w:val="28"/>
        </w:rPr>
        <w:t xml:space="preserve">, натрия хлорид, натрия цитрат, кальция хлорид, глицин, лизин и др.). Раствор препарата методом стерилизующей фильтрации </w:t>
      </w:r>
      <w:proofErr w:type="spellStart"/>
      <w:r>
        <w:rPr>
          <w:sz w:val="28"/>
          <w:szCs w:val="28"/>
        </w:rPr>
        <w:t>асептически</w:t>
      </w:r>
      <w:proofErr w:type="spellEnd"/>
      <w:r>
        <w:rPr>
          <w:sz w:val="28"/>
          <w:szCs w:val="28"/>
        </w:rPr>
        <w:t xml:space="preserve"> расфасовывают в первичную упаковку, </w:t>
      </w:r>
      <w:proofErr w:type="spellStart"/>
      <w:r>
        <w:rPr>
          <w:sz w:val="28"/>
          <w:szCs w:val="28"/>
        </w:rPr>
        <w:t>лиофилизируют</w:t>
      </w:r>
      <w:proofErr w:type="spellEnd"/>
      <w:r>
        <w:rPr>
          <w:sz w:val="28"/>
          <w:szCs w:val="28"/>
        </w:rPr>
        <w:t xml:space="preserve"> и ук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поривают под вакуумом или в атмосфере инертного газа.</w:t>
      </w:r>
    </w:p>
    <w:p w:rsidR="000D438F" w:rsidRDefault="000D438F" w:rsidP="000D438F">
      <w:pPr>
        <w:widowControl w:val="0"/>
        <w:tabs>
          <w:tab w:val="left" w:pos="304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0D438F" w:rsidRDefault="000D438F" w:rsidP="000D43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>
        <w:rPr>
          <w:sz w:val="28"/>
          <w:szCs w:val="28"/>
        </w:rPr>
        <w:t>. Белый или бледно-желтый порошок или рыхлое твердое вещество. Определение проводят визуально.</w:t>
      </w:r>
    </w:p>
    <w:p w:rsidR="000D438F" w:rsidRDefault="000D438F" w:rsidP="000D438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Видоспецифичность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Подтверждают наличием только сывороточных белков крови человека.</w:t>
      </w:r>
      <w:r>
        <w:rPr>
          <w:rFonts w:eastAsia="Calibri"/>
          <w:sz w:val="28"/>
          <w:szCs w:val="28"/>
        </w:rPr>
        <w:t xml:space="preserve"> Испытание проводят методом </w:t>
      </w:r>
      <w:proofErr w:type="spellStart"/>
      <w:r>
        <w:rPr>
          <w:rFonts w:eastAsia="Calibri"/>
          <w:sz w:val="28"/>
          <w:szCs w:val="28"/>
        </w:rPr>
        <w:t>иммуноэлектрофореза</w:t>
      </w:r>
      <w:proofErr w:type="spellEnd"/>
      <w:r>
        <w:rPr>
          <w:rFonts w:eastAsia="Calibri"/>
          <w:sz w:val="28"/>
          <w:szCs w:val="28"/>
        </w:rPr>
        <w:t xml:space="preserve"> в геле с использованием сывороток против сывороточных белков крови 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ловека, крупного рогатого скота, лошади и свиньи</w:t>
      </w:r>
      <w:r>
        <w:rPr>
          <w:sz w:val="28"/>
          <w:szCs w:val="28"/>
        </w:rPr>
        <w:t xml:space="preserve"> в соответствии с ОФС «</w:t>
      </w:r>
      <w:proofErr w:type="spellStart"/>
      <w:r>
        <w:rPr>
          <w:sz w:val="28"/>
          <w:szCs w:val="28"/>
        </w:rPr>
        <w:t>Иммуноэлектрофорез</w:t>
      </w:r>
      <w:proofErr w:type="spellEnd"/>
      <w:r>
        <w:rPr>
          <w:sz w:val="28"/>
          <w:szCs w:val="28"/>
        </w:rPr>
        <w:t xml:space="preserve"> в агаровом геле». Допустимо проведение испытания методом </w:t>
      </w:r>
      <w:proofErr w:type="spellStart"/>
      <w:r>
        <w:rPr>
          <w:sz w:val="28"/>
          <w:szCs w:val="28"/>
        </w:rPr>
        <w:t>иммунодиффузии</w:t>
      </w:r>
      <w:proofErr w:type="spellEnd"/>
      <w:r>
        <w:rPr>
          <w:sz w:val="28"/>
          <w:szCs w:val="28"/>
        </w:rPr>
        <w:t xml:space="preserve"> в геле в соответствии с ОФС «</w:t>
      </w:r>
      <w:proofErr w:type="spellStart"/>
      <w:r>
        <w:rPr>
          <w:sz w:val="28"/>
          <w:szCs w:val="28"/>
        </w:rPr>
        <w:t>Иммунодиффузия</w:t>
      </w:r>
      <w:proofErr w:type="spellEnd"/>
      <w:r>
        <w:rPr>
          <w:sz w:val="28"/>
          <w:szCs w:val="28"/>
        </w:rPr>
        <w:t xml:space="preserve"> в геле».</w:t>
      </w:r>
      <w:r>
        <w:rPr>
          <w:rFonts w:eastAsia="Calibri"/>
          <w:sz w:val="28"/>
          <w:szCs w:val="28"/>
        </w:rPr>
        <w:t xml:space="preserve"> В результате испытания должны выявляться линии преципитации только с сывороткой против сывороточных белков крови</w:t>
      </w:r>
      <w:r>
        <w:rPr>
          <w:sz w:val="28"/>
          <w:szCs w:val="28"/>
        </w:rPr>
        <w:t xml:space="preserve"> человека.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Фактор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Подтверждают наличием активности фактора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пытание проводят хромогенным или </w:t>
      </w:r>
      <w:proofErr w:type="spellStart"/>
      <w:r>
        <w:rPr>
          <w:rFonts w:eastAsia="Calibri"/>
          <w:sz w:val="28"/>
          <w:szCs w:val="28"/>
        </w:rPr>
        <w:t>коагулометрическим</w:t>
      </w:r>
      <w:proofErr w:type="spellEnd"/>
      <w:r>
        <w:rPr>
          <w:rFonts w:eastAsia="Calibri"/>
          <w:sz w:val="28"/>
          <w:szCs w:val="28"/>
        </w:rPr>
        <w:t xml:space="preserve"> методом. Опред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ление проводят в соответствии с ОФС «Определение активности факторов свертывания крови».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получения восстановленного препарата.</w:t>
      </w:r>
      <w:r>
        <w:rPr>
          <w:sz w:val="28"/>
          <w:szCs w:val="28"/>
        </w:rPr>
        <w:t xml:space="preserve"> Не более 10 мин (е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в нормативной документации нет других указаний). Приводят описание методики с указанием применяемого растворителя, его объема и условий растворения (температура растворителя, необходимость перемешивания и др.).</w:t>
      </w:r>
    </w:p>
    <w:p w:rsidR="000D438F" w:rsidRDefault="000D438F" w:rsidP="000D438F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Вода. </w:t>
      </w:r>
      <w:r>
        <w:rPr>
          <w:sz w:val="28"/>
          <w:szCs w:val="28"/>
        </w:rPr>
        <w:t>Не более 2 %. Определение проводят методом К.Фишера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ОФС «Определение воды» (если в нормативной документации нет других указаний). Метод определения и необходимое для испытаний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образца указывают в нормативной документации.</w:t>
      </w:r>
    </w:p>
    <w:p w:rsidR="000D438F" w:rsidRDefault="000D438F" w:rsidP="000D438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Механические включения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Видимые механические включения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отсутствовать. Определение проводят в соответствии с ОФС «Видимые механические включения в лекарственных формах для парентерального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менения и глазных лекарственных формах». </w:t>
      </w:r>
      <w:r>
        <w:rPr>
          <w:rFonts w:eastAsia="Calibri"/>
          <w:sz w:val="28"/>
          <w:szCs w:val="28"/>
        </w:rPr>
        <w:t xml:space="preserve">В нормативной документации </w:t>
      </w:r>
      <w:r>
        <w:rPr>
          <w:rFonts w:eastAsia="Calibri"/>
          <w:sz w:val="28"/>
          <w:szCs w:val="28"/>
        </w:rPr>
        <w:lastRenderedPageBreak/>
        <w:t>указывают название растворителя, описывают методику восстановления и (при необходимости) подготовки препарата.</w:t>
      </w:r>
    </w:p>
    <w:p w:rsidR="000D438F" w:rsidRDefault="000D438F" w:rsidP="000D438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От 6,5 до 7,5. Определение проводят потенциометрическим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в соответствии с ОФС 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>».</w:t>
      </w:r>
    </w:p>
    <w:p w:rsidR="000D438F" w:rsidRDefault="000D438F" w:rsidP="000D438F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Осмоляльность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менее 240 </w:t>
      </w:r>
      <w:proofErr w:type="spellStart"/>
      <w:r>
        <w:rPr>
          <w:sz w:val="28"/>
          <w:szCs w:val="28"/>
        </w:rPr>
        <w:t>мОсм</w:t>
      </w:r>
      <w:proofErr w:type="spellEnd"/>
      <w:r>
        <w:rPr>
          <w:sz w:val="28"/>
          <w:szCs w:val="28"/>
        </w:rPr>
        <w:t>/кг. Определение проводят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ОФС «</w:t>
      </w:r>
      <w:proofErr w:type="spellStart"/>
      <w:r>
        <w:rPr>
          <w:sz w:val="28"/>
          <w:szCs w:val="28"/>
        </w:rPr>
        <w:t>Осмолярность</w:t>
      </w:r>
      <w:proofErr w:type="spellEnd"/>
      <w:r>
        <w:rPr>
          <w:sz w:val="28"/>
          <w:szCs w:val="28"/>
        </w:rPr>
        <w:t>».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Белок</w:t>
      </w:r>
      <w:r>
        <w:rPr>
          <w:sz w:val="28"/>
          <w:szCs w:val="28"/>
        </w:rPr>
        <w:t>. Количественное содержание белка в расчете на флакон или мл восстановленного раствора указывают в нормативной документации.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проводят в соответствии с ОФС «Определение белка».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Активность фактора свертывания крови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Активность фактора свертывания крови </w:t>
      </w:r>
      <w:r>
        <w:rPr>
          <w:sz w:val="28"/>
          <w:szCs w:val="28"/>
          <w:lang w:val="en-US"/>
        </w:rPr>
        <w:t>VIII</w:t>
      </w:r>
      <w:r w:rsidRPr="00883327">
        <w:rPr>
          <w:sz w:val="28"/>
          <w:szCs w:val="28"/>
        </w:rPr>
        <w:t xml:space="preserve"> </w:t>
      </w:r>
      <w:r>
        <w:rPr>
          <w:sz w:val="28"/>
          <w:szCs w:val="28"/>
        </w:rPr>
        <w:t>в расчете на флакон или мл восстановленного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твора указывают в нормативной документации. Определение проводят </w:t>
      </w:r>
      <w:proofErr w:type="spellStart"/>
      <w:r>
        <w:rPr>
          <w:sz w:val="28"/>
          <w:szCs w:val="28"/>
        </w:rPr>
        <w:t>ко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гулометрическим</w:t>
      </w:r>
      <w:proofErr w:type="spellEnd"/>
      <w:r>
        <w:rPr>
          <w:sz w:val="28"/>
          <w:szCs w:val="28"/>
        </w:rPr>
        <w:t xml:space="preserve"> методом в соответствии с ОФС «Определение активности факторов свертывания крови».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Фактор </w:t>
      </w:r>
      <w:proofErr w:type="spellStart"/>
      <w:r>
        <w:rPr>
          <w:b/>
          <w:sz w:val="28"/>
          <w:szCs w:val="28"/>
        </w:rPr>
        <w:t>Виллебранда</w:t>
      </w:r>
      <w:proofErr w:type="spellEnd"/>
      <w:r>
        <w:rPr>
          <w:sz w:val="28"/>
          <w:szCs w:val="28"/>
        </w:rPr>
        <w:t xml:space="preserve">. Активность фактора свертывания </w:t>
      </w:r>
      <w:proofErr w:type="spellStart"/>
      <w:r>
        <w:rPr>
          <w:sz w:val="28"/>
          <w:szCs w:val="28"/>
        </w:rPr>
        <w:t>Виллебранда</w:t>
      </w:r>
      <w:proofErr w:type="spellEnd"/>
      <w:r>
        <w:rPr>
          <w:sz w:val="28"/>
          <w:szCs w:val="28"/>
        </w:rPr>
        <w:t xml:space="preserve"> в расчете на флакон или мл восстановленного раствора указывают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документации. Определение проводят </w:t>
      </w:r>
      <w:r>
        <w:rPr>
          <w:rFonts w:eastAsia="Calibri"/>
          <w:sz w:val="28"/>
          <w:szCs w:val="28"/>
        </w:rPr>
        <w:t xml:space="preserve">методом агглютинации или </w:t>
      </w:r>
      <w:r>
        <w:rPr>
          <w:sz w:val="28"/>
          <w:szCs w:val="28"/>
        </w:rPr>
        <w:t>иммуноферментным методом в соответствии с ОФС «Определение активн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факторов свертывания крови».</w:t>
      </w:r>
    </w:p>
    <w:p w:rsidR="00484890" w:rsidRPr="00484890" w:rsidRDefault="00484890" w:rsidP="000D438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84890">
        <w:rPr>
          <w:b/>
          <w:sz w:val="28"/>
          <w:szCs w:val="28"/>
        </w:rPr>
        <w:t>Анти-А</w:t>
      </w:r>
      <w:proofErr w:type="spellEnd"/>
      <w:r w:rsidRPr="00484890">
        <w:rPr>
          <w:b/>
          <w:sz w:val="28"/>
          <w:szCs w:val="28"/>
        </w:rPr>
        <w:t xml:space="preserve"> и </w:t>
      </w:r>
      <w:proofErr w:type="spellStart"/>
      <w:r w:rsidRPr="00484890">
        <w:rPr>
          <w:b/>
          <w:sz w:val="28"/>
          <w:szCs w:val="28"/>
        </w:rPr>
        <w:t>анти-В</w:t>
      </w:r>
      <w:proofErr w:type="spellEnd"/>
      <w:r w:rsidRPr="00484890">
        <w:rPr>
          <w:b/>
          <w:sz w:val="28"/>
          <w:szCs w:val="28"/>
        </w:rPr>
        <w:t xml:space="preserve"> гемагглютинины</w:t>
      </w:r>
      <w:r w:rsidR="00102D13">
        <w:rPr>
          <w:b/>
          <w:sz w:val="28"/>
          <w:szCs w:val="28"/>
        </w:rPr>
        <w:t>.</w:t>
      </w:r>
      <w:r w:rsidRPr="00484890">
        <w:rPr>
          <w:b/>
          <w:sz w:val="28"/>
          <w:szCs w:val="28"/>
        </w:rPr>
        <w:t xml:space="preserve">  </w:t>
      </w:r>
      <w:r w:rsidRPr="00484890">
        <w:rPr>
          <w:sz w:val="28"/>
          <w:szCs w:val="28"/>
        </w:rPr>
        <w:t>Агглютинация должна отсутс</w:t>
      </w:r>
      <w:r w:rsidRPr="00484890">
        <w:rPr>
          <w:sz w:val="28"/>
          <w:szCs w:val="28"/>
        </w:rPr>
        <w:t>т</w:t>
      </w:r>
      <w:r w:rsidRPr="00484890">
        <w:rPr>
          <w:sz w:val="28"/>
          <w:szCs w:val="28"/>
        </w:rPr>
        <w:t xml:space="preserve">вовать в разведении препарата 1:64. Испытания проводят в соответствии с ОФС «Определение </w:t>
      </w:r>
      <w:proofErr w:type="spellStart"/>
      <w:r w:rsidRPr="00484890">
        <w:rPr>
          <w:sz w:val="28"/>
          <w:szCs w:val="28"/>
        </w:rPr>
        <w:t>анти-А</w:t>
      </w:r>
      <w:proofErr w:type="spellEnd"/>
      <w:r w:rsidRPr="00484890">
        <w:rPr>
          <w:sz w:val="28"/>
          <w:szCs w:val="28"/>
        </w:rPr>
        <w:t xml:space="preserve"> и </w:t>
      </w:r>
      <w:proofErr w:type="spellStart"/>
      <w:r w:rsidRPr="00484890">
        <w:rPr>
          <w:sz w:val="28"/>
          <w:szCs w:val="28"/>
        </w:rPr>
        <w:t>анти-В</w:t>
      </w:r>
      <w:proofErr w:type="spellEnd"/>
      <w:r w:rsidRPr="00484890">
        <w:rPr>
          <w:sz w:val="28"/>
          <w:szCs w:val="28"/>
        </w:rPr>
        <w:t xml:space="preserve"> гемагглютининов в лекарственных пр</w:t>
      </w:r>
      <w:r w:rsidRPr="00484890">
        <w:rPr>
          <w:sz w:val="28"/>
          <w:szCs w:val="28"/>
        </w:rPr>
        <w:t>е</w:t>
      </w:r>
      <w:r w:rsidRPr="00484890">
        <w:rPr>
          <w:sz w:val="28"/>
          <w:szCs w:val="28"/>
        </w:rPr>
        <w:t>паратах иммуноглобулинов человека».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Стабилизато</w:t>
      </w:r>
      <w:proofErr w:type="gramStart"/>
      <w:r>
        <w:rPr>
          <w:b/>
          <w:sz w:val="28"/>
          <w:szCs w:val="28"/>
        </w:rPr>
        <w:t>р(</w:t>
      </w:r>
      <w:proofErr w:type="spellStart"/>
      <w:proofErr w:type="gramEnd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Проводят количественное определение вносим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в препарат стабилизатора(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 соответствии с ОФС «</w:t>
      </w:r>
      <w:r>
        <w:rPr>
          <w:spacing w:val="-2"/>
          <w:sz w:val="28"/>
          <w:szCs w:val="28"/>
        </w:rPr>
        <w:t>Газовая хром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тография»</w:t>
      </w:r>
      <w:r>
        <w:rPr>
          <w:iCs/>
          <w:spacing w:val="-2"/>
          <w:sz w:val="28"/>
          <w:szCs w:val="28"/>
        </w:rPr>
        <w:t xml:space="preserve"> и/или </w:t>
      </w:r>
      <w:r>
        <w:rPr>
          <w:sz w:val="28"/>
          <w:szCs w:val="28"/>
        </w:rPr>
        <w:t>ОФС «Высокоэффективная жидкостная хроматография»,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в нормативной документации нет других указаний.</w:t>
      </w:r>
    </w:p>
    <w:p w:rsidR="000D438F" w:rsidRDefault="000D438F" w:rsidP="000D438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Допустимый предел содержания стабилизатор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должен быть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 в нормативной документации.</w:t>
      </w:r>
    </w:p>
    <w:p w:rsidR="000D438F" w:rsidRDefault="000D438F" w:rsidP="000D43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Вирусинактивирующие</w:t>
      </w:r>
      <w:proofErr w:type="spellEnd"/>
      <w:r>
        <w:rPr>
          <w:b/>
          <w:sz w:val="28"/>
          <w:szCs w:val="28"/>
        </w:rPr>
        <w:t xml:space="preserve"> агенты.</w:t>
      </w:r>
      <w:r>
        <w:rPr>
          <w:sz w:val="28"/>
          <w:szCs w:val="28"/>
        </w:rPr>
        <w:t xml:space="preserve"> Проводят количественное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ние остаточного содержания в препарате </w:t>
      </w:r>
      <w:proofErr w:type="spellStart"/>
      <w:r>
        <w:rPr>
          <w:sz w:val="28"/>
          <w:szCs w:val="28"/>
        </w:rPr>
        <w:t>вирусинактивирующег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их) аге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 соответствии с ОФС «</w:t>
      </w:r>
      <w:r>
        <w:rPr>
          <w:spacing w:val="-2"/>
          <w:sz w:val="28"/>
          <w:szCs w:val="28"/>
        </w:rPr>
        <w:t xml:space="preserve">Газовая хроматография» </w:t>
      </w:r>
      <w:r>
        <w:rPr>
          <w:iCs/>
          <w:spacing w:val="-2"/>
          <w:sz w:val="28"/>
          <w:szCs w:val="28"/>
        </w:rPr>
        <w:t xml:space="preserve">и/или </w:t>
      </w:r>
      <w:r>
        <w:rPr>
          <w:sz w:val="28"/>
          <w:szCs w:val="28"/>
        </w:rPr>
        <w:t>ОФС «Высок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эффективная жидкостная хроматография», если в нормативной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нет других указаний. Допустимый предел содержания </w:t>
      </w:r>
      <w:proofErr w:type="spellStart"/>
      <w:r>
        <w:rPr>
          <w:sz w:val="28"/>
          <w:szCs w:val="28"/>
        </w:rPr>
        <w:t>вирусинактив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их) агента(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должен быть указан в нормативной документации.</w:t>
      </w:r>
    </w:p>
    <w:p w:rsidR="000D438F" w:rsidRDefault="000D438F" w:rsidP="000D43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Стерильность.</w:t>
      </w:r>
      <w:r>
        <w:rPr>
          <w:sz w:val="28"/>
          <w:szCs w:val="28"/>
        </w:rPr>
        <w:t xml:space="preserve"> Препарат должен быть стерильным. Испытание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в соответствии с ОФС «Стерильность».</w:t>
      </w:r>
    </w:p>
    <w:p w:rsidR="001F58C8" w:rsidRPr="005321F7" w:rsidRDefault="000D438F" w:rsidP="001F58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Пирогенность</w:t>
      </w:r>
      <w:proofErr w:type="spellEnd"/>
      <w:r>
        <w:rPr>
          <w:b/>
          <w:sz w:val="28"/>
          <w:szCs w:val="28"/>
        </w:rPr>
        <w:t xml:space="preserve"> или бактериальные эндотоксины.</w:t>
      </w:r>
      <w:r w:rsidR="001F58C8" w:rsidRPr="001F58C8">
        <w:rPr>
          <w:sz w:val="28"/>
          <w:szCs w:val="28"/>
        </w:rPr>
        <w:t xml:space="preserve"> </w:t>
      </w:r>
      <w:r w:rsidR="001F58C8" w:rsidRPr="005321F7">
        <w:rPr>
          <w:sz w:val="28"/>
          <w:szCs w:val="28"/>
        </w:rPr>
        <w:t xml:space="preserve">Должен быть </w:t>
      </w:r>
      <w:proofErr w:type="spellStart"/>
      <w:r w:rsidR="001F58C8" w:rsidRPr="005321F7">
        <w:rPr>
          <w:sz w:val="28"/>
          <w:szCs w:val="28"/>
        </w:rPr>
        <w:t>ап</w:t>
      </w:r>
      <w:r w:rsidR="001F58C8" w:rsidRPr="005321F7">
        <w:rPr>
          <w:sz w:val="28"/>
          <w:szCs w:val="28"/>
        </w:rPr>
        <w:t>и</w:t>
      </w:r>
      <w:r w:rsidR="001F58C8" w:rsidRPr="005321F7">
        <w:rPr>
          <w:sz w:val="28"/>
          <w:szCs w:val="28"/>
        </w:rPr>
        <w:t>рогенным</w:t>
      </w:r>
      <w:proofErr w:type="spellEnd"/>
      <w:r w:rsidR="001F58C8" w:rsidRPr="005321F7">
        <w:rPr>
          <w:sz w:val="28"/>
          <w:szCs w:val="28"/>
        </w:rPr>
        <w:t xml:space="preserve"> или </w:t>
      </w:r>
      <w:r w:rsidR="001F58C8" w:rsidRPr="005321F7">
        <w:rPr>
          <w:rFonts w:eastAsia="Calibri"/>
          <w:sz w:val="28"/>
          <w:szCs w:val="28"/>
        </w:rPr>
        <w:t xml:space="preserve">содержать бактериальные эндотоксины в количестве </w:t>
      </w:r>
      <w:r w:rsidR="001F58C8" w:rsidRPr="005321F7">
        <w:rPr>
          <w:sz w:val="28"/>
          <w:szCs w:val="28"/>
        </w:rPr>
        <w:t>не более 0,03 ЕЭ на 1 МЕ активности фактора свертывания крови VIII.</w:t>
      </w:r>
    </w:p>
    <w:p w:rsidR="001F58C8" w:rsidRPr="005321F7" w:rsidRDefault="001F58C8" w:rsidP="001F58C8">
      <w:pPr>
        <w:spacing w:line="360" w:lineRule="auto"/>
        <w:ind w:firstLine="709"/>
        <w:jc w:val="both"/>
        <w:rPr>
          <w:sz w:val="28"/>
          <w:szCs w:val="28"/>
        </w:rPr>
      </w:pPr>
      <w:r w:rsidRPr="005321F7">
        <w:rPr>
          <w:sz w:val="28"/>
          <w:szCs w:val="28"/>
        </w:rPr>
        <w:t>Испытание проводят в соответствии с ОФС «</w:t>
      </w:r>
      <w:proofErr w:type="spellStart"/>
      <w:r w:rsidRPr="005321F7">
        <w:rPr>
          <w:sz w:val="28"/>
          <w:szCs w:val="28"/>
        </w:rPr>
        <w:t>Пирогенность</w:t>
      </w:r>
      <w:proofErr w:type="spellEnd"/>
      <w:r w:rsidRPr="005321F7">
        <w:rPr>
          <w:sz w:val="28"/>
          <w:szCs w:val="28"/>
        </w:rPr>
        <w:t xml:space="preserve">» (тест-доза– </w:t>
      </w:r>
      <w:proofErr w:type="gramStart"/>
      <w:r w:rsidRPr="005321F7">
        <w:rPr>
          <w:sz w:val="28"/>
          <w:szCs w:val="28"/>
        </w:rPr>
        <w:t>не</w:t>
      </w:r>
      <w:proofErr w:type="gramEnd"/>
      <w:r w:rsidRPr="005321F7">
        <w:rPr>
          <w:sz w:val="28"/>
          <w:szCs w:val="28"/>
        </w:rPr>
        <w:t xml:space="preserve"> менее 50 МЕ фактора свертывания крови VIII на 1 кг массы живо</w:t>
      </w:r>
      <w:r w:rsidRPr="005321F7">
        <w:rPr>
          <w:sz w:val="28"/>
          <w:szCs w:val="28"/>
        </w:rPr>
        <w:t>т</w:t>
      </w:r>
      <w:r w:rsidRPr="005321F7">
        <w:rPr>
          <w:sz w:val="28"/>
          <w:szCs w:val="28"/>
        </w:rPr>
        <w:t>ного) или в соответствии с ОФС «Бактериальные эндотоксины» методом, указа</w:t>
      </w:r>
      <w:r>
        <w:rPr>
          <w:sz w:val="28"/>
          <w:szCs w:val="28"/>
        </w:rPr>
        <w:t>нным в нормативной документации.</w:t>
      </w:r>
    </w:p>
    <w:p w:rsidR="000D438F" w:rsidRDefault="000D438F" w:rsidP="001F58C8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Вирусная безопасность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Поверхностный антиген вируса гепатита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HBsAg</w:t>
      </w:r>
      <w:proofErr w:type="spellEnd"/>
      <w:r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решенных к применению в практике здравоохранения России и имеющих чувствительность не ниже 0,1 МЕ/мл</w:t>
      </w:r>
      <w:r>
        <w:rPr>
          <w:rFonts w:eastAsia="Calibri"/>
          <w:sz w:val="28"/>
          <w:szCs w:val="28"/>
        </w:rPr>
        <w:t xml:space="preserve"> в соответствии с инструкциями по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менению</w:t>
      </w:r>
      <w:r>
        <w:rPr>
          <w:sz w:val="28"/>
          <w:szCs w:val="28"/>
        </w:rPr>
        <w:t>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Антитела к вирусу гепатита С. </w:t>
      </w:r>
      <w:r>
        <w:rPr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тест-систем, разрешенных к применению в практике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России и имеющих 100% чувствительность и специфичность</w:t>
      </w:r>
      <w:r>
        <w:rPr>
          <w:rFonts w:eastAsia="Calibri"/>
          <w:sz w:val="28"/>
          <w:szCs w:val="28"/>
        </w:rPr>
        <w:t xml:space="preserve"> в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ответствии с инструкциями по применению</w:t>
      </w:r>
      <w:r>
        <w:rPr>
          <w:sz w:val="28"/>
          <w:szCs w:val="28"/>
        </w:rPr>
        <w:t>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Антитела к вирусу иммунодефицита человека (ВИЧ-1и ВИЧ-2)</w:t>
      </w:r>
      <w:r>
        <w:rPr>
          <w:rFonts w:eastAsia="Calibri"/>
          <w:b/>
          <w:sz w:val="28"/>
          <w:szCs w:val="28"/>
        </w:rPr>
        <w:t xml:space="preserve"> и антиген р24 ВИЧ-1.</w:t>
      </w:r>
      <w:r>
        <w:rPr>
          <w:sz w:val="28"/>
          <w:szCs w:val="28"/>
        </w:rPr>
        <w:t xml:space="preserve"> Препарат не должен содержать антител к вирусу имм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нодефицита человека (ВИЧ-1 и ВИЧ-2)</w:t>
      </w:r>
      <w:r>
        <w:rPr>
          <w:rFonts w:eastAsia="Calibri"/>
          <w:sz w:val="28"/>
          <w:szCs w:val="28"/>
        </w:rPr>
        <w:t xml:space="preserve"> и антиген р24 ВИЧ-1</w:t>
      </w:r>
      <w:r>
        <w:rPr>
          <w:sz w:val="28"/>
          <w:szCs w:val="28"/>
        </w:rPr>
        <w:t>. Определение проводят иммуноферментным методом с использованием тест-систем,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решенных к применению в практике здравоохранения России и имеющих 100% чувствительность и специфичность</w:t>
      </w:r>
      <w:r>
        <w:rPr>
          <w:rFonts w:eastAsia="Calibri"/>
          <w:sz w:val="28"/>
          <w:szCs w:val="28"/>
        </w:rPr>
        <w:t xml:space="preserve"> в соответствии с инструкциями по применению</w:t>
      </w:r>
      <w:r>
        <w:rPr>
          <w:sz w:val="28"/>
          <w:szCs w:val="28"/>
        </w:rPr>
        <w:t>.</w:t>
      </w:r>
    </w:p>
    <w:p w:rsidR="000D438F" w:rsidRDefault="000D438F" w:rsidP="000D43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Упаковка</w:t>
      </w:r>
      <w:r>
        <w:rPr>
          <w:rFonts w:eastAsia="Calibri"/>
          <w:b/>
          <w:sz w:val="28"/>
          <w:szCs w:val="28"/>
        </w:rPr>
        <w:t xml:space="preserve"> и маркировка.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ОФС «Лекарственные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параты из плазмы крови человека».</w:t>
      </w:r>
    </w:p>
    <w:p w:rsidR="000D438F" w:rsidRDefault="000D438F" w:rsidP="000D43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rFonts w:eastAsia="Calibri"/>
          <w:b/>
          <w:sz w:val="28"/>
          <w:szCs w:val="28"/>
        </w:rPr>
        <w:t>ранение.</w:t>
      </w:r>
      <w:r>
        <w:rPr>
          <w:sz w:val="28"/>
          <w:szCs w:val="28"/>
        </w:rPr>
        <w:t xml:space="preserve"> </w:t>
      </w:r>
      <w:r w:rsidR="001F58C8">
        <w:rPr>
          <w:sz w:val="28"/>
          <w:szCs w:val="28"/>
        </w:rPr>
        <w:t>В</w:t>
      </w:r>
      <w:r>
        <w:rPr>
          <w:sz w:val="28"/>
          <w:szCs w:val="28"/>
        </w:rPr>
        <w:t xml:space="preserve"> защищенном от света месте при температуре от 2 до 8 °С</w:t>
      </w:r>
      <w:r w:rsidR="00DF0D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3F7C" w:rsidRDefault="002F3F7C" w:rsidP="000D438F">
      <w:pPr>
        <w:spacing w:before="120" w:line="360" w:lineRule="auto"/>
        <w:ind w:left="34" w:firstLine="675"/>
        <w:jc w:val="both"/>
        <w:rPr>
          <w:sz w:val="28"/>
          <w:szCs w:val="28"/>
        </w:rPr>
      </w:pPr>
    </w:p>
    <w:sectPr w:rsidR="002F3F7C" w:rsidSect="00660C45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E1" w:rsidRDefault="00D909E1">
      <w:r>
        <w:separator/>
      </w:r>
    </w:p>
  </w:endnote>
  <w:endnote w:type="continuationSeparator" w:id="0">
    <w:p w:rsidR="00D909E1" w:rsidRDefault="00D9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1367"/>
      <w:docPartObj>
        <w:docPartGallery w:val="Page Numbers (Bottom of Page)"/>
        <w:docPartUnique/>
      </w:docPartObj>
    </w:sdtPr>
    <w:sdtContent>
      <w:p w:rsidR="00F64903" w:rsidRDefault="005C0C6C">
        <w:pPr>
          <w:pStyle w:val="a4"/>
          <w:jc w:val="center"/>
        </w:pPr>
        <w:fldSimple w:instr=" PAGE   \* MERGEFORMAT ">
          <w:r w:rsidR="006E46E8">
            <w:rPr>
              <w:noProof/>
            </w:rPr>
            <w:t>5</w:t>
          </w:r>
        </w:fldSimple>
      </w:p>
    </w:sdtContent>
  </w:sdt>
  <w:p w:rsidR="00E6294D" w:rsidRPr="00883327" w:rsidRDefault="00E6294D" w:rsidP="008833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1366"/>
      <w:docPartObj>
        <w:docPartGallery w:val="Page Numbers (Bottom of Page)"/>
        <w:docPartUnique/>
      </w:docPartObj>
    </w:sdtPr>
    <w:sdtContent>
      <w:p w:rsidR="00F64903" w:rsidRDefault="005C0C6C">
        <w:pPr>
          <w:pStyle w:val="a4"/>
          <w:jc w:val="center"/>
        </w:pPr>
      </w:p>
    </w:sdtContent>
  </w:sdt>
  <w:p w:rsidR="00883327" w:rsidRDefault="008833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E1" w:rsidRDefault="00D909E1">
      <w:r>
        <w:separator/>
      </w:r>
    </w:p>
  </w:footnote>
  <w:footnote w:type="continuationSeparator" w:id="0">
    <w:p w:rsidR="00D909E1" w:rsidRDefault="00D9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5" w:rsidRPr="004D5862" w:rsidRDefault="00DC3745" w:rsidP="004D5862">
    <w:pPr>
      <w:widowControl w:val="0"/>
      <w:spacing w:line="360" w:lineRule="auto"/>
      <w:jc w:val="right"/>
      <w:rPr>
        <w:sz w:val="28"/>
        <w:szCs w:val="28"/>
      </w:rPr>
    </w:pPr>
    <w:r w:rsidRPr="004D5862">
      <w:rPr>
        <w:sz w:val="28"/>
        <w:szCs w:val="28"/>
      </w:rPr>
      <w:tab/>
    </w:r>
    <w:r w:rsidRPr="004D5862">
      <w:rPr>
        <w:sz w:val="28"/>
        <w:szCs w:val="28"/>
      </w:rPr>
      <w:tab/>
    </w:r>
    <w:r w:rsidRPr="004D5862">
      <w:rPr>
        <w:sz w:val="28"/>
        <w:szCs w:val="28"/>
      </w:rPr>
      <w:tab/>
    </w:r>
    <w:r w:rsidRPr="004D5862">
      <w:rPr>
        <w:sz w:val="28"/>
        <w:szCs w:val="28"/>
      </w:rPr>
      <w:tab/>
    </w:r>
    <w:r w:rsidRPr="004D5862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9B4328"/>
    <w:multiLevelType w:val="hybridMultilevel"/>
    <w:tmpl w:val="67325418"/>
    <w:lvl w:ilvl="0" w:tplc="9F7A85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06799E"/>
    <w:multiLevelType w:val="hybridMultilevel"/>
    <w:tmpl w:val="7C24F4AC"/>
    <w:lvl w:ilvl="0" w:tplc="9BA2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B03AB"/>
    <w:multiLevelType w:val="singleLevel"/>
    <w:tmpl w:val="B09CD9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40D32215"/>
    <w:multiLevelType w:val="singleLevel"/>
    <w:tmpl w:val="556688B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0D56873"/>
    <w:multiLevelType w:val="singleLevel"/>
    <w:tmpl w:val="AD2C1354"/>
    <w:lvl w:ilvl="0">
      <w:start w:val="250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1767CF5"/>
    <w:multiLevelType w:val="singleLevel"/>
    <w:tmpl w:val="461C31C8"/>
    <w:lvl w:ilvl="0">
      <w:start w:val="5"/>
      <w:numFmt w:val="decimal"/>
      <w:lvlText w:val="%1-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022675B"/>
    <w:multiLevelType w:val="singleLevel"/>
    <w:tmpl w:val="C684470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560F47CC"/>
    <w:multiLevelType w:val="singleLevel"/>
    <w:tmpl w:val="620825CE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DA95441"/>
    <w:multiLevelType w:val="singleLevel"/>
    <w:tmpl w:val="10086E78"/>
    <w:lvl w:ilvl="0">
      <w:start w:val="250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5DF11F18"/>
    <w:multiLevelType w:val="singleLevel"/>
    <w:tmpl w:val="620825C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F961831"/>
    <w:multiLevelType w:val="singleLevel"/>
    <w:tmpl w:val="9E06B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7E152F8F"/>
    <w:multiLevelType w:val="singleLevel"/>
    <w:tmpl w:val="62AA78D6"/>
    <w:lvl w:ilvl="0">
      <w:start w:val="5"/>
      <w:numFmt w:val="decimal"/>
      <w:lvlText w:val="%1-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7E317816"/>
    <w:multiLevelType w:val="singleLevel"/>
    <w:tmpl w:val="B09CD9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61"/>
    <w:rsid w:val="0000342D"/>
    <w:rsid w:val="0000664C"/>
    <w:rsid w:val="00007560"/>
    <w:rsid w:val="0001120D"/>
    <w:rsid w:val="00014F78"/>
    <w:rsid w:val="00026F7D"/>
    <w:rsid w:val="000303EA"/>
    <w:rsid w:val="00033283"/>
    <w:rsid w:val="00033307"/>
    <w:rsid w:val="000346C1"/>
    <w:rsid w:val="0003664E"/>
    <w:rsid w:val="00043512"/>
    <w:rsid w:val="00044EF5"/>
    <w:rsid w:val="00046B06"/>
    <w:rsid w:val="0005761C"/>
    <w:rsid w:val="00067102"/>
    <w:rsid w:val="000802E7"/>
    <w:rsid w:val="00080517"/>
    <w:rsid w:val="000949F9"/>
    <w:rsid w:val="00094AF1"/>
    <w:rsid w:val="000B11C3"/>
    <w:rsid w:val="000B251C"/>
    <w:rsid w:val="000B7243"/>
    <w:rsid w:val="000B7545"/>
    <w:rsid w:val="000C7CFE"/>
    <w:rsid w:val="000D0543"/>
    <w:rsid w:val="000D2BF4"/>
    <w:rsid w:val="000D438F"/>
    <w:rsid w:val="000D5738"/>
    <w:rsid w:val="000E668D"/>
    <w:rsid w:val="000E6C77"/>
    <w:rsid w:val="000F1047"/>
    <w:rsid w:val="000F7732"/>
    <w:rsid w:val="0010295D"/>
    <w:rsid w:val="00102D13"/>
    <w:rsid w:val="00110AE8"/>
    <w:rsid w:val="00117B33"/>
    <w:rsid w:val="0015022A"/>
    <w:rsid w:val="0015081C"/>
    <w:rsid w:val="00164253"/>
    <w:rsid w:val="00172A53"/>
    <w:rsid w:val="00173BF5"/>
    <w:rsid w:val="001828F4"/>
    <w:rsid w:val="00186329"/>
    <w:rsid w:val="00190350"/>
    <w:rsid w:val="001A37E8"/>
    <w:rsid w:val="001A4EB5"/>
    <w:rsid w:val="001A5E4C"/>
    <w:rsid w:val="001A7980"/>
    <w:rsid w:val="001B6D39"/>
    <w:rsid w:val="001C0944"/>
    <w:rsid w:val="001C7AC3"/>
    <w:rsid w:val="001F1F7C"/>
    <w:rsid w:val="001F3023"/>
    <w:rsid w:val="001F34DD"/>
    <w:rsid w:val="001F58C8"/>
    <w:rsid w:val="0020171B"/>
    <w:rsid w:val="0020435D"/>
    <w:rsid w:val="00213BF6"/>
    <w:rsid w:val="00221BA0"/>
    <w:rsid w:val="002226FB"/>
    <w:rsid w:val="00223652"/>
    <w:rsid w:val="00224FA4"/>
    <w:rsid w:val="002322F4"/>
    <w:rsid w:val="0023467E"/>
    <w:rsid w:val="0023516A"/>
    <w:rsid w:val="00235798"/>
    <w:rsid w:val="00241CD4"/>
    <w:rsid w:val="002457E3"/>
    <w:rsid w:val="002458C0"/>
    <w:rsid w:val="002471CC"/>
    <w:rsid w:val="002548C2"/>
    <w:rsid w:val="002613C7"/>
    <w:rsid w:val="0027409A"/>
    <w:rsid w:val="00283B9F"/>
    <w:rsid w:val="002960D5"/>
    <w:rsid w:val="002A4897"/>
    <w:rsid w:val="002A5BED"/>
    <w:rsid w:val="002A6678"/>
    <w:rsid w:val="002B3F4E"/>
    <w:rsid w:val="002B4ADF"/>
    <w:rsid w:val="002B5561"/>
    <w:rsid w:val="002C728F"/>
    <w:rsid w:val="002D5236"/>
    <w:rsid w:val="002E2053"/>
    <w:rsid w:val="002E4668"/>
    <w:rsid w:val="002E554F"/>
    <w:rsid w:val="002F21BB"/>
    <w:rsid w:val="002F2FD4"/>
    <w:rsid w:val="002F3F7C"/>
    <w:rsid w:val="003168F6"/>
    <w:rsid w:val="00323A68"/>
    <w:rsid w:val="00326D0E"/>
    <w:rsid w:val="00330395"/>
    <w:rsid w:val="00334809"/>
    <w:rsid w:val="00354FBC"/>
    <w:rsid w:val="00356BA2"/>
    <w:rsid w:val="003739F9"/>
    <w:rsid w:val="003745A0"/>
    <w:rsid w:val="00376D9C"/>
    <w:rsid w:val="003A5670"/>
    <w:rsid w:val="003A5BD2"/>
    <w:rsid w:val="003C0EBC"/>
    <w:rsid w:val="003C1DA1"/>
    <w:rsid w:val="003C690F"/>
    <w:rsid w:val="003E14F0"/>
    <w:rsid w:val="003E607D"/>
    <w:rsid w:val="003F6822"/>
    <w:rsid w:val="00400F0C"/>
    <w:rsid w:val="004070E8"/>
    <w:rsid w:val="00411195"/>
    <w:rsid w:val="0041254F"/>
    <w:rsid w:val="0041381E"/>
    <w:rsid w:val="004139C5"/>
    <w:rsid w:val="00414811"/>
    <w:rsid w:val="004165D5"/>
    <w:rsid w:val="004505F0"/>
    <w:rsid w:val="0045093B"/>
    <w:rsid w:val="00451E19"/>
    <w:rsid w:val="00454458"/>
    <w:rsid w:val="00464273"/>
    <w:rsid w:val="00464D44"/>
    <w:rsid w:val="00474FA6"/>
    <w:rsid w:val="00480107"/>
    <w:rsid w:val="00483579"/>
    <w:rsid w:val="00484890"/>
    <w:rsid w:val="00496E82"/>
    <w:rsid w:val="00497E69"/>
    <w:rsid w:val="004A106F"/>
    <w:rsid w:val="004B18C3"/>
    <w:rsid w:val="004B30D3"/>
    <w:rsid w:val="004C4C02"/>
    <w:rsid w:val="004C6DAD"/>
    <w:rsid w:val="004D4DCF"/>
    <w:rsid w:val="004D5862"/>
    <w:rsid w:val="004D5E46"/>
    <w:rsid w:val="004D5FED"/>
    <w:rsid w:val="004F445C"/>
    <w:rsid w:val="00502D1F"/>
    <w:rsid w:val="00504FC8"/>
    <w:rsid w:val="005060D6"/>
    <w:rsid w:val="00516521"/>
    <w:rsid w:val="0053269E"/>
    <w:rsid w:val="005349BB"/>
    <w:rsid w:val="00540675"/>
    <w:rsid w:val="0055330A"/>
    <w:rsid w:val="00565220"/>
    <w:rsid w:val="0056571A"/>
    <w:rsid w:val="00565808"/>
    <w:rsid w:val="005663B5"/>
    <w:rsid w:val="005733C0"/>
    <w:rsid w:val="00573431"/>
    <w:rsid w:val="00574053"/>
    <w:rsid w:val="00582735"/>
    <w:rsid w:val="00584CB8"/>
    <w:rsid w:val="00586A64"/>
    <w:rsid w:val="005B09C7"/>
    <w:rsid w:val="005B4C0D"/>
    <w:rsid w:val="005B7883"/>
    <w:rsid w:val="005C0C6C"/>
    <w:rsid w:val="005C23D6"/>
    <w:rsid w:val="005C2969"/>
    <w:rsid w:val="005C2ED8"/>
    <w:rsid w:val="005C4D0B"/>
    <w:rsid w:val="005C676C"/>
    <w:rsid w:val="005C6818"/>
    <w:rsid w:val="005C788B"/>
    <w:rsid w:val="005D26F5"/>
    <w:rsid w:val="005E44DF"/>
    <w:rsid w:val="005F4A96"/>
    <w:rsid w:val="00604DBB"/>
    <w:rsid w:val="00611F94"/>
    <w:rsid w:val="006323FC"/>
    <w:rsid w:val="00634E34"/>
    <w:rsid w:val="0063517A"/>
    <w:rsid w:val="006444BA"/>
    <w:rsid w:val="006532C1"/>
    <w:rsid w:val="00660C45"/>
    <w:rsid w:val="006612F4"/>
    <w:rsid w:val="00666BD7"/>
    <w:rsid w:val="00667EED"/>
    <w:rsid w:val="0067035B"/>
    <w:rsid w:val="00684B28"/>
    <w:rsid w:val="00685301"/>
    <w:rsid w:val="00685E1B"/>
    <w:rsid w:val="00692173"/>
    <w:rsid w:val="006A66A2"/>
    <w:rsid w:val="006B1A28"/>
    <w:rsid w:val="006B2C83"/>
    <w:rsid w:val="006B3434"/>
    <w:rsid w:val="006C0978"/>
    <w:rsid w:val="006C43EB"/>
    <w:rsid w:val="006C6127"/>
    <w:rsid w:val="006D2BBC"/>
    <w:rsid w:val="006E46E8"/>
    <w:rsid w:val="006E5FC2"/>
    <w:rsid w:val="006F5695"/>
    <w:rsid w:val="00703577"/>
    <w:rsid w:val="00710986"/>
    <w:rsid w:val="0071629F"/>
    <w:rsid w:val="00717502"/>
    <w:rsid w:val="00723DB4"/>
    <w:rsid w:val="00731BBE"/>
    <w:rsid w:val="00737AE6"/>
    <w:rsid w:val="00737E1A"/>
    <w:rsid w:val="00740668"/>
    <w:rsid w:val="00745D15"/>
    <w:rsid w:val="00746C26"/>
    <w:rsid w:val="00752571"/>
    <w:rsid w:val="00760581"/>
    <w:rsid w:val="00767CBE"/>
    <w:rsid w:val="00783728"/>
    <w:rsid w:val="00786CF5"/>
    <w:rsid w:val="00794C56"/>
    <w:rsid w:val="007A4B52"/>
    <w:rsid w:val="007A6CB6"/>
    <w:rsid w:val="007B34F2"/>
    <w:rsid w:val="007B506C"/>
    <w:rsid w:val="007C0ECA"/>
    <w:rsid w:val="007C413D"/>
    <w:rsid w:val="007E00AB"/>
    <w:rsid w:val="007E4A36"/>
    <w:rsid w:val="007E53F6"/>
    <w:rsid w:val="007E70FC"/>
    <w:rsid w:val="007F1C53"/>
    <w:rsid w:val="007F4064"/>
    <w:rsid w:val="007F5C3A"/>
    <w:rsid w:val="00811FEA"/>
    <w:rsid w:val="00817ECD"/>
    <w:rsid w:val="00820D3B"/>
    <w:rsid w:val="00826621"/>
    <w:rsid w:val="00827B22"/>
    <w:rsid w:val="00837DD3"/>
    <w:rsid w:val="00843D92"/>
    <w:rsid w:val="00844C32"/>
    <w:rsid w:val="00845AA7"/>
    <w:rsid w:val="00845D35"/>
    <w:rsid w:val="00846B91"/>
    <w:rsid w:val="0084752A"/>
    <w:rsid w:val="00854DB6"/>
    <w:rsid w:val="0085780C"/>
    <w:rsid w:val="00857D48"/>
    <w:rsid w:val="00857F5E"/>
    <w:rsid w:val="00875524"/>
    <w:rsid w:val="00883327"/>
    <w:rsid w:val="00886670"/>
    <w:rsid w:val="008922D2"/>
    <w:rsid w:val="00896D2B"/>
    <w:rsid w:val="008972E3"/>
    <w:rsid w:val="008A5FF1"/>
    <w:rsid w:val="008D1248"/>
    <w:rsid w:val="008D7E54"/>
    <w:rsid w:val="008E1FDA"/>
    <w:rsid w:val="008F2458"/>
    <w:rsid w:val="008F24B6"/>
    <w:rsid w:val="008F3DE8"/>
    <w:rsid w:val="008F51DE"/>
    <w:rsid w:val="008F5C54"/>
    <w:rsid w:val="009103E9"/>
    <w:rsid w:val="00911547"/>
    <w:rsid w:val="009132C6"/>
    <w:rsid w:val="00927B23"/>
    <w:rsid w:val="0093516F"/>
    <w:rsid w:val="00943309"/>
    <w:rsid w:val="00945666"/>
    <w:rsid w:val="00950093"/>
    <w:rsid w:val="00951956"/>
    <w:rsid w:val="0096488A"/>
    <w:rsid w:val="0096644E"/>
    <w:rsid w:val="00970E90"/>
    <w:rsid w:val="009742F1"/>
    <w:rsid w:val="009A01AB"/>
    <w:rsid w:val="009B02EB"/>
    <w:rsid w:val="009B1E64"/>
    <w:rsid w:val="009B24E0"/>
    <w:rsid w:val="009B4BC0"/>
    <w:rsid w:val="009C1A3E"/>
    <w:rsid w:val="009C46EA"/>
    <w:rsid w:val="009D21B3"/>
    <w:rsid w:val="009D4565"/>
    <w:rsid w:val="009E4662"/>
    <w:rsid w:val="009F6410"/>
    <w:rsid w:val="00A045BB"/>
    <w:rsid w:val="00A1452A"/>
    <w:rsid w:val="00A3645D"/>
    <w:rsid w:val="00A5587F"/>
    <w:rsid w:val="00A563CA"/>
    <w:rsid w:val="00A56883"/>
    <w:rsid w:val="00A61D67"/>
    <w:rsid w:val="00A673EC"/>
    <w:rsid w:val="00A9531C"/>
    <w:rsid w:val="00A9662F"/>
    <w:rsid w:val="00AA04C6"/>
    <w:rsid w:val="00AC0244"/>
    <w:rsid w:val="00AE1430"/>
    <w:rsid w:val="00AF21B5"/>
    <w:rsid w:val="00AF2A60"/>
    <w:rsid w:val="00B011EC"/>
    <w:rsid w:val="00B02491"/>
    <w:rsid w:val="00B028C0"/>
    <w:rsid w:val="00B02E6B"/>
    <w:rsid w:val="00B11CD0"/>
    <w:rsid w:val="00B21D65"/>
    <w:rsid w:val="00B25B2E"/>
    <w:rsid w:val="00B55CC4"/>
    <w:rsid w:val="00B602A2"/>
    <w:rsid w:val="00B61461"/>
    <w:rsid w:val="00B704F3"/>
    <w:rsid w:val="00B7378C"/>
    <w:rsid w:val="00B94C1E"/>
    <w:rsid w:val="00BB46C3"/>
    <w:rsid w:val="00BC01F5"/>
    <w:rsid w:val="00BD18E5"/>
    <w:rsid w:val="00BE21EC"/>
    <w:rsid w:val="00BF05EF"/>
    <w:rsid w:val="00BF28A4"/>
    <w:rsid w:val="00BF51D7"/>
    <w:rsid w:val="00C03E4A"/>
    <w:rsid w:val="00C170D5"/>
    <w:rsid w:val="00C23EA5"/>
    <w:rsid w:val="00C27815"/>
    <w:rsid w:val="00C46279"/>
    <w:rsid w:val="00C502B1"/>
    <w:rsid w:val="00C51801"/>
    <w:rsid w:val="00C5187F"/>
    <w:rsid w:val="00C62461"/>
    <w:rsid w:val="00C71944"/>
    <w:rsid w:val="00C726E3"/>
    <w:rsid w:val="00C82939"/>
    <w:rsid w:val="00CA6D2C"/>
    <w:rsid w:val="00CB1211"/>
    <w:rsid w:val="00CB2C8F"/>
    <w:rsid w:val="00CB4452"/>
    <w:rsid w:val="00CB4A3F"/>
    <w:rsid w:val="00CB74B7"/>
    <w:rsid w:val="00CD7582"/>
    <w:rsid w:val="00CF5C7A"/>
    <w:rsid w:val="00D02CA3"/>
    <w:rsid w:val="00D13B0D"/>
    <w:rsid w:val="00D172F3"/>
    <w:rsid w:val="00D21A04"/>
    <w:rsid w:val="00D34C20"/>
    <w:rsid w:val="00D4244B"/>
    <w:rsid w:val="00D46274"/>
    <w:rsid w:val="00D46D10"/>
    <w:rsid w:val="00D60A28"/>
    <w:rsid w:val="00D625D2"/>
    <w:rsid w:val="00D67DDE"/>
    <w:rsid w:val="00D72EE7"/>
    <w:rsid w:val="00D73096"/>
    <w:rsid w:val="00D73813"/>
    <w:rsid w:val="00D758EE"/>
    <w:rsid w:val="00D764F3"/>
    <w:rsid w:val="00D800A1"/>
    <w:rsid w:val="00D84644"/>
    <w:rsid w:val="00D909E1"/>
    <w:rsid w:val="00D92FF9"/>
    <w:rsid w:val="00D94A98"/>
    <w:rsid w:val="00DA2D71"/>
    <w:rsid w:val="00DB6AF3"/>
    <w:rsid w:val="00DC3745"/>
    <w:rsid w:val="00DD2BA3"/>
    <w:rsid w:val="00DD683E"/>
    <w:rsid w:val="00DF0D1B"/>
    <w:rsid w:val="00E007AF"/>
    <w:rsid w:val="00E0418E"/>
    <w:rsid w:val="00E13285"/>
    <w:rsid w:val="00E26AB9"/>
    <w:rsid w:val="00E40C4C"/>
    <w:rsid w:val="00E41B03"/>
    <w:rsid w:val="00E45AF3"/>
    <w:rsid w:val="00E6294D"/>
    <w:rsid w:val="00E630EB"/>
    <w:rsid w:val="00E704C1"/>
    <w:rsid w:val="00E734EF"/>
    <w:rsid w:val="00E8362B"/>
    <w:rsid w:val="00E94C5F"/>
    <w:rsid w:val="00E95861"/>
    <w:rsid w:val="00E95BFC"/>
    <w:rsid w:val="00EA2771"/>
    <w:rsid w:val="00EA2BED"/>
    <w:rsid w:val="00EA5B9D"/>
    <w:rsid w:val="00EA63AB"/>
    <w:rsid w:val="00EB2741"/>
    <w:rsid w:val="00EB361A"/>
    <w:rsid w:val="00EB41DF"/>
    <w:rsid w:val="00EB6247"/>
    <w:rsid w:val="00EC09A4"/>
    <w:rsid w:val="00EC2D06"/>
    <w:rsid w:val="00EC4905"/>
    <w:rsid w:val="00EC6985"/>
    <w:rsid w:val="00EC6D9A"/>
    <w:rsid w:val="00ED3F27"/>
    <w:rsid w:val="00ED5081"/>
    <w:rsid w:val="00EE6A3E"/>
    <w:rsid w:val="00F07DE9"/>
    <w:rsid w:val="00F14600"/>
    <w:rsid w:val="00F1583F"/>
    <w:rsid w:val="00F22546"/>
    <w:rsid w:val="00F46046"/>
    <w:rsid w:val="00F47C06"/>
    <w:rsid w:val="00F53D35"/>
    <w:rsid w:val="00F57F6D"/>
    <w:rsid w:val="00F60711"/>
    <w:rsid w:val="00F618A1"/>
    <w:rsid w:val="00F62B92"/>
    <w:rsid w:val="00F63D3F"/>
    <w:rsid w:val="00F64903"/>
    <w:rsid w:val="00F739C9"/>
    <w:rsid w:val="00F805DD"/>
    <w:rsid w:val="00F80B35"/>
    <w:rsid w:val="00F81174"/>
    <w:rsid w:val="00FA0894"/>
    <w:rsid w:val="00FA178C"/>
    <w:rsid w:val="00FA1948"/>
    <w:rsid w:val="00FB7AD2"/>
    <w:rsid w:val="00FD34BD"/>
    <w:rsid w:val="00FD78F2"/>
    <w:rsid w:val="00FE0511"/>
    <w:rsid w:val="00FE4D2B"/>
    <w:rsid w:val="00FE5B66"/>
    <w:rsid w:val="00FF34EE"/>
    <w:rsid w:val="00FF38E2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ED8"/>
  </w:style>
  <w:style w:type="paragraph" w:styleId="2">
    <w:name w:val="heading 2"/>
    <w:basedOn w:val="a"/>
    <w:qFormat/>
    <w:rsid w:val="00A56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5EF"/>
    <w:pPr>
      <w:widowControl w:val="0"/>
      <w:autoSpaceDE w:val="0"/>
      <w:autoSpaceDN w:val="0"/>
      <w:adjustRightInd w:val="0"/>
      <w:spacing w:before="160"/>
      <w:ind w:left="43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1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11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195"/>
  </w:style>
  <w:style w:type="paragraph" w:styleId="a7">
    <w:name w:val="Body Text Indent"/>
    <w:basedOn w:val="a"/>
    <w:link w:val="a8"/>
    <w:rsid w:val="003168F6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rsid w:val="003168F6"/>
    <w:pPr>
      <w:widowControl w:val="0"/>
      <w:ind w:right="-40"/>
      <w:jc w:val="both"/>
    </w:pPr>
    <w:rPr>
      <w:sz w:val="28"/>
    </w:rPr>
  </w:style>
  <w:style w:type="paragraph" w:styleId="21">
    <w:name w:val="Body Text Indent 2"/>
    <w:basedOn w:val="a"/>
    <w:rsid w:val="003168F6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32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5326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326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rsid w:val="0053269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a"/>
    <w:rsid w:val="0053269E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53269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3269E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13">
    <w:name w:val="Style1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rsid w:val="0053269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53269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Texte">
    <w:name w:val="Texte"/>
    <w:basedOn w:val="a"/>
    <w:rsid w:val="0003664E"/>
    <w:pPr>
      <w:tabs>
        <w:tab w:val="left" w:pos="180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US" w:eastAsia="fr-FR"/>
    </w:rPr>
  </w:style>
  <w:style w:type="character" w:customStyle="1" w:styleId="a8">
    <w:name w:val="Основной текст с отступом Знак"/>
    <w:link w:val="a7"/>
    <w:rsid w:val="00044EF5"/>
    <w:rPr>
      <w:color w:val="000000"/>
      <w:sz w:val="28"/>
      <w:shd w:val="clear" w:color="auto" w:fill="FFFFFF"/>
    </w:rPr>
  </w:style>
  <w:style w:type="paragraph" w:styleId="aa">
    <w:name w:val="Balloon Text"/>
    <w:basedOn w:val="a"/>
    <w:link w:val="ab"/>
    <w:rsid w:val="005B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09C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6294D"/>
    <w:pPr>
      <w:spacing w:after="120"/>
    </w:pPr>
  </w:style>
  <w:style w:type="character" w:customStyle="1" w:styleId="ad">
    <w:name w:val="Основной текст Знак"/>
    <w:basedOn w:val="a0"/>
    <w:link w:val="ac"/>
    <w:rsid w:val="00E6294D"/>
  </w:style>
  <w:style w:type="paragraph" w:customStyle="1" w:styleId="3">
    <w:name w:val="Основной текст3"/>
    <w:basedOn w:val="a"/>
    <w:rsid w:val="00E6294D"/>
    <w:pPr>
      <w:spacing w:after="120"/>
    </w:pPr>
    <w:rPr>
      <w:rFonts w:ascii="NTHarmonica" w:hAnsi="NTHarmonica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E6294D"/>
  </w:style>
  <w:style w:type="character" w:customStyle="1" w:styleId="s0">
    <w:name w:val="s0"/>
    <w:rsid w:val="008F51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0"/>
    <w:rsid w:val="00CB2C8F"/>
    <w:rPr>
      <w:sz w:val="16"/>
      <w:szCs w:val="16"/>
    </w:rPr>
  </w:style>
  <w:style w:type="paragraph" w:styleId="af">
    <w:name w:val="annotation text"/>
    <w:basedOn w:val="a"/>
    <w:link w:val="af0"/>
    <w:rsid w:val="00CB2C8F"/>
  </w:style>
  <w:style w:type="character" w:customStyle="1" w:styleId="af0">
    <w:name w:val="Текст примечания Знак"/>
    <w:basedOn w:val="a0"/>
    <w:link w:val="af"/>
    <w:rsid w:val="00CB2C8F"/>
  </w:style>
  <w:style w:type="paragraph" w:styleId="af1">
    <w:name w:val="annotation subject"/>
    <w:basedOn w:val="af"/>
    <w:next w:val="af"/>
    <w:link w:val="af2"/>
    <w:rsid w:val="00CB2C8F"/>
    <w:rPr>
      <w:b/>
      <w:bCs/>
    </w:rPr>
  </w:style>
  <w:style w:type="character" w:customStyle="1" w:styleId="af2">
    <w:name w:val="Тема примечания Знак"/>
    <w:basedOn w:val="af0"/>
    <w:link w:val="af1"/>
    <w:rsid w:val="00CB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rsid w:val="00A56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5EF"/>
    <w:pPr>
      <w:widowControl w:val="0"/>
      <w:autoSpaceDE w:val="0"/>
      <w:autoSpaceDN w:val="0"/>
      <w:adjustRightInd w:val="0"/>
      <w:spacing w:before="160"/>
      <w:ind w:left="43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1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11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195"/>
  </w:style>
  <w:style w:type="paragraph" w:styleId="a7">
    <w:name w:val="Body Text Indent"/>
    <w:basedOn w:val="a"/>
    <w:link w:val="a8"/>
    <w:rsid w:val="003168F6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rsid w:val="003168F6"/>
    <w:pPr>
      <w:widowControl w:val="0"/>
      <w:ind w:right="-40"/>
      <w:jc w:val="both"/>
    </w:pPr>
    <w:rPr>
      <w:sz w:val="28"/>
    </w:rPr>
  </w:style>
  <w:style w:type="paragraph" w:styleId="21">
    <w:name w:val="Body Text Indent 2"/>
    <w:basedOn w:val="a"/>
    <w:rsid w:val="003168F6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32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5326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326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rsid w:val="0053269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a"/>
    <w:rsid w:val="0053269E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53269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3269E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13">
    <w:name w:val="Style1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rsid w:val="0053269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53269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Texte">
    <w:name w:val="Texte"/>
    <w:basedOn w:val="a"/>
    <w:rsid w:val="0003664E"/>
    <w:pPr>
      <w:tabs>
        <w:tab w:val="left" w:pos="180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US" w:eastAsia="fr-FR"/>
    </w:rPr>
  </w:style>
  <w:style w:type="character" w:customStyle="1" w:styleId="a8">
    <w:name w:val="Основной текст с отступом Знак"/>
    <w:link w:val="a7"/>
    <w:rsid w:val="00044EF5"/>
    <w:rPr>
      <w:color w:val="000000"/>
      <w:sz w:val="28"/>
      <w:shd w:val="clear" w:color="auto" w:fill="FFFFFF"/>
    </w:rPr>
  </w:style>
  <w:style w:type="paragraph" w:styleId="aa">
    <w:name w:val="Balloon Text"/>
    <w:basedOn w:val="a"/>
    <w:link w:val="ab"/>
    <w:rsid w:val="005B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09C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6294D"/>
    <w:pPr>
      <w:spacing w:after="120"/>
    </w:pPr>
  </w:style>
  <w:style w:type="character" w:customStyle="1" w:styleId="ad">
    <w:name w:val="Основной текст Знак"/>
    <w:basedOn w:val="a0"/>
    <w:link w:val="ac"/>
    <w:rsid w:val="00E6294D"/>
  </w:style>
  <w:style w:type="paragraph" w:customStyle="1" w:styleId="3">
    <w:name w:val="Основной текст3"/>
    <w:basedOn w:val="a"/>
    <w:rsid w:val="00E6294D"/>
    <w:pPr>
      <w:spacing w:after="120"/>
    </w:pPr>
    <w:rPr>
      <w:rFonts w:ascii="NTHarmonica" w:hAnsi="NTHarmonica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E6294D"/>
  </w:style>
  <w:style w:type="character" w:customStyle="1" w:styleId="s0">
    <w:name w:val="s0"/>
    <w:rsid w:val="008F51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0"/>
    <w:rsid w:val="00CB2C8F"/>
    <w:rPr>
      <w:sz w:val="16"/>
      <w:szCs w:val="16"/>
    </w:rPr>
  </w:style>
  <w:style w:type="paragraph" w:styleId="af">
    <w:name w:val="annotation text"/>
    <w:basedOn w:val="a"/>
    <w:link w:val="af0"/>
    <w:rsid w:val="00CB2C8F"/>
  </w:style>
  <w:style w:type="character" w:customStyle="1" w:styleId="af0">
    <w:name w:val="Текст примечания Знак"/>
    <w:basedOn w:val="a0"/>
    <w:link w:val="af"/>
    <w:rsid w:val="00CB2C8F"/>
  </w:style>
  <w:style w:type="paragraph" w:styleId="af1">
    <w:name w:val="annotation subject"/>
    <w:basedOn w:val="af"/>
    <w:next w:val="af"/>
    <w:link w:val="af2"/>
    <w:rsid w:val="00CB2C8F"/>
    <w:rPr>
      <w:b/>
      <w:bCs/>
    </w:rPr>
  </w:style>
  <w:style w:type="character" w:customStyle="1" w:styleId="af2">
    <w:name w:val="Тема примечания Знак"/>
    <w:basedOn w:val="af0"/>
    <w:link w:val="af1"/>
    <w:rsid w:val="00CB2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838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MMC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 Панов</dc:creator>
  <cp:lastModifiedBy>Shemeryankina</cp:lastModifiedBy>
  <cp:revision>21</cp:revision>
  <cp:lastPrinted>2014-11-06T10:07:00Z</cp:lastPrinted>
  <dcterms:created xsi:type="dcterms:W3CDTF">2014-12-10T13:19:00Z</dcterms:created>
  <dcterms:modified xsi:type="dcterms:W3CDTF">2017-02-14T10:41:00Z</dcterms:modified>
</cp:coreProperties>
</file>