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2E" w:rsidRPr="00E74D2E" w:rsidRDefault="00E74D2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E74D2E">
        <w:rPr>
          <w:rFonts w:ascii="Times New Roman" w:hAnsi="Times New Roman" w:cs="Times New Roman"/>
          <w:sz w:val="28"/>
          <w:szCs w:val="28"/>
        </w:rPr>
        <w:br/>
      </w:r>
    </w:p>
    <w:p w:rsidR="00E74D2E" w:rsidRPr="00E74D2E" w:rsidRDefault="00E74D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74D2E" w:rsidRPr="00E74D2E" w:rsidRDefault="00E7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74D2E" w:rsidRPr="00E74D2E" w:rsidRDefault="00E7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от 28 декабря 2012 г. N 2580-р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4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Стратегию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развития медицинской науки в Российской Федерации на период до 2025 года.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2. Минздраву России: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до 1 апреля 2013 г. план мероприятий по реализации </w:t>
      </w:r>
      <w:hyperlink w:anchor="P24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E74D2E">
        <w:rPr>
          <w:rFonts w:ascii="Times New Roman" w:hAnsi="Times New Roman" w:cs="Times New Roman"/>
          <w:sz w:val="28"/>
          <w:szCs w:val="28"/>
        </w:rPr>
        <w:t>, утвержденной настоящим распоряжением;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утвердить до 1 мая 2013 г. и опубликовать на своем официальном сайте научные платформы медицинской науки.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Д.МЕДВЕДЕВ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от 28 декабря 2012 г. N 2580-р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E74D2E">
        <w:rPr>
          <w:rFonts w:ascii="Times New Roman" w:hAnsi="Times New Roman" w:cs="Times New Roman"/>
          <w:sz w:val="28"/>
          <w:szCs w:val="28"/>
        </w:rPr>
        <w:t>СТРАТЕГИЯ</w:t>
      </w:r>
    </w:p>
    <w:p w:rsidR="00E74D2E" w:rsidRPr="00E74D2E" w:rsidRDefault="00E7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РАЗВИТИЯ МЕДИЦИНСКОЙ НАУКИ В РОССИЙСКОЙ ФЕДЕРАЦИИ НА ПЕРИОД</w:t>
      </w:r>
    </w:p>
    <w:p w:rsidR="00E74D2E" w:rsidRPr="00E74D2E" w:rsidRDefault="00E74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ДО 2025 ГОДА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I. Цели и задачи Стратегии развития медицинской науки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Российской Федерации на период до 2025 года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1. Общая характеристика, цели и задачи Стратегии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Стратегия развития медицинской науки в Российской Федерации на период до 2025 года (далее - Стратегия) разработана в соответствии с указами Президента Российской Федерации от 7 июля 2011 г. </w:t>
      </w:r>
      <w:hyperlink r:id="rId5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N 899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Федерации", от 7 мая 2012 г. </w:t>
      </w:r>
      <w:hyperlink r:id="rId6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N 598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"О совершенствовании государственной политики в сфере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здравоохранения" и от 7 мая 2012 г. </w:t>
      </w:r>
      <w:hyperlink r:id="rId7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N 599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"О мерах по реализации государственной политики в области образования и науки", а также </w:t>
      </w:r>
      <w:hyperlink r:id="rId8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Стратегия основывается на федеральной целевой </w:t>
      </w:r>
      <w:hyperlink r:id="rId9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"Исследования и разработки по приоритетным направлениям развития научно-технологического комплекса России на 2007 - 2013 годы", утвержденной постановлением Правительства Российской Федерации от 17 октября 2006 г. N 613, комплексном плане мероприятий по реализации Основ политики Российской Федерации в области развития науки и технологий на период до 2020 года и дальнейшую перспективу, утвержденном Председателем Правительства Российской Федерации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20 марта 2012 г. N 1207п-П8, Комплексной </w:t>
      </w:r>
      <w:hyperlink r:id="rId10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развития биотехнологий в Российской Федерации на период до 2020 года, утвержденной Председателем Правительства Российской Федерации 24 апреля 2012 г. N 1853п-П8, государственной </w:t>
      </w:r>
      <w:hyperlink r:id="rId11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фармацевтической и медицинской промышленности" на 2013 - 2020 годы, а также на </w:t>
      </w:r>
      <w:hyperlink r:id="rId12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Программе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фундаментальных научных исследований государственных академий наук на 2013 - 2020 годы, утвержденной распоряжением Правительства Российской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Федерации от 3 декабря 2012 г. N 2237-р.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Стратегии учтены положения федеральных законов "</w:t>
      </w:r>
      <w:hyperlink r:id="rId13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О науке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и государственной научно-технической политике", "</w:t>
      </w:r>
      <w:hyperlink r:id="rId14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О высшем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и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послевузовском профессиональном образовании", "</w:t>
      </w:r>
      <w:hyperlink r:id="rId15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Об основах охраны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16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О внесении изменений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"</w:t>
      </w:r>
      <w:hyperlink r:id="rId17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Об обращении лекарственных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средств".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Координатором реализации Стратегии является Министерство здравоохранения Российской Федерации.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Исполнителями Стратегии являются главные распорядители бюджетных средств, государственные корпорации и иные организации, осуществляющие научные медицинские исследования в целях реализации Стратегии.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Участниками мероприятий по реализации Стратегии являются научные и научно-педагогические коллективы, научные и образовательные организации, осуществляющие научную деятельность в области медицины.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Целью Стратегии является развитие медицинской науки, направленное на создание высокотехнологичных инновационных продуктов, обеспечивающих на основе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инновационных технологий в практическое здравоохранение сохранение и укрепление здоровья населения.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Стратегия направлена на реализацию государственной политики в сфере здравоохранения, повышение качества и доступности медицинской помощи населению Российской Федерации, включая разработку инновационной продукции, освоение критически важных технологий и развитие компетенций. Для достижения поставленной цели предусмотрено решение следующих задач: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развитие медицинской науки и инноваций в сфере здравоохранения;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развитие сектора медицинских исследований и разработок до мирового уровня и интеграция российской медицинской науки в глобальное научное пространство;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повышение результативности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фундаментальных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и прикладных научных исследований, укрепление кадрового научного потенциала;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развитие механизмов консолидации прав на использование объектов интеллектуальной собственности для вывода на рынок инновационных продуктов и технологий;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развитие системы экспертизы (обоснованного выбора) перспективных и приоритетных направлений, оценки качества и результативности научных исследований;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создание условий для устойчивого спроса на инновационную продукцию и ее внедрения в практическое здравоохранение;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повышение эффективности управления медицинской наукой на основе развития системы стратегического и проектного управления, внедрения программно-целевого метода финансирования и проведения институциональных преобразований;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совершенствование механизмов мотивации научных сотрудников;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дальнейшее развитие международного сотрудничества;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развитие трансляционной медицины.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Стратегия реализуется в соответствии со следующими принципами: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lastRenderedPageBreak/>
        <w:t>концентрация ресурсов на приоритетных направлениях медицинской науки и внедрение ее результатов в практическое здравоохранение;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интеграция исследовательских и образовательных процессов;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качество и доказательность результатов научных исследований;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финансирования научных проектов;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независимость экспертизы результатов научных исследований;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развитие научной конкуренции.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2. Мировые тенденции развития медицинской науки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Глобализация экономики, развитие науки и технологий, открытия конца 1990-х - начала 2000-х годов в области исследования генома человека способствовали взрывному росту медицинской науки.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Отличительной чертой современной медицинской науки является развитие молекулярной и клеточной биологии. Молекулярная медицина формирует базис персонализированной медицины, основанной на прогностическом и профилактическом принципах, что позволяет раскрыть потенциальные и адаптационные возможности организма человека и увеличить продолжительность его активной жизни.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На основе интеграции смежных дисциплин развивается биомедицина - одна из важнейших наук о жизни.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Мировой тенденцией развития науки является технологический принцип, предполагающий использование единых научно-методических или аппаратурно-технологических подходов для решения широкого круга задач.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Стирается грань между фундаментальными и прикладными исследованиями. Путь от открытия до практики становится предельно коротким, что стало основой для появления трансляционной медицины.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Усиление влияния социально-экономической среды на жизнедеятельность и здоровье человека, а также технологический прогресс создают критические нагрузки на человека, его физическое и интеллектуальное состояние. Это требует широкого внедрения эпидемиологических и социологических методов исследования, разработки адаптационных и реабилитационных программ для людей всех возрастов и социальных групп вне зависимости от состояния их здоровья.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Усиливается роль исследований, направленных на развитие и внедрение стратегических и проектно-целевых методов и систем управления качеством в здравоохранении.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3. Современное состояние медицинской науки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для достижения цели Стратегии является развитие медицинской науки и инноваций в сфере здравоохранения, предполагающее формирование и выполнение научных программ по приоритетным направлениям поддержания здоровья населения и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формирования здорового образа жизни, разработке и внедрению технологий профилактики, диагностики, лечения заболеваний и состояний и медицинской реабилитации.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медицинской науке активно внедряются программно-целевое финансирование научных исследований, современные компьютерные технологии обработки и анализа результатов научных исследований, а также международные кооперативные исследовательские программы.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диагностика на основе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методов. Это позволяет достоверно поставить диагноз пациенту любого возраста и в любом состоянии.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Разработаны высокотехнологичные комплексные методы лечения новорожденных, в том числе недоношенных, и детей 1-го года жизни с врожденными пороками развития, включая гибридные методы лечения и экстренной помощи в критических ситуациях.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Развиваются клеточные и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нейрокогнитивные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технологии, геномные и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протеомные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структуре Министерства здравоохранения Российской Федерации, Федерального медико-биологического агентства, Федеральной службы по надзору в сфере защиты прав потребителей и благополучия человека и Российской академии медицинских наук существуют 214 подведомственных научных организаций и 6672 научных коллектива. Однако только 225 лабораторий проводят исследования мирового уровня и 431 лаборатория - национального уровня.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По общему числу ученых Россия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занимает лидирующее положение и находится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на 4-м месте после Китая, США и Японии. При этом число молодых ученых не превышает 25 процентов. По уровню финансирования научных исследований Россия занимает 9-е место в мире. По числу научных публикаций - находится на 15 - 18 месте. По уровню цитирования публикаций - за списком из 20 ведущих стран. В медицинской науке России наблюдаются те же тенденции.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Практически отсутствует система оценки перспективности патентов, зарубежного патентования и управления правами на результаты интеллектуальной деятельности.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Разобщенность медицинской науки снижает эффективность научных исследований.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Одноплановые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работы могут выполняться в учреждениях Министерства здравоохранения Российской Федерации, Министерства образования и науки Российской Федерации, Российской академии медицинских наук, Российской академии наук и Федерального медико-биологического агентства, деятельность которых в сфере медицинских исследований не координируется. Профиль научных организаций часто не соответствует основным мировым трендам развития медицинской науки, не существует приоритетов в постановке научных задач, отсутствуют инновационные цепочки "идея - лаборатория - производитель - клиника".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Следует отметить низкую структурную эффективность медицинской науки. Большинство учреждений не соответствуют требованиям надлежащей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лабораторной практики, надлежащей клинической практики и испытаний инновационных препаратов с использованием моделей патологических процессов на животных. Научно-исследовательские институты недостаточно разрабатывают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кандидатные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молекулы, мишени и способы доставки лекарственных препаратов. Недостаточно сертифицированных центров доклинических испытаний новых лекарственных препаратов.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Медицинская наука остается зависимой от импорта. При этом в силу высоких таможенных сборов и транспортных расходов цены на приборы и реактивы выше в 1,5 - 1,8 раза, чем в США и Европейском союзе.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Из-за низкого уровня заработной платы только 9 процентов россиян считают профессию ученого престижной (в США 51 процент населения назвали профессию ученого в высшей степени престижной, 25 процентов - весьма престижной и 20 процентов - престижной).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Отсутствует эффективный механизм отбора и передачи результатов фундаментальных исследований, переходящих на стадию прикладных работ для получения опытных образцов инновационных продуктов, а также технологий для их создания.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Отсутствуют механизмы коммуникации представителей практического здравоохранения с научными работниками в части доведения информации о проблемах и неудовлетворенных потребностях в новых методах профилактики, диагностики, лечения заболеваний и состояний, медицинской реабилитации.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Медицинская наука остается неконкурентоспособной, непривлекательной для инвестиций, с высокими барьерами к внедрению инновационных разработок.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Для решения этих проблем предлагаются меры по реорганизации медицинской науки, развитию трансляционной и доказательной медицины.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Для повышения конкурентоспособности и инвестиционной привлекательности российской медицинской науки необходимо поддерживать приоритетные направления. Основными направлениями станут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эпигеномика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системная биология,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нанобиотехнологии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клеточные технологии,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, персонализированная медицина и ряд других. Особое место должно быть отведено междисциплинарным научным исследованиям, выполняющимся на стыке наук.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Задачами развития становятся повышение результативности, улучшение научно-методической подготовки специалистов, повышение качественного уровня научных публикаций и создание системы инновационных потоков на принципах трансляционной медицины, то есть быстрого доведения результатов научных исследований до медицинского продукта - лекарственного средства, прибора и тест-системы.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Для выполнения этих задач требуется сбалансировать между собой целевые установки, интеллектуальный потенциал и ресурсное обеспечение медицинской науки, необходимо выявить неэффективные организации с последующим их перепрофилированием и объединением. Требуется развить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организаций науки, создать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биобанки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биоколлекции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центры доклинических исследований,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а также центр стратегических биомедицинских технологий и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. Следует развивать проектный метод управления научными исследованиями, а также активно использовать управленческий консалтинг при подготовке проектов.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Это позволит сконцентрировать ресурсы на решении актуальных задач медицинской науки, сформировать научные платформы по основным направлениям медицины и центры лидерства в стратегически важных и приоритетных областях медицинской науки.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II. Приоритетные направления развития медицинской науки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Управление медицинскими исследованиями будет осуществляться на основе сформированных научных платформ.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Научной платформой является интегрированная программа исследований по приоритетным направлениям и критическим технологиям развития медицинской науки, направленная на создание инновационных продуктов и технологий, реализуемая ведущими научными коллективами и исследователями.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После широкого обсуждения ведущими учеными и специалистами Министерства здравоохранения Российской Федерации, Министерства образования и науки Российской Федерации, Российской академии медицинских наук, Российской академии наук, Федерального медико-биологического агентства и медицинских вузов определено 14 научных платформ, в том числе онкология, кардиология и ангиология, неврология, эндокринология, педиатрия, психиатрия и зависимости, иммунология, микробиология, фармакология, профилактическая среда, репродуктивное здоровье, регенеративная медицина,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технологии и инновационные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фундаментальные технологии в медицине.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>В рамках выполнения задач развития научных платформ участники реализации мероприятий Стратегии формируют и актуализируют тематики исследований, выполняют информационную и экспертную функции, готовят технологические дорожные карты для планирования разработки конкретных технологий и продуктов, формируют приоритеты и координируют реализацию научно-технических проектов.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Дорожные карты научных платформ, детализированные до проектов и продуктов, станут основой для формирования государственных заданий государственным учреждениям, а также для программно-целевого финансирования науки.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реализации Стратегии предполагается вносить на основе широкого обсуждения с научной общественностью изменения в механизмы научных платформ.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Реализация программ научных платформ позволит сконцентрировать финансовые и организационные усилия на исследованиях, обеспечивающих максимальный эффе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еднесрочной и долгосрочной перспективе.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Координацию деятельности научных коллективов, поиск и создание недостающих компетенций, анализ тенденций развития научной платформы должны осуществлять головные институты - центры лидерства.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III. Организационное и правовое обеспечение Стратегии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4. Межведомственная координация медицинской науки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С целью межведомственной координации необходимо сформировать межведомственный совет по медицинской науке, 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которого войдут представители федеральных органов исполнительной власти, государственных академий наук и научных и образовательных организаций. Министерство здравоохранения Российской Федерации выступает как координатор этого совета.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>Деятельность межведомственного совета по медицинской науке должна быть направлена на обеспечение эффективного взаимодействия федеральных органов исполнительной власти и соответствующих организаций в целях реализации Стратегии, повышение эффективности расходования бюджетных средств, разработку единых критериев экспертного отбора проектов, методологических подходов к созданию баз данных по финансируемым и реализуемым проектам, формирование консолидированного сообщества экспертов, а также на создание полного цикла инновационного процесса.</w:t>
      </w:r>
      <w:proofErr w:type="gramEnd"/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Задачей межведомственного совета по медицинской науке будет рассмотрение и согласование ведомственных планов реализации Стратегии, которые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координируются между собой по мероприятиям и этапам реализации и учитывают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мероприятия, осуществляемые в рамках технологических платформ "Медицина будущего", "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Биоиндустрия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и биоресурсы "БиоТех2030", "Биоэнергетика" и других технологических платформ в сфере медицины.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Мероприятия ведомственных планов реализации Стратегии должны учитываться исполнителями Стратегии при формировании государственного задания подведомственным федеральным органам исполнительной власти учреждениям.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реализации Стратегии планируется разработать программу мероприятий по развитию медицинской науки. Разработка и реализация указанной программы мероприятий должны обеспечить консолидацию новых компетенций в области медицинской науки, вывод на рынок инновационных продуктов.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5. Финансовое обеспечение медицинской науки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Стратегии за счет средств федерального бюджета предусматривается осуществлять в рамках государственных программ Российской Федерации </w:t>
      </w:r>
      <w:hyperlink r:id="rId18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"Развитие здравоохранения"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на 2013 - 2020 годы, </w:t>
      </w:r>
      <w:hyperlink r:id="rId19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"Развитие образования"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на 2013 - 2020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 xml:space="preserve">годы, </w:t>
      </w:r>
      <w:hyperlink r:id="rId20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"Развитие науки и технологий"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и "</w:t>
      </w:r>
      <w:hyperlink r:id="rId21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Развитие фармацевтической и медицинской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промышленности" на 2013 - 2020 годы.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Финансовое обеспечение фундаментальных и поисковых исследований необходимо осуществлять в соответствии с государственными заданиями, утверждаемыми федеральными органами исполнительной власти, соответствующим подведомственным учреждениям, а также с использованием механизмов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поддержки в научно-технической сфере.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Государственные задания планируется разрабатывать на основе ведомственных планов, сформированных с учетом дорожных карт научных платформ. Научные организации и высшие учебные заведения могут участвовать в реализации нескольких научных платформ.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Критериями результативности ориентированных фундаментальных и поисковых исследований являются показатели публикационной активности и значимости публикаций (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импакт-фактор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журнала, цитируемость автора статьи, индекс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).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Проведение прикладных исследований, ориентированных на создание полезных моделей, макетов, экспериментальных образцов и клинических исследований, необходимо осуществлять с использованием механизмов целевого финансирования в рамках программы мероприятий по развитию медицинской науки, проектов институтов развития, государственных корпораций, а также в рамках государственно-частного партнерства.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Необходимо обеспечить условия, при которых по мере продвижения от ориентированного фундаментального исследования к конечному продукту доля государства в финансировании будет снижаться, тогда как доля частного капитала и финансирования из иных внебюджетных источников - увеличиваться.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6. Администрирование и коммерциализация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собственности в медицинской науке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Необходимо создание условий для эффективной защиты прав на результаты интеллектуальной деятельности, в том числе зарубежного патентования российских разработок на основе формирования патентной службы в научных организациях, реализующих Стратегию, единой базы данных новых разработок и патентов, а также отработки механизмов целевого финансирования патентования российских разработок за рубежом.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Необходима отработка механизмов консолидации прав пользования результатами интеллектуальной деятельности для вывода на рынок инновационных продуктов и технологий, включая независимую оценку рыночной стоимости объектов интеллектуальной собственности в медицинской науке, выкупа, консолидации и отчуждения прав пользования. При этом государство должно иметь возможность влиять на формы и способы использования интеллектуальной собственности. Необходимо внесение изменений в нормативно-правовое регулирование этой сферы.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создать условия, при которых научные организации, разработавшие и запатентовавшие инновационные продукты, заинтересованы в создании малых инновационных предприятий. Малые инновационные предприятия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опираются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прежде всего на интеллектуальную собственность, созданную в организации в результате выполнения научных работ.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Предусматривается обеспечение включения инновационных продуктов в клинические протоколы и стандарты медицинской помощи, а также отработка механизмов долгосрочных государственных гарантий закупок инновационных продуктов с использованием особого механизма в соответствии с Федеральным </w:t>
      </w:r>
      <w:hyperlink r:id="rId22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"О закупках товаров, работ, услуг отдельными видами юридических лиц".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В целях коммерциализации разработок с ранних этапов их реализации и на всем протяжении инновационного цикла необходимо создавать условия для формирования центров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технологий, сервисных организаций в сфере медицинской науки, проектных компаний в сфере инновационной деятельности и инвестиционных компаний.</w:t>
      </w:r>
      <w:proofErr w:type="gramEnd"/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7. Совершенствование правового регулирования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медицинской науки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Научные достижения в новых областях медицины приводят к появлению продуктов и технологий, требующих разработки новых принципов контроля безопасности, эффективности, качества и требований к обороту инновационных продуктов.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Стимулирование инновационного процесса предполагает устранение преград в развитии новых отраслей биомедицины и создание условий для ускоренного внедрения передовых научно-технических разработок в практическое здравоохранение. Оптимизация процедур государственной регистрации лекарственных препаратов, медицинских изделий при обязательном обеспечении безопасности, эффективности и качества инновационных продуктов требует постоянного совершенствования нормативной правовой базы.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Отсутствие соответствующего нормативного регулирования является тормозом развития наиболее динамичных областей медицинской науки.</w:t>
      </w:r>
    </w:p>
    <w:p w:rsidR="00E74D2E" w:rsidRPr="00E74D2E" w:rsidRDefault="00E74D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E74D2E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color w:val="0A2666"/>
          <w:sz w:val="28"/>
          <w:szCs w:val="28"/>
        </w:rPr>
        <w:t xml:space="preserve">О биомедицинских клеточных продуктах </w:t>
      </w:r>
      <w:proofErr w:type="gramStart"/>
      <w:r w:rsidRPr="00E74D2E">
        <w:rPr>
          <w:rFonts w:ascii="Times New Roman" w:hAnsi="Times New Roman" w:cs="Times New Roman"/>
          <w:color w:val="0A2666"/>
          <w:sz w:val="28"/>
          <w:szCs w:val="28"/>
        </w:rPr>
        <w:t>см</w:t>
      </w:r>
      <w:proofErr w:type="gramEnd"/>
      <w:r w:rsidRPr="00E74D2E">
        <w:rPr>
          <w:rFonts w:ascii="Times New Roman" w:hAnsi="Times New Roman" w:cs="Times New Roman"/>
          <w:color w:val="0A2666"/>
          <w:sz w:val="28"/>
          <w:szCs w:val="28"/>
        </w:rPr>
        <w:t xml:space="preserve">. Федеральный </w:t>
      </w:r>
      <w:hyperlink r:id="rId23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74D2E">
        <w:rPr>
          <w:rFonts w:ascii="Times New Roman" w:hAnsi="Times New Roman" w:cs="Times New Roman"/>
          <w:color w:val="0A2666"/>
          <w:sz w:val="28"/>
          <w:szCs w:val="28"/>
        </w:rPr>
        <w:t xml:space="preserve"> от 23.06.2016 N 180-ФЗ.</w:t>
      </w:r>
    </w:p>
    <w:p w:rsidR="00E74D2E" w:rsidRPr="00E74D2E" w:rsidRDefault="00E74D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К первоочередным нормативным правовым актам, регулирующим оборот инновационных продуктов и требующим разработки, относятся проекты федеральных законов об обращении биомедицинских клеточных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продуктов, обращении тканевых медицинских продуктов и о биомедицинской этике.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IV. Институциональные преобразования в медицинской науке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Инновационное развитие здравоохранения невозможно без институциональных преобразований, повышения эффективности научных и образовательных организаций, устранения межведомственной разобщенности и развития научных школ в ведущих медицинских вузах.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8. Повышение структурной эффективности медицинской науки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и формирование центров лидерства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Целью планируемых преобразований является формирование единого научного пространства медицинской науки с взаимодополняющими компетенциями научных коллективов, развитием инфраструктуры и развитием технологий трансляционной медицины, охватывающей всю инновационную цепочку от лаборатории до клиники.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Такие преобразования должны создать взаимосвязь между состоянием здоровья нации, проводимыми научно-исследовательскими работами и предоставлением населению качественной доступной медицинской помощи.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Реструктуризацию организаций медицинской науки целесообразно осуществлять в рамках научных платформ, а также перспективных планов развития этих организаций.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Необходимо определить, какой круг научных организаций требуется для выполнения стратегических функций лидерства в отечественной науке и поддержания необходимой степени эффективности научного потенциала страны.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На основании оценки результативности деятельности научных организаций планируется сформировать программы дальнейшего развития лидирующих и стабильных научных организаций, а также мероприятия по реорганизации или ликвидации неэффективных научных организаций.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Средства, сэкономленные за счет сокращения неэффективных организаций и подразделений, необходимо направить на развитие и расширение деятельности более результативных организаций.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Предполагается технологическое обновление научной инфраструктуры, в частности создание сети центров доклинической и трансляционной медицины, сертифицированных вивариев, банков биологического материала и чистых клеточных линий и центров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Необходимо формирование системы центров лидерства по приоритетным направлениям, то есть закрепление за лидирующими научными организациями функций по методологическому сопровождению исследовательских проектов.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Необходимо мотивировать инициирование создания исследовательских групп на базе нескольких ведущих научных организаций или лабораторий,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способных к генерации и реализации междисциплинарных исследований.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Необходимо внедрение методов стратегического и проектного управления.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>В целях обмена актуальной научной информацией, формирования единого интеллектуального пространства в области научных медицинских исследований, стимулирования научной кооперации, обсуждения проблем и результатов выполнения мероприятий Стратегии, а также в целях доступа к электронным библиотекам в информационно-телекоммуникационной сети "Интернет" планируется создание информационного портала "Медицинская наука".</w:t>
      </w:r>
      <w:proofErr w:type="gramEnd"/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9. Формирование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научно-образовательных</w:t>
      </w:r>
      <w:proofErr w:type="gramEnd"/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медицинских кластеров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Планируется обеспечить дальнейшее формирование научно-образовательных кластеров, объединяющих научно-исследовательские лаборатории, факультеты и кафедры ведущих вузов страны, клиники научно-исследовательских центров и вузов, инновационные предприятия различных форм собственности. Прежде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кластеры предусматривается формировать с участием национальных исследовательских университетов.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формирования кластеров необходимо продолжить создание вузами кафедр на базе учреждений науки.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Формирование и развитие научных объединений, в том числе кластерного типа, возможно в ходе реализации комплексных междисциплинарных проектов, направленных на решение крупных научных или практических проблем.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10. Формирование инновационной инфраструктуры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медицинской науки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Для формирования обеспечивающей инновационное развитие инфраструктуры необходимо создание на базе уже имеющихся научных и образовательных организаций центров доклинических трансляционных исследований, центров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, высокотехнологичных центров коллективного пользования на базе ведущих высших учебных заведений и научных организаций, а также центра инновационного обучения и национального центра стратегических биомедицинских технологий и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Результатами реализации направлений по развитию обеспечивающей инфраструктуры научных исследований станет повышение результативности исследований, качественное повышение оснащенности и технической вооруженности организаций, осуществляющих научную деятельность в сфере здравоохранения, а также разработка новых образовательных программ в целях инновационного развития здравоохранения.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Для стандартизации исследований и проведения качественных научно-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 лаборатории научных организаций и научно-клинических центров планируется модернизировать в соответствии с требованиями надлежащей лабораторной и клинической практики.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Предусматривается обеспечить доступ научных организаций к электронным библиотекам и профильным научным журналам, включая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зарубежные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>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11. Развитие кадрового потенциала медицинской науки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Стратегическими задачами развития кадрового потенциала медицинской науки являются создание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сохранение преемственности поколений, выявление талантливой молодежи на всех этапах обучения, обеспечение развития научных школ и сохранение накопленного потенциала.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 планируется повысить к 2018 году среднюю заработную плату врачей,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с использованием механизма эффективного контракта.</w:t>
      </w:r>
      <w:proofErr w:type="gramEnd"/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разработать и реализовать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специальные программы обучения студентов медицинских вузов технологическим методам научных биомедицинских исследований, принципам доказательной медицины, методам обработки научной информации и др.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поддержки карьерного роста одаренных научных работников необходимо обеспечить привлечение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для поддержки исследований молодых ученых и преподавателей, учреждение именных стипендий, создание перспектив профессионального роста и улучшения материального положения.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Планируется расширить программы зарубежных стажировок российских исследователей, участия молодых ученых в международных научно-исследовательских проектах и привлечения зарубежных исследователей к участию в российских научных проектах.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Предусматривается создать условия для разумной конкуренции между ведущими учеными и научными коллективами, включая меры по развитию контроля адекватности проведения исследований и объективной оценки результатов научной деятельности, а также по развитию системы ротации кадров.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Повышению кадрового потенциала российской медицины способствует организация на базе научных организаций лабораторий с участием иностранных партнеров.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V. Основные результаты реализации Стратегии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Реализация Стратегии способствует: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созданию сбалансированного, устойчиво развивающегося в научном пространстве Российской Федерации сектора научных медицинских исследований и инновационных разработок, обеспечивающего расширенное воспроизводство медицинских знаний, конкурентоспособного на мировом рынке и активно взаимодействующего с практическим здравоохранением;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формированию непрерывного цикла внедрения в здравоохранение результатов фундаментальных и прикладных исследований;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повышению инвестиционной привлекательности российских патентов в сфере медицинской науки;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созданию механизма поддержки международного сотрудничества в области ориентированных фундаментальных и прикладных медицинских исследований, в том числе через организацию проектов, лабораторий и центров, с участием иностранных партнеров;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созданию механизмов включения новых лекарственных препаратов, биомедицинских клеточных продуктов и медицинских изделий в стандарты медицинской помощи;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созданию эффективных механизмов анализа, учета, управления и вовлечения в хозяйственный оборот результатов интеллектуальной деятельности в области медицинской науки;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созданию механизмов поддержки патентования, регистрации и продвижения новых российских разработок на международный рынок;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созданию механизмов поддержки российских производителей инновационной продукции и обеспечению возможности использования новых зарегистрированных лекарственных препаратов и продуктов в практике здравоохранения;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укреплению кадрового потенциала медицинской науки и закреплению научной молодежи в научных организациях;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повышению рейтинга Российской Федерации в глобальном рейтинге "Науки о жизни".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реализации Стратегии произойдет интеграция национального сектора медицинских исследований в соответствующий сектор глобальной науки, что приведет к увеличению числа национальных публикаций по медицине, индексируемых в международных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библиометрических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базах данных.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12. Этапы и сроки реализации Стратегии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реализации Стратегии выделены следующие этапы: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первый этап (инфраструктурный) - 2013 - 2016 годы;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второй этап (интеграционный) - 2017 - 2020 годы;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третий этап (масштабирование инновационной деятельности) - 2021 - 2025 годы.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 xml:space="preserve">На первом этапе планируется сформировать научные платформы по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приоритетным направлениям медицинской науки и нормативную правовую базу, необходимую для достижения запланированных результатов и индикаторов, разработать ведомственные планы реализации Стратегии, программу мероприятий по развитию медицинской науки и классификатор тематик научных исследований в медицине, уточнить государственные задания для учреждений, подведомственных соответствующим федеральным органам исполнительной власти, создать межведомственный совет по медицинской науке, а также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учесть особенности администрирования интеллектуальной собственности в медицинской науке.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>Планируется проведение аудита научных организаций, результаты которого станут основой для их укрупнения и профилирования в рамках научных платформ и определения центров лидерства (головных институтов), по результатам которого начнется модернизация инфраструктуры медицинской науки и выполнение указанными учреждениями ориентированных фундаментальных исследований в рамках бюджетного финансирования на основе государственного задания, в соответствии с приоритетами научных платформ, а также проведение доклинических и клинических исследований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инновационных продуктов с использованием программно-целевого финансирования. Планируется создание условий для коммерциализации ранних этапов инновационных разработок, а также конечных результатов на всем протяжении инновационного цикла.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Предусматривается формирование научно-образовательных кластеров и расширение кооперации научно-исследовательских лабораторий, факультетов и кафедр ведущих вузов страны, клиник научно-исследовательских центров и вузов, передовых компаний реального сектора экономики, академических институтов и отраслевых научных организаций, кардинальное расширение международной интеграции российских вузов. Планируется открытие базовых кафедр вузов в научно-исследовательских институтах, национальных исследовательских центрах и государственных научных центрах.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Предусматривается полномасштабное функционирование "инновационного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", в рамках которого планируется взаимодействие ключевых институтов развития, научных фондов, создание открытой базы данных инновационных проектов в медицинской науке.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На втором этапе необходимо продолжить укрупнение, профилирование и реорганизацию ведомственных научных организаций в соответствии с научными платформами, а также кардинальное обновление их материально-технической базы, финансирование ориентированных фундаментальных исследований будет сконцентрировано на работах, характеризующихся глобальной конкурентоспособностью. На основании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на первом этапе регистрационных досье необходимо начать клинические исследования инновационных продуктов. Одновременно планируется провести доклинические испытания следующей серии инновационных продуктов.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Предусматривается увеличение числа стажировок молодых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в ведущих исследовательских и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центрах мира.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Планируется создание центров по приоритетным направлениям медицинской науки и технологий с участием зарубежных научных организаций и компаний, а также лабораторий, центров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технологий, будет осуществлена гармонизация российских и международных регламентов и стандартов в области медицинской науки и технологий.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На третьем этапе необходимо расширить условия для коммерциализации разработанных инновационных продуктов с гарантированной их закупкой государством. Вывод продуктов на рынок обеспечит возможности возмещения затрат всеми участниками процесса и инвестирования полученных средств в новые проекты и разработки.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Планируется качественно повысить уровень научных исследований российских медицинских учреждений, престиж медицинских научных специальностей для молодых специалистов и удельный вес российских публикаций в общемировом рейтинге.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13. Экономический эффект реализации Стратегии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Экономический эффект реализации Стратегии рассчитывается в конце каждого из этапов ее реализации.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Методика определения оценки эффективности Стратегии приведена в </w:t>
      </w:r>
      <w:hyperlink w:anchor="P239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E74D2E">
        <w:rPr>
          <w:rFonts w:ascii="Times New Roman" w:hAnsi="Times New Roman" w:cs="Times New Roman"/>
          <w:sz w:val="28"/>
          <w:szCs w:val="28"/>
        </w:rPr>
        <w:t>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14. Мониторинг, управление и контроль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за реализацией Стратегии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реализацией Стратегии осуществляется межведомственным советом по медицинской науке на основании плана мероприятий по реализации Стратегии, ведомственных планов по ее реализации, отчетов по выполнению программы мероприятий по развитию медицинской науки и соответствующих государственных заданий.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представляет ежегодно отчет о реализации Стратегии в Правительство Российской Федерации. Основные индикативные показатели реализации Стратегии приведены в </w:t>
      </w:r>
      <w:hyperlink w:anchor="P276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E74D2E">
        <w:rPr>
          <w:rFonts w:ascii="Times New Roman" w:hAnsi="Times New Roman" w:cs="Times New Roman"/>
          <w:sz w:val="28"/>
          <w:szCs w:val="28"/>
        </w:rPr>
        <w:t>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к Стратегии развития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медицинской науки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lastRenderedPageBreak/>
        <w:t>на период до 2025 года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 w:rsidRPr="00E74D2E">
        <w:rPr>
          <w:rFonts w:ascii="Times New Roman" w:hAnsi="Times New Roman" w:cs="Times New Roman"/>
          <w:sz w:val="28"/>
          <w:szCs w:val="28"/>
        </w:rPr>
        <w:t>МЕТОДИКА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ОПРЕДЕЛЕНИЯ ОЦЕНКИ ЭФФЕКТИВНОСТИ СТРАТЕГИИ РАЗВИТИЯ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МЕДИЦИНСКОЙ НАУКИ В РОССИЙСКОЙ ФЕДЕРАЦИИ НА ПЕРИОД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ДО 2025 ГОДА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Настоящая методика осуществляет оценку эффективности </w:t>
      </w:r>
      <w:hyperlink w:anchor="P24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E74D2E">
        <w:rPr>
          <w:rFonts w:ascii="Times New Roman" w:hAnsi="Times New Roman" w:cs="Times New Roman"/>
          <w:sz w:val="28"/>
          <w:szCs w:val="28"/>
        </w:rPr>
        <w:t xml:space="preserve"> развития медицинской науки в Российской Федерации на период до 2025 года, утвержденной распоряжением Правительства Российской Федерации от 28 декабря 2012 г. N 2580-р (далее - Стратегия).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с настоящей методикой проводится оценка достижения плановых параметров.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(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) Стратегии в целом путем сопоставления фактически достигнутых значений индикаторов Стратегии их плановым значениям (для индикаторов (показателей), желаемой тенденцией развития которых является снижение значений) определяется по формуле: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где: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Стратегии;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Стратегии.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(Уз) из федерального бюджета и иных источников ресурсного обеспечения Стратегии путем сопоставления плановых и фактических объемов финансирования мероприятий Стратегии по каждому источнику ресурсного обеспечения определяется по формуле: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Уз =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где: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Стратегии;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D2E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E74D2E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Степень реализации мероприятий Стратегии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Стратегии является оценкой достижения плановых параметров.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4D2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74D2E">
        <w:rPr>
          <w:rFonts w:ascii="Times New Roman" w:hAnsi="Times New Roman" w:cs="Times New Roman"/>
          <w:sz w:val="28"/>
          <w:szCs w:val="28"/>
        </w:rPr>
        <w:t xml:space="preserve"> настоящей методики осуществляется оценка эффекта реализации инвестиционных проектов с государственным участием (далее - эффект поддержки реализации проектов). При оценке эффекта поддержки </w:t>
      </w:r>
      <w:r w:rsidRPr="00E74D2E">
        <w:rPr>
          <w:rFonts w:ascii="Times New Roman" w:hAnsi="Times New Roman" w:cs="Times New Roman"/>
          <w:sz w:val="28"/>
          <w:szCs w:val="28"/>
        </w:rPr>
        <w:lastRenderedPageBreak/>
        <w:t>реализации проектов учитываются: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экономический эффект поддержки реализации проектов (чистый дисконтированный доход от инвестиций, эффект реализации проекта для смежных отраслей, объем привлеченных негосударственных (в том числе зарубежных) инвестиций на 1 рубль бюджетных инвестиций);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социальный эффект поддержки реализации проектов (создание новых рабочих мест, увеличение продолжительности жизни и снижение смертности).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При расчете эффекта поддержки реализации проектов отдельно учитываются различные типы проектов (федеральные инвестиции, реализация целевых проектов в рамках государственно-частного партнерства).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к Стратегии развития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медицинской науки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на период до 2025 года</w:t>
      </w:r>
    </w:p>
    <w:p w:rsidR="00E74D2E" w:rsidRPr="00E74D2E" w:rsidRDefault="00E74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6"/>
      <w:bookmarkEnd w:id="2"/>
      <w:r w:rsidRPr="00E74D2E">
        <w:rPr>
          <w:rFonts w:ascii="Times New Roman" w:hAnsi="Times New Roman" w:cs="Times New Roman"/>
          <w:sz w:val="28"/>
          <w:szCs w:val="28"/>
        </w:rPr>
        <w:t>ПРОГНОЗ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>ИЗМЕНЕНИЯ ИНДИКАТИВНЫХ ПОКАЗАТЕЛЕЙ В ХОДЕ РЕАЛИЗАЦИИ</w:t>
      </w:r>
    </w:p>
    <w:p w:rsidR="00E74D2E" w:rsidRPr="00E74D2E" w:rsidRDefault="00E74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4D2E">
        <w:rPr>
          <w:rFonts w:ascii="Times New Roman" w:hAnsi="Times New Roman" w:cs="Times New Roman"/>
          <w:sz w:val="28"/>
          <w:szCs w:val="28"/>
        </w:rPr>
        <w:t xml:space="preserve">СТРАТЕГИИ </w:t>
      </w:r>
      <w:hyperlink w:anchor="P477" w:history="1">
        <w:r w:rsidRPr="00E74D2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E74D2E" w:rsidRDefault="00E74D2E">
      <w:pPr>
        <w:pStyle w:val="ConsPlusNormal"/>
        <w:jc w:val="center"/>
      </w:pPr>
    </w:p>
    <w:p w:rsidR="00E74D2E" w:rsidRDefault="00E74D2E">
      <w:pPr>
        <w:pStyle w:val="ConsPlusCell"/>
        <w:jc w:val="both"/>
      </w:pPr>
      <w:r>
        <w:rPr>
          <w:sz w:val="14"/>
        </w:rPr>
        <w:t>───────────────────┬──────┬─────┬─────┬─────┬─────┬─────┬─────┬─────┬─────┬─────┬─────┬─────┬─────┬──────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   Индикативные   │ 2013 │2014 │2015 │2016 │2017 │2018 │2019 │2020 │2021 │2022 │2023 │2024 │2025</w:t>
      </w:r>
      <w:proofErr w:type="gramStart"/>
      <w:r>
        <w:rPr>
          <w:sz w:val="14"/>
        </w:rPr>
        <w:t xml:space="preserve"> </w:t>
      </w:r>
      <w:proofErr w:type="spellStart"/>
      <w:r>
        <w:rPr>
          <w:sz w:val="14"/>
        </w:rPr>
        <w:t>│И</w:t>
      </w:r>
      <w:proofErr w:type="gramEnd"/>
      <w:r>
        <w:rPr>
          <w:sz w:val="14"/>
        </w:rPr>
        <w:t>того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    показатели    │ год  │ </w:t>
      </w:r>
      <w:proofErr w:type="gramStart"/>
      <w:r>
        <w:rPr>
          <w:sz w:val="14"/>
        </w:rPr>
        <w:t>год</w:t>
      </w:r>
      <w:proofErr w:type="gramEnd"/>
      <w:r>
        <w:rPr>
          <w:sz w:val="14"/>
        </w:rPr>
        <w:t xml:space="preserve"> │ год │ год │ год │ год │ год │ год │ год │ год │ год │ год │ год │</w:t>
      </w:r>
    </w:p>
    <w:p w:rsidR="00E74D2E" w:rsidRDefault="00E74D2E">
      <w:pPr>
        <w:pStyle w:val="ConsPlusCell"/>
        <w:jc w:val="both"/>
      </w:pPr>
      <w:r>
        <w:rPr>
          <w:sz w:val="14"/>
        </w:rPr>
        <w:t>───────────────────┴──────┴─────┴─────┴─────┴─────┴─────┴─────┴─────┴─────┴─────┴─────┴─────┴─────┴──────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Смертность от всех   13   12,8  12,5   12,3  12,1 11,8  11,6  11,4  11,2   11   10,8  10,6  10,4  </w:t>
      </w:r>
      <w:proofErr w:type="spellStart"/>
      <w:r>
        <w:rPr>
          <w:sz w:val="14"/>
        </w:rPr>
        <w:t>10,4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причин (на 1000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человек населения)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Ожидаемая           70,8  71,6  72,2   72,7  73,4  74   74,2  74,3  74,5  74,7  74,9  75,1  75,3  </w:t>
      </w:r>
      <w:proofErr w:type="spellStart"/>
      <w:r>
        <w:rPr>
          <w:sz w:val="14"/>
        </w:rPr>
        <w:t>75,3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продолжительность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жизни при рождении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(лет)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Доля                 -     -      5     7     </w:t>
      </w:r>
      <w:proofErr w:type="spellStart"/>
      <w:r>
        <w:rPr>
          <w:sz w:val="14"/>
        </w:rPr>
        <w:t>7</w:t>
      </w:r>
      <w:proofErr w:type="spellEnd"/>
      <w:r>
        <w:rPr>
          <w:sz w:val="14"/>
        </w:rPr>
        <w:t xml:space="preserve">    10    15    20    25    30    35    40    50    </w:t>
      </w:r>
      <w:proofErr w:type="spellStart"/>
      <w:r>
        <w:rPr>
          <w:sz w:val="14"/>
        </w:rPr>
        <w:t>50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модернизированных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лабораторий,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соответствующих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требованиям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надлежащей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лабораторной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практики, в общем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их 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</w:t>
      </w:r>
      <w:hyperlink w:anchor="P478" w:history="1">
        <w:r>
          <w:rPr>
            <w:color w:val="0000FF"/>
            <w:sz w:val="14"/>
          </w:rPr>
          <w:t>&lt;**&gt;</w:t>
        </w:r>
      </w:hyperlink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(процентов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Доля                 -     -      -     5     10   15    20    30    50    70    75    85   100    </w:t>
      </w:r>
      <w:proofErr w:type="spellStart"/>
      <w:r>
        <w:rPr>
          <w:sz w:val="14"/>
        </w:rPr>
        <w:t>100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модернизированных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клинических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подразделений,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соответствующих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требованиям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надлежащей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клинической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практики, в общем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их 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</w:t>
      </w:r>
      <w:hyperlink w:anchor="P479" w:history="1">
        <w:r>
          <w:rPr>
            <w:color w:val="0000FF"/>
            <w:sz w:val="14"/>
          </w:rPr>
          <w:t>&lt;***&gt;</w:t>
        </w:r>
      </w:hyperlink>
    </w:p>
    <w:p w:rsidR="00E74D2E" w:rsidRDefault="00E74D2E">
      <w:pPr>
        <w:pStyle w:val="ConsPlusCell"/>
        <w:jc w:val="both"/>
      </w:pPr>
      <w:r>
        <w:rPr>
          <w:sz w:val="14"/>
        </w:rPr>
        <w:lastRenderedPageBreak/>
        <w:t xml:space="preserve"> </w:t>
      </w:r>
      <w:proofErr w:type="gramStart"/>
      <w:r>
        <w:rPr>
          <w:sz w:val="14"/>
        </w:rPr>
        <w:t>(процентов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-     -      -     1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  2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  3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 4     5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5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модернизированных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лабораторий,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соответствующих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требованиям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надлежащей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клеточной 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тканевой практики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введенных</w:t>
      </w:r>
      <w:proofErr w:type="gramEnd"/>
      <w:r>
        <w:rPr>
          <w:sz w:val="14"/>
        </w:rPr>
        <w:t xml:space="preserve"> в    -     -      -     2     3     4    5 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5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эксплуатацию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вивариев,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питомников </w:t>
      </w:r>
      <w:proofErr w:type="gramStart"/>
      <w:r>
        <w:rPr>
          <w:sz w:val="14"/>
        </w:rPr>
        <w:t>для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лабораторных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животных и центров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доклинических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исследований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Процент              -     -      -     10    15   20    25    50    55    60    70    80    90    </w:t>
      </w:r>
      <w:proofErr w:type="spellStart"/>
      <w:r>
        <w:rPr>
          <w:sz w:val="14"/>
        </w:rPr>
        <w:t>90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загруженности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введенных</w:t>
      </w:r>
      <w:proofErr w:type="gramEnd"/>
      <w:r>
        <w:rPr>
          <w:sz w:val="14"/>
        </w:rPr>
        <w:t xml:space="preserve"> в строй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инфраструктурных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объектов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(процентов)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Средний возраст      49    47    46     45    </w:t>
      </w:r>
      <w:proofErr w:type="spellStart"/>
      <w:r>
        <w:rPr>
          <w:sz w:val="14"/>
        </w:rPr>
        <w:t>45</w:t>
      </w:r>
      <w:proofErr w:type="spellEnd"/>
      <w:r>
        <w:rPr>
          <w:sz w:val="14"/>
        </w:rPr>
        <w:t xml:space="preserve">   44    </w:t>
      </w:r>
      <w:proofErr w:type="spellStart"/>
      <w:r>
        <w:rPr>
          <w:sz w:val="14"/>
        </w:rPr>
        <w:t>44</w:t>
      </w:r>
      <w:proofErr w:type="spellEnd"/>
      <w:r>
        <w:rPr>
          <w:sz w:val="14"/>
        </w:rPr>
        <w:t xml:space="preserve">    43    </w:t>
      </w:r>
      <w:proofErr w:type="spellStart"/>
      <w:r>
        <w:rPr>
          <w:sz w:val="14"/>
        </w:rPr>
        <w:t>43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43</w:t>
      </w:r>
      <w:proofErr w:type="spellEnd"/>
      <w:r>
        <w:rPr>
          <w:sz w:val="14"/>
        </w:rPr>
        <w:t xml:space="preserve">    42    </w:t>
      </w:r>
      <w:proofErr w:type="spellStart"/>
      <w:r>
        <w:rPr>
          <w:sz w:val="14"/>
        </w:rPr>
        <w:t>42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42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42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научных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сотрудников (лет)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Доля научных         25    </w:t>
      </w:r>
      <w:proofErr w:type="spellStart"/>
      <w:r>
        <w:rPr>
          <w:sz w:val="14"/>
        </w:rPr>
        <w:t>25</w:t>
      </w:r>
      <w:proofErr w:type="spellEnd"/>
      <w:r>
        <w:rPr>
          <w:sz w:val="14"/>
        </w:rPr>
        <w:t xml:space="preserve">    26     27    28   29    30    31    32    33    </w:t>
      </w:r>
      <w:proofErr w:type="spellStart"/>
      <w:r>
        <w:rPr>
          <w:sz w:val="14"/>
        </w:rPr>
        <w:t>33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33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33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33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сотрудников </w:t>
      </w:r>
      <w:proofErr w:type="gramStart"/>
      <w:r>
        <w:rPr>
          <w:sz w:val="14"/>
        </w:rPr>
        <w:t>в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возрасте</w:t>
      </w:r>
      <w:proofErr w:type="gramEnd"/>
      <w:r>
        <w:rPr>
          <w:sz w:val="14"/>
        </w:rPr>
        <w:t xml:space="preserve"> до 39 лет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 общем числе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научных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сотрудников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(процентов)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научных        -     50    75    100   125   150  175    200  225    250   275  300   </w:t>
      </w:r>
      <w:proofErr w:type="spellStart"/>
      <w:r>
        <w:rPr>
          <w:sz w:val="14"/>
        </w:rPr>
        <w:t>300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300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сотрудников,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прошедших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международные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стажировки </w:t>
      </w:r>
      <w:proofErr w:type="gramStart"/>
      <w:r>
        <w:rPr>
          <w:sz w:val="14"/>
        </w:rPr>
        <w:t>за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рубежом (человек)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научных        28    30    </w:t>
      </w:r>
      <w:proofErr w:type="spellStart"/>
      <w:r>
        <w:rPr>
          <w:sz w:val="14"/>
        </w:rPr>
        <w:t>30</w:t>
      </w:r>
      <w:proofErr w:type="spellEnd"/>
      <w:r>
        <w:rPr>
          <w:sz w:val="14"/>
        </w:rPr>
        <w:t xml:space="preserve">     35    40   45    50    58    65    75    85    95   100    </w:t>
      </w:r>
      <w:proofErr w:type="spellStart"/>
      <w:r>
        <w:rPr>
          <w:sz w:val="14"/>
        </w:rPr>
        <w:t>100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сотрудников </w:t>
      </w:r>
      <w:proofErr w:type="gramStart"/>
      <w:r>
        <w:rPr>
          <w:sz w:val="14"/>
        </w:rPr>
        <w:t>с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индексом </w:t>
      </w:r>
      <w:proofErr w:type="spellStart"/>
      <w:r>
        <w:rPr>
          <w:sz w:val="14"/>
        </w:rPr>
        <w:t>Хирша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больше 10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(человек)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введенных</w:t>
      </w:r>
      <w:proofErr w:type="gramEnd"/>
      <w:r>
        <w:rPr>
          <w:sz w:val="14"/>
        </w:rPr>
        <w:t xml:space="preserve"> в    -     2      3     4     6     8    9     10    </w:t>
      </w:r>
      <w:proofErr w:type="spellStart"/>
      <w:r>
        <w:rPr>
          <w:sz w:val="14"/>
        </w:rPr>
        <w:t>10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10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10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10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10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10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эксплуатацию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центров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коллективного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пользования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Удельный вес        0,6   </w:t>
      </w:r>
      <w:proofErr w:type="spellStart"/>
      <w:r>
        <w:rPr>
          <w:sz w:val="14"/>
        </w:rPr>
        <w:t>0,6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0,6</w:t>
      </w:r>
      <w:proofErr w:type="spellEnd"/>
      <w:r>
        <w:rPr>
          <w:sz w:val="14"/>
        </w:rPr>
        <w:t xml:space="preserve">   0,7   0,8   0,9   1 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1,1    1,2   1,3  1,4   1,5    </w:t>
      </w:r>
      <w:proofErr w:type="spellStart"/>
      <w:r>
        <w:rPr>
          <w:sz w:val="14"/>
        </w:rPr>
        <w:t>1,5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научных публикаций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российской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медицинской науки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 общемировом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публикаций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(процент общего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числа публикаций </w:t>
      </w:r>
      <w:proofErr w:type="gramStart"/>
      <w:r>
        <w:rPr>
          <w:sz w:val="14"/>
        </w:rPr>
        <w:t>в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журналах</w:t>
      </w:r>
      <w:proofErr w:type="gramEnd"/>
      <w:r>
        <w:rPr>
          <w:sz w:val="14"/>
        </w:rPr>
        <w:t>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индексируемых в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Вэб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оф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Скинз</w:t>
      </w:r>
      <w:proofErr w:type="spellEnd"/>
      <w:r>
        <w:rPr>
          <w:sz w:val="14"/>
        </w:rPr>
        <w:t xml:space="preserve"> (</w:t>
      </w:r>
      <w:proofErr w:type="spellStart"/>
      <w:r>
        <w:rPr>
          <w:sz w:val="14"/>
        </w:rPr>
        <w:t>Web</w:t>
      </w:r>
      <w:proofErr w:type="spellEnd"/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of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Science</w:t>
      </w:r>
      <w:proofErr w:type="spellEnd"/>
      <w:r>
        <w:rPr>
          <w:sz w:val="14"/>
        </w:rPr>
        <w:t>))</w:t>
      </w:r>
      <w:proofErr w:type="gramEnd"/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научных и      1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1</w:t>
      </w:r>
      <w:proofErr w:type="spellEnd"/>
      <w:r>
        <w:rPr>
          <w:sz w:val="14"/>
        </w:rPr>
        <w:t xml:space="preserve">     2 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  3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4     8      </w:t>
      </w:r>
      <w:proofErr w:type="spellStart"/>
      <w:r>
        <w:rPr>
          <w:sz w:val="14"/>
        </w:rPr>
        <w:t>8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образовательных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учреждений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медицинской науки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 Российской</w:t>
      </w:r>
    </w:p>
    <w:p w:rsidR="00E74D2E" w:rsidRDefault="00E74D2E">
      <w:pPr>
        <w:pStyle w:val="ConsPlusCell"/>
        <w:jc w:val="both"/>
      </w:pPr>
      <w:r>
        <w:rPr>
          <w:sz w:val="14"/>
        </w:rPr>
        <w:lastRenderedPageBreak/>
        <w:t xml:space="preserve"> Федерации,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входящих в мировой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рейтинг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публикационной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активности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(единиц, по данным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Сци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Верз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Скопус</w:t>
      </w:r>
      <w:proofErr w:type="spellEnd"/>
      <w:r>
        <w:rPr>
          <w:sz w:val="14"/>
        </w:rPr>
        <w:t xml:space="preserve"> -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SciVerse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Scopus</w:t>
      </w:r>
      <w:proofErr w:type="spellEnd"/>
      <w:r>
        <w:rPr>
          <w:sz w:val="14"/>
        </w:rPr>
        <w:t>)</w:t>
      </w:r>
      <w:proofErr w:type="gramEnd"/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1     2      6     12    14   </w:t>
      </w:r>
      <w:proofErr w:type="spellStart"/>
      <w:r>
        <w:rPr>
          <w:sz w:val="14"/>
        </w:rPr>
        <w:t>14</w:t>
      </w:r>
      <w:proofErr w:type="spellEnd"/>
      <w:r>
        <w:rPr>
          <w:sz w:val="14"/>
        </w:rPr>
        <w:t xml:space="preserve">    15    17    18    19    21    22    24    </w:t>
      </w:r>
      <w:proofErr w:type="spellStart"/>
      <w:r>
        <w:rPr>
          <w:sz w:val="14"/>
        </w:rPr>
        <w:t>24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международных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патентов 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</w:t>
      </w:r>
      <w:proofErr w:type="gramStart"/>
      <w:r>
        <w:rPr>
          <w:sz w:val="14"/>
        </w:rPr>
        <w:t>новых</w:t>
      </w:r>
      <w:proofErr w:type="gramEnd"/>
      <w:r>
        <w:rPr>
          <w:sz w:val="14"/>
        </w:rPr>
        <w:t xml:space="preserve">          -     2      4     12    </w:t>
      </w:r>
      <w:proofErr w:type="spellStart"/>
      <w:r>
        <w:rPr>
          <w:sz w:val="14"/>
        </w:rPr>
        <w:t>12</w:t>
      </w:r>
      <w:proofErr w:type="spellEnd"/>
      <w:r>
        <w:rPr>
          <w:sz w:val="14"/>
        </w:rPr>
        <w:t xml:space="preserve">   13    </w:t>
      </w:r>
      <w:proofErr w:type="spellStart"/>
      <w:r>
        <w:rPr>
          <w:sz w:val="14"/>
        </w:rPr>
        <w:t>13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13</w:t>
      </w:r>
      <w:proofErr w:type="spellEnd"/>
      <w:r>
        <w:rPr>
          <w:sz w:val="14"/>
        </w:rPr>
        <w:t xml:space="preserve">    14    15    16    18    20    </w:t>
      </w:r>
      <w:proofErr w:type="spellStart"/>
      <w:r>
        <w:rPr>
          <w:sz w:val="14"/>
        </w:rPr>
        <w:t>20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лекарственных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средств,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доведенных до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стадии </w:t>
      </w:r>
      <w:proofErr w:type="gramStart"/>
      <w:r>
        <w:rPr>
          <w:sz w:val="14"/>
        </w:rPr>
        <w:t>клинических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исследований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-     -      -     1     2 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  3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4    </w:t>
      </w:r>
      <w:proofErr w:type="spellStart"/>
      <w:r>
        <w:rPr>
          <w:sz w:val="14"/>
        </w:rPr>
        <w:t>4</w:t>
      </w:r>
      <w:proofErr w:type="spellEnd"/>
      <w:r>
        <w:rPr>
          <w:sz w:val="14"/>
        </w:rPr>
        <w:t xml:space="preserve">     5      </w:t>
      </w:r>
      <w:proofErr w:type="spellStart"/>
      <w:r>
        <w:rPr>
          <w:sz w:val="14"/>
        </w:rPr>
        <w:t>5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инновационных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лекарственных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препаратов,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защищенных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зарубежными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патентами 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1     2      3     4     5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 6    </w:t>
      </w:r>
      <w:proofErr w:type="spellStart"/>
      <w:r>
        <w:rPr>
          <w:sz w:val="14"/>
        </w:rPr>
        <w:t>6</w:t>
      </w:r>
      <w:proofErr w:type="spellEnd"/>
      <w:r>
        <w:rPr>
          <w:sz w:val="14"/>
        </w:rPr>
        <w:t xml:space="preserve">      7     </w:t>
      </w:r>
      <w:proofErr w:type="spellStart"/>
      <w:r>
        <w:rPr>
          <w:sz w:val="14"/>
        </w:rPr>
        <w:t>7</w:t>
      </w:r>
      <w:proofErr w:type="spellEnd"/>
      <w:r>
        <w:rPr>
          <w:sz w:val="14"/>
        </w:rPr>
        <w:t xml:space="preserve">    8     9      </w:t>
      </w:r>
      <w:proofErr w:type="spellStart"/>
      <w:r>
        <w:rPr>
          <w:sz w:val="14"/>
        </w:rPr>
        <w:t>9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инновационных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изделий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биомедицинского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назначения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-     1      5     6     7     8    9     10    11    12    13    14    15    </w:t>
      </w:r>
      <w:proofErr w:type="spellStart"/>
      <w:r>
        <w:rPr>
          <w:sz w:val="14"/>
        </w:rPr>
        <w:t>15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биосовместимых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</w:t>
      </w:r>
      <w:proofErr w:type="gramStart"/>
      <w:r>
        <w:rPr>
          <w:sz w:val="14"/>
        </w:rPr>
        <w:t>материалов (единиц</w:t>
      </w:r>
      <w:proofErr w:type="gram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нарастающим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итогом)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-     1      2 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2</w:t>
      </w:r>
      <w:proofErr w:type="spellEnd"/>
      <w:r>
        <w:rPr>
          <w:sz w:val="14"/>
        </w:rPr>
        <w:t xml:space="preserve">      3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3</w:t>
      </w:r>
      <w:proofErr w:type="spellEnd"/>
      <w:r>
        <w:rPr>
          <w:sz w:val="14"/>
        </w:rPr>
        <w:t xml:space="preserve">     29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клеточных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продуктов (единиц)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Число                3     5     10     5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 68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диагностических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тест-систем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(единиц)</w:t>
      </w:r>
    </w:p>
    <w:p w:rsidR="00E74D2E" w:rsidRDefault="00E74D2E">
      <w:pPr>
        <w:pStyle w:val="ConsPlusCell"/>
        <w:jc w:val="both"/>
      </w:pPr>
    </w:p>
    <w:p w:rsidR="00E74D2E" w:rsidRDefault="00E74D2E">
      <w:pPr>
        <w:pStyle w:val="ConsPlusCell"/>
        <w:jc w:val="both"/>
      </w:pPr>
      <w:r>
        <w:rPr>
          <w:sz w:val="14"/>
        </w:rPr>
        <w:t xml:space="preserve"> Доля </w:t>
      </w:r>
      <w:proofErr w:type="gramStart"/>
      <w:r>
        <w:rPr>
          <w:sz w:val="14"/>
        </w:rPr>
        <w:t>инновационных</w:t>
      </w:r>
      <w:proofErr w:type="gramEnd"/>
      <w:r>
        <w:rPr>
          <w:sz w:val="14"/>
        </w:rPr>
        <w:t xml:space="preserve">   -     1      3     4     5     </w:t>
      </w:r>
      <w:proofErr w:type="spellStart"/>
      <w:r>
        <w:rPr>
          <w:sz w:val="14"/>
        </w:rPr>
        <w:t>5</w:t>
      </w:r>
      <w:proofErr w:type="spellEnd"/>
      <w:r>
        <w:rPr>
          <w:sz w:val="14"/>
        </w:rPr>
        <w:t xml:space="preserve">    6      </w:t>
      </w:r>
      <w:proofErr w:type="spellStart"/>
      <w:r>
        <w:rPr>
          <w:sz w:val="14"/>
        </w:rPr>
        <w:t>6</w:t>
      </w:r>
      <w:proofErr w:type="spellEnd"/>
      <w:r>
        <w:rPr>
          <w:sz w:val="14"/>
        </w:rPr>
        <w:t xml:space="preserve">    7      </w:t>
      </w:r>
      <w:proofErr w:type="spellStart"/>
      <w:r>
        <w:rPr>
          <w:sz w:val="14"/>
        </w:rPr>
        <w:t>7</w:t>
      </w:r>
      <w:proofErr w:type="spellEnd"/>
      <w:r>
        <w:rPr>
          <w:sz w:val="14"/>
        </w:rPr>
        <w:t xml:space="preserve">     8    9     10    </w:t>
      </w:r>
      <w:proofErr w:type="spellStart"/>
      <w:r>
        <w:rPr>
          <w:sz w:val="14"/>
        </w:rPr>
        <w:t>10</w:t>
      </w:r>
      <w:proofErr w:type="spellEnd"/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продуктов,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выведенных на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рынок, в числе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впервые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зарегистрированных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продуктов</w:t>
      </w:r>
    </w:p>
    <w:p w:rsidR="00E74D2E" w:rsidRDefault="00E74D2E">
      <w:pPr>
        <w:pStyle w:val="ConsPlusCell"/>
        <w:jc w:val="both"/>
      </w:pPr>
      <w:r>
        <w:rPr>
          <w:sz w:val="14"/>
        </w:rPr>
        <w:t xml:space="preserve"> (процентов)</w:t>
      </w:r>
    </w:p>
    <w:p w:rsidR="00E74D2E" w:rsidRDefault="00E74D2E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74D2E" w:rsidRDefault="00E74D2E">
      <w:pPr>
        <w:pStyle w:val="ConsPlusNormal"/>
        <w:jc w:val="both"/>
      </w:pPr>
    </w:p>
    <w:p w:rsidR="00E74D2E" w:rsidRDefault="00E74D2E">
      <w:pPr>
        <w:pStyle w:val="ConsPlusNormal"/>
        <w:ind w:firstLine="540"/>
        <w:jc w:val="both"/>
      </w:pPr>
      <w:r>
        <w:t>--------------------------------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77"/>
      <w:bookmarkEnd w:id="3"/>
      <w:r w:rsidRPr="00E74D2E">
        <w:rPr>
          <w:rFonts w:ascii="Times New Roman" w:hAnsi="Times New Roman" w:cs="Times New Roman"/>
        </w:rPr>
        <w:t xml:space="preserve">&lt;*&gt; Приведенные показатели разработаны на основе государственной </w:t>
      </w:r>
      <w:hyperlink r:id="rId25" w:history="1">
        <w:r w:rsidRPr="00E74D2E">
          <w:rPr>
            <w:rFonts w:ascii="Times New Roman" w:hAnsi="Times New Roman" w:cs="Times New Roman"/>
            <w:color w:val="0000FF"/>
          </w:rPr>
          <w:t>программы</w:t>
        </w:r>
      </w:hyperlink>
      <w:r w:rsidRPr="00E74D2E">
        <w:rPr>
          <w:rFonts w:ascii="Times New Roman" w:hAnsi="Times New Roman" w:cs="Times New Roman"/>
        </w:rPr>
        <w:t xml:space="preserve"> Российской Федерации "Развитие здравоохранения".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78"/>
      <w:bookmarkEnd w:id="4"/>
      <w:r w:rsidRPr="00E74D2E">
        <w:rPr>
          <w:rFonts w:ascii="Times New Roman" w:hAnsi="Times New Roman" w:cs="Times New Roman"/>
        </w:rPr>
        <w:t>&lt;**&gt; Процентов общего числа лабораторий - участников проекта.</w:t>
      </w:r>
    </w:p>
    <w:p w:rsidR="00E74D2E" w:rsidRPr="00E74D2E" w:rsidRDefault="00E74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479"/>
      <w:bookmarkEnd w:id="5"/>
      <w:r w:rsidRPr="00E74D2E">
        <w:rPr>
          <w:rFonts w:ascii="Times New Roman" w:hAnsi="Times New Roman" w:cs="Times New Roman"/>
        </w:rPr>
        <w:t>&lt;***&gt; Процентов числа клинических подразделений, проводящих клинические исследования.</w:t>
      </w:r>
    </w:p>
    <w:p w:rsidR="00E74D2E" w:rsidRDefault="00E74D2E">
      <w:pPr>
        <w:pStyle w:val="ConsPlusNormal"/>
        <w:ind w:firstLine="540"/>
        <w:jc w:val="both"/>
      </w:pPr>
    </w:p>
    <w:p w:rsidR="00E74D2E" w:rsidRDefault="00E74D2E">
      <w:pPr>
        <w:pStyle w:val="ConsPlusNormal"/>
        <w:ind w:firstLine="540"/>
        <w:jc w:val="both"/>
      </w:pPr>
    </w:p>
    <w:p w:rsidR="00E74D2E" w:rsidRDefault="00E74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4D2E" w:rsidSect="00B0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2E"/>
    <w:rsid w:val="00066F19"/>
    <w:rsid w:val="001B2E11"/>
    <w:rsid w:val="003748FA"/>
    <w:rsid w:val="003F2BC6"/>
    <w:rsid w:val="00422695"/>
    <w:rsid w:val="00834113"/>
    <w:rsid w:val="009B1E19"/>
    <w:rsid w:val="009E60E5"/>
    <w:rsid w:val="00A153B6"/>
    <w:rsid w:val="00AA7D9B"/>
    <w:rsid w:val="00C01B90"/>
    <w:rsid w:val="00DE3A65"/>
    <w:rsid w:val="00E2759D"/>
    <w:rsid w:val="00E7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27BDC5C9BBDF67CCCD2BC7A291BC0091C0308D7DA8F8DE56E97E29468D34FC1A52674F4035FCE2c6M" TargetMode="External"/><Relationship Id="rId13" Type="http://schemas.openxmlformats.org/officeDocument/2006/relationships/hyperlink" Target="consultantplus://offline/ref=F97727BDC5C9BBDF67CCCD2BC7A291BC0393C2308A71A8F8DE56E97E29468D34FC1A52674BE4c3M" TargetMode="External"/><Relationship Id="rId18" Type="http://schemas.openxmlformats.org/officeDocument/2006/relationships/hyperlink" Target="consultantplus://offline/ref=F97727BDC5C9BBDF67CCCD2BC7A291BC0095C1358E71A8F8DE56E97E29468D34FC1A52674F4035FDE2cC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727BDC5C9BBDF67CCCD2BC7A291BC009AC135897AA8F8DE56E97E29468D34FC1A52674F4035FDE2cCM" TargetMode="External"/><Relationship Id="rId7" Type="http://schemas.openxmlformats.org/officeDocument/2006/relationships/hyperlink" Target="consultantplus://offline/ref=F97727BDC5C9BBDF67CCCD2BC7A291BC0091CA378D7FA8F8DE56E97E29468D34FC1A52674F4035FDE2c7M" TargetMode="External"/><Relationship Id="rId12" Type="http://schemas.openxmlformats.org/officeDocument/2006/relationships/hyperlink" Target="consultantplus://offline/ref=F97727BDC5C9BBDF67CCCD2BC7A291BC009BCB328D79A8F8DE56E97E29468D34FC1A52674F4035FCE2c9M" TargetMode="External"/><Relationship Id="rId17" Type="http://schemas.openxmlformats.org/officeDocument/2006/relationships/hyperlink" Target="consultantplus://offline/ref=F97727BDC5C9BBDF67CCCD2BC7A291BC0393C2338B71A8F8DE56E97E29468D34FC1A52674F4035FBE2c6M" TargetMode="External"/><Relationship Id="rId25" Type="http://schemas.openxmlformats.org/officeDocument/2006/relationships/hyperlink" Target="consultantplus://offline/ref=F97727BDC5C9BBDF67CCCD2BC7A291BC0095C1358E71A8F8DE56E97E29468D34FC1A52674F4035FDE2c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727BDC5C9BBDF67CCCD2BC7A291BC0393C43D8F7CA8F8DE56E97E29E4c6M" TargetMode="External"/><Relationship Id="rId20" Type="http://schemas.openxmlformats.org/officeDocument/2006/relationships/hyperlink" Target="consultantplus://offline/ref=F97727BDC5C9BBDF67CCCD2BC7A291BC0095C1358E7CA8F8DE56E97E29E4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27BDC5C9BBDF67CCCD2BC7A291BC0091CA378D7CA8F8DE56E97E29468D34FC1A52674F4035FDE2c9M" TargetMode="External"/><Relationship Id="rId11" Type="http://schemas.openxmlformats.org/officeDocument/2006/relationships/hyperlink" Target="consultantplus://offline/ref=F97727BDC5C9BBDF67CCCD2BC7A291BC009ACA32817DA8F8DE56E97E29468D34FC1A52674F4035FDE2cFM" TargetMode="External"/><Relationship Id="rId24" Type="http://schemas.openxmlformats.org/officeDocument/2006/relationships/hyperlink" Target="consultantplus://offline/ref=F97727BDC5C9BBDF67CCCD2BC7A291BC0091CA378D7DA8F8DE56E97E29E4c6M" TargetMode="External"/><Relationship Id="rId5" Type="http://schemas.openxmlformats.org/officeDocument/2006/relationships/hyperlink" Target="consultantplus://offline/ref=F97727BDC5C9BBDF67CCCD2BC7A291BC009AC3328D7EA8F8DE56E97E29E4c6M" TargetMode="External"/><Relationship Id="rId15" Type="http://schemas.openxmlformats.org/officeDocument/2006/relationships/hyperlink" Target="consultantplus://offline/ref=F97727BDC5C9BBDF67CCCD2BC7A291BC0393C2368870A8F8DE56E97E29468D34FC1A52674F4034FEE2cFM" TargetMode="External"/><Relationship Id="rId23" Type="http://schemas.openxmlformats.org/officeDocument/2006/relationships/hyperlink" Target="consultantplus://offline/ref=F97727BDC5C9BBDF67CCCD2BC7A291BC009ACA3D8F7EA8F8DE56E97E29E4c6M" TargetMode="External"/><Relationship Id="rId10" Type="http://schemas.openxmlformats.org/officeDocument/2006/relationships/hyperlink" Target="consultantplus://offline/ref=F97727BDC5C9BBDF67CCCD2BC7A291BC0090C3348D7AA8F8DE56E97E29E4c6M" TargetMode="External"/><Relationship Id="rId19" Type="http://schemas.openxmlformats.org/officeDocument/2006/relationships/hyperlink" Target="consultantplus://offline/ref=F97727BDC5C9BBDF67CCCD2BC7A291BC0392C134807DA8F8DE56E97E29468D34FC1A52674F4035FDE2c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7727BDC5C9BBDF67CCCD2BC7A291BC0096C4378B78A8F8DE56E97E29468D34FC1A52E6c2M" TargetMode="External"/><Relationship Id="rId14" Type="http://schemas.openxmlformats.org/officeDocument/2006/relationships/hyperlink" Target="consultantplus://offline/ref=F97727BDC5C9BBDF67CCCD2BC7A291BC0091C23C8A7DA8F8DE56E97E29E4c6M" TargetMode="External"/><Relationship Id="rId22" Type="http://schemas.openxmlformats.org/officeDocument/2006/relationships/hyperlink" Target="consultantplus://offline/ref=F97727BDC5C9BBDF67CCCD2BC7A291BC0393C2368E71A8F8DE56E97E29E4c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7111</Words>
  <Characters>40533</Characters>
  <Application>Microsoft Office Word</Application>
  <DocSecurity>0</DocSecurity>
  <Lines>337</Lines>
  <Paragraphs>95</Paragraphs>
  <ScaleCrop>false</ScaleCrop>
  <Company/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plotnikovnv</dc:creator>
  <cp:lastModifiedBy>plotnikovnv</cp:lastModifiedBy>
  <cp:revision>1</cp:revision>
  <dcterms:created xsi:type="dcterms:W3CDTF">2017-02-20T12:28:00Z</dcterms:created>
  <dcterms:modified xsi:type="dcterms:W3CDTF">2017-02-20T12:31:00Z</dcterms:modified>
</cp:coreProperties>
</file>