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CD0D65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CD0D65" w:rsidRPr="00AF3774">
        <w:rPr>
          <w:rFonts w:ascii="Calibri" w:hAnsi="Calibri" w:cs="Calibri"/>
          <w:b/>
          <w:sz w:val="22"/>
        </w:rPr>
      </w:r>
      <w:r w:rsidR="00CD0D65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CD0D65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CD0D65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CD0D65" w:rsidRPr="00AF3774">
        <w:rPr>
          <w:rFonts w:ascii="Calibri" w:hAnsi="Calibri" w:cs="Calibri"/>
          <w:b/>
          <w:sz w:val="22"/>
        </w:rPr>
      </w:r>
      <w:r w:rsidR="00CD0D65" w:rsidRPr="00AF3774">
        <w:rPr>
          <w:rFonts w:ascii="Calibri" w:hAnsi="Calibri" w:cs="Calibri"/>
          <w:b/>
          <w:sz w:val="22"/>
        </w:rPr>
        <w:fldChar w:fldCharType="separate"/>
      </w:r>
      <w:r w:rsidR="00CB3964" w:rsidRPr="00AF3774">
        <w:rPr>
          <w:rFonts w:ascii="Calibri" w:hAnsi="Calibri" w:cs="Calibri"/>
          <w:b/>
          <w:noProof/>
          <w:sz w:val="22"/>
        </w:rPr>
        <w:t xml:space="preserve">Республики </w:t>
      </w:r>
      <w:r w:rsidR="004D7F89">
        <w:rPr>
          <w:rFonts w:ascii="Calibri" w:hAnsi="Calibri" w:cs="Calibri"/>
          <w:b/>
          <w:noProof/>
          <w:sz w:val="22"/>
        </w:rPr>
        <w:t>Татарстан</w:t>
      </w:r>
      <w:r w:rsidR="00CD0D65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CD0D65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4D7F89" w:rsidRPr="00AF3774">
          <w:rPr>
            <w:rFonts w:ascii="Calibri" w:hAnsi="Calibri" w:cs="Calibri"/>
            <w:b/>
            <w:noProof/>
            <w:sz w:val="22"/>
          </w:rPr>
          <w:t xml:space="preserve">Республики </w:t>
        </w:r>
        <w:r w:rsidR="004D7F89">
          <w:rPr>
            <w:rFonts w:ascii="Calibri" w:hAnsi="Calibri" w:cs="Calibri"/>
            <w:b/>
            <w:noProof/>
            <w:sz w:val="22"/>
          </w:rPr>
          <w:t>Татарстан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4D7F89" w:rsidRPr="004D7F89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4D7F89" w:rsidRPr="004D7F89">
          <w:rPr>
            <w:noProof/>
          </w:rPr>
          <w:t>Республики Татарстан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4D7F89" w:rsidRPr="004D7F89">
          <w:rPr>
            <w:noProof/>
          </w:rPr>
          <w:t>Республики Татарстан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4D7F89" w:rsidRPr="004D7F89">
          <w:rPr>
            <w:noProof/>
          </w:rPr>
          <w:t>Республики Татарстан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4D7F89" w:rsidRPr="004D7F89">
          <w:rPr>
            <w:noProof/>
          </w:rPr>
          <w:t>Республики Татарстан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4D7F89" w:rsidRPr="004D7F89">
          <w:rPr>
            <w:noProof/>
          </w:rPr>
          <w:t>Республики Татарстан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4D7F89" w:rsidRPr="004D7F89">
          <w:rPr>
            <w:noProof/>
          </w:rPr>
          <w:t>Республики Татарстан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4D7F89" w:rsidRPr="004D7F89">
          <w:rPr>
            <w:noProof/>
          </w:rPr>
          <w:t>Республики Татарстан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CD0D65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CD0D65" w:rsidRPr="00AF3774">
        <w:fldChar w:fldCharType="separate"/>
      </w:r>
      <w:r w:rsidR="00AF3774" w:rsidRPr="00AF3774">
        <w:rPr>
          <w:noProof/>
        </w:rPr>
        <w:t xml:space="preserve">Республике </w:t>
      </w:r>
      <w:r w:rsidR="004D7F89" w:rsidRPr="004D7F89">
        <w:rPr>
          <w:noProof/>
        </w:rPr>
        <w:t>Татарстан</w:t>
      </w:r>
      <w:r w:rsidR="00CD0D65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4D7F89" w:rsidRPr="004D7F89">
          <w:rPr>
            <w:noProof/>
          </w:rPr>
          <w:t>Республики</w:t>
        </w:r>
        <w:r w:rsidR="004D7F89" w:rsidRPr="004D7F89">
          <w:t xml:space="preserve"> Татарстан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4D7F89" w:rsidRPr="00AF3774">
          <w:rPr>
            <w:noProof/>
          </w:rPr>
          <w:t xml:space="preserve">Республике </w:t>
        </w:r>
        <w:r w:rsidR="004D7F89" w:rsidRPr="004D7F89">
          <w:rPr>
            <w:noProof/>
          </w:rPr>
          <w:t>Татарстан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4D7F89" w:rsidRPr="004D7F89">
          <w:rPr>
            <w:noProof/>
          </w:rPr>
          <w:t>Республики Татарстан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4D7F89" w:rsidRPr="004D7F89">
          <w:rPr>
            <w:noProof/>
          </w:rPr>
          <w:t>Республики Татарстан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4D7F89" w:rsidRPr="004D7F89">
          <w:rPr>
            <w:noProof/>
          </w:rPr>
          <w:t>Республики Татарстан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4D7F89" w:rsidRPr="004D7F89">
          <w:rPr>
            <w:noProof/>
          </w:rPr>
          <w:t>Республики Татарстан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D0D65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D0D65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D0D65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CD0D65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D0D65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D0D65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4D7F89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CD0D65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10D3C-A047-46C5-8D43-3D3D1E45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8079</Words>
  <Characters>46055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2017-01-19T17:18:00Z</dcterms:modified>
</cp:coreProperties>
</file>