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CF" w:rsidRPr="00E765E4" w:rsidRDefault="00CE21CF" w:rsidP="005F61B2">
      <w:pPr>
        <w:pStyle w:val="a5"/>
        <w:spacing w:line="360" w:lineRule="auto"/>
        <w:jc w:val="center"/>
        <w:rPr>
          <w:rFonts w:ascii="Times New Roman" w:hAnsi="Times New Roman"/>
          <w:b/>
          <w:spacing w:val="-10"/>
          <w:szCs w:val="28"/>
        </w:rPr>
      </w:pPr>
      <w:r w:rsidRPr="00E765E4">
        <w:rPr>
          <w:rFonts w:ascii="Times New Roman" w:hAnsi="Times New Roman"/>
          <w:b/>
          <w:spacing w:val="-10"/>
          <w:szCs w:val="28"/>
        </w:rPr>
        <w:t>МИНИСТЕРСТВО ЗДРАВООХРАНЕНИЯ РОССИЙСКОЙ ФЕДЕРАЦИИ</w:t>
      </w:r>
    </w:p>
    <w:p w:rsidR="00CE21CF" w:rsidRPr="00E765E4" w:rsidRDefault="00CE21CF" w:rsidP="005F61B2">
      <w:pPr>
        <w:pStyle w:val="a5"/>
        <w:spacing w:line="360" w:lineRule="auto"/>
        <w:jc w:val="center"/>
        <w:rPr>
          <w:rFonts w:ascii="Times New Roman" w:hAnsi="Times New Roman"/>
          <w:b/>
          <w:spacing w:val="-10"/>
          <w:szCs w:val="28"/>
        </w:rPr>
      </w:pPr>
    </w:p>
    <w:p w:rsidR="00CE21CF" w:rsidRPr="00E765E4" w:rsidRDefault="00CE21CF" w:rsidP="005F61B2">
      <w:pPr>
        <w:pStyle w:val="a5"/>
        <w:spacing w:line="360" w:lineRule="auto"/>
        <w:jc w:val="center"/>
        <w:rPr>
          <w:rFonts w:ascii="Times New Roman" w:hAnsi="Times New Roman"/>
          <w:b/>
          <w:spacing w:val="-10"/>
          <w:szCs w:val="28"/>
        </w:rPr>
      </w:pPr>
    </w:p>
    <w:p w:rsidR="00CE21CF" w:rsidRPr="00E765E4" w:rsidRDefault="00CE21CF" w:rsidP="005F61B2">
      <w:pPr>
        <w:pStyle w:val="a5"/>
        <w:spacing w:line="360" w:lineRule="auto"/>
        <w:jc w:val="center"/>
        <w:rPr>
          <w:rFonts w:ascii="Times New Roman" w:hAnsi="Times New Roman"/>
          <w:b/>
          <w:spacing w:val="-10"/>
          <w:szCs w:val="28"/>
        </w:rPr>
      </w:pPr>
    </w:p>
    <w:p w:rsidR="00CE21CF" w:rsidRPr="00E765E4" w:rsidRDefault="00CE21CF" w:rsidP="005F61B2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5E4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CE21CF" w:rsidRPr="00E765E4" w:rsidRDefault="00CE21CF" w:rsidP="005F61B2">
      <w:pPr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 w:rsidRPr="00E765E4">
        <w:rPr>
          <w:b/>
          <w:sz w:val="28"/>
          <w:szCs w:val="28"/>
        </w:rPr>
        <w:t>А</w:t>
      </w:r>
      <w:r w:rsidRPr="00CE21CF">
        <w:rPr>
          <w:b/>
          <w:sz w:val="28"/>
          <w:szCs w:val="28"/>
        </w:rPr>
        <w:t>скорбиновая кислота</w:t>
      </w:r>
      <w:r w:rsidRPr="00E765E4">
        <w:rPr>
          <w:b/>
          <w:sz w:val="28"/>
          <w:szCs w:val="28"/>
        </w:rPr>
        <w:tab/>
        <w:t>ФС</w:t>
      </w:r>
    </w:p>
    <w:p w:rsidR="00CE21CF" w:rsidRPr="00E765E4" w:rsidRDefault="00CE21CF" w:rsidP="00CE21CF">
      <w:pPr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 w:rsidRPr="00E765E4">
        <w:rPr>
          <w:b/>
          <w:sz w:val="28"/>
          <w:szCs w:val="28"/>
        </w:rPr>
        <w:t>А</w:t>
      </w:r>
      <w:r w:rsidRPr="00CE21CF">
        <w:rPr>
          <w:b/>
          <w:sz w:val="28"/>
          <w:szCs w:val="28"/>
        </w:rPr>
        <w:t>скорбиновая кислота</w:t>
      </w:r>
    </w:p>
    <w:p w:rsidR="00CE21CF" w:rsidRPr="00E765E4" w:rsidRDefault="00CE21CF" w:rsidP="00CE21CF">
      <w:pPr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 w:rsidRPr="00E765E4">
        <w:rPr>
          <w:b/>
          <w:sz w:val="28"/>
          <w:szCs w:val="28"/>
          <w:lang w:val="en-US"/>
        </w:rPr>
        <w:t>A</w:t>
      </w:r>
      <w:r w:rsidRPr="00CE21CF">
        <w:rPr>
          <w:b/>
          <w:sz w:val="28"/>
          <w:szCs w:val="28"/>
          <w:lang w:val="en-US"/>
        </w:rPr>
        <w:t>cidum</w:t>
      </w:r>
      <w:r w:rsidRPr="00CE21CF">
        <w:rPr>
          <w:b/>
          <w:sz w:val="28"/>
          <w:szCs w:val="28"/>
        </w:rPr>
        <w:t xml:space="preserve"> </w:t>
      </w:r>
      <w:r w:rsidRPr="00CE21CF">
        <w:rPr>
          <w:b/>
          <w:sz w:val="28"/>
          <w:szCs w:val="28"/>
          <w:lang w:val="en-US"/>
        </w:rPr>
        <w:t>ascorbicum</w:t>
      </w:r>
      <w:r w:rsidRPr="00E765E4">
        <w:rPr>
          <w:b/>
          <w:sz w:val="28"/>
          <w:szCs w:val="28"/>
        </w:rPr>
        <w:tab/>
      </w:r>
      <w:r w:rsidRPr="00BF05B4">
        <w:rPr>
          <w:b/>
          <w:sz w:val="28"/>
          <w:szCs w:val="28"/>
        </w:rPr>
        <w:t>В</w:t>
      </w:r>
      <w:r w:rsidRPr="009518C1">
        <w:rPr>
          <w:rFonts w:hint="eastAsia"/>
          <w:b/>
          <w:sz w:val="28"/>
          <w:szCs w:val="28"/>
        </w:rPr>
        <w:t>замен</w:t>
      </w:r>
      <w:r w:rsidRPr="009518C1">
        <w:rPr>
          <w:b/>
          <w:sz w:val="28"/>
          <w:szCs w:val="28"/>
        </w:rPr>
        <w:t xml:space="preserve"> </w:t>
      </w:r>
      <w:r w:rsidRPr="009518C1">
        <w:rPr>
          <w:rFonts w:hint="eastAsia"/>
          <w:b/>
          <w:sz w:val="28"/>
          <w:szCs w:val="28"/>
        </w:rPr>
        <w:t>ГФ</w:t>
      </w:r>
      <w:r w:rsidRPr="009518C1">
        <w:rPr>
          <w:b/>
          <w:sz w:val="28"/>
          <w:szCs w:val="28"/>
        </w:rPr>
        <w:t xml:space="preserve"> XII, </w:t>
      </w:r>
      <w:r w:rsidRPr="009518C1">
        <w:rPr>
          <w:rFonts w:hint="eastAsia"/>
          <w:b/>
          <w:sz w:val="28"/>
          <w:szCs w:val="28"/>
        </w:rPr>
        <w:t>ч</w:t>
      </w:r>
      <w:r w:rsidRPr="009518C1">
        <w:rPr>
          <w:b/>
          <w:sz w:val="28"/>
          <w:szCs w:val="28"/>
        </w:rPr>
        <w:t xml:space="preserve">.1, </w:t>
      </w:r>
      <w:r w:rsidRPr="009518C1">
        <w:rPr>
          <w:rFonts w:hint="eastAsia"/>
          <w:b/>
          <w:sz w:val="28"/>
          <w:szCs w:val="28"/>
        </w:rPr>
        <w:t>ФС</w:t>
      </w:r>
      <w:r>
        <w:rPr>
          <w:b/>
          <w:sz w:val="28"/>
          <w:szCs w:val="28"/>
        </w:rPr>
        <w:t xml:space="preserve"> 42-0218-07</w:t>
      </w:r>
      <w:r w:rsidRPr="00E765E4">
        <w:rPr>
          <w:b/>
          <w:sz w:val="28"/>
          <w:szCs w:val="28"/>
        </w:rPr>
        <w:t xml:space="preserve"> </w:t>
      </w:r>
    </w:p>
    <w:p w:rsidR="009E3F73" w:rsidRPr="00CE21CF" w:rsidRDefault="009E3F73" w:rsidP="006F6379">
      <w:pPr>
        <w:pStyle w:val="a5"/>
        <w:tabs>
          <w:tab w:val="left" w:pos="5812"/>
        </w:tabs>
        <w:jc w:val="center"/>
        <w:rPr>
          <w:rFonts w:ascii="Times New Roman" w:hAnsi="Times New Roman"/>
          <w:i/>
          <w:caps/>
        </w:rPr>
      </w:pPr>
    </w:p>
    <w:p w:rsidR="001521EC" w:rsidRPr="004555D7" w:rsidRDefault="001521EC">
      <w:pPr>
        <w:pStyle w:val="a4"/>
        <w:tabs>
          <w:tab w:val="left" w:pos="5103"/>
        </w:tabs>
        <w:spacing w:line="240" w:lineRule="auto"/>
        <w:ind w:firstLine="0"/>
        <w:jc w:val="left"/>
      </w:pPr>
      <w:r w:rsidRPr="004555D7">
        <w:t>(5</w:t>
      </w:r>
      <w:r w:rsidRPr="004555D7">
        <w:rPr>
          <w:i/>
        </w:rPr>
        <w:t>R</w:t>
      </w:r>
      <w:r w:rsidRPr="004555D7">
        <w:t>)-5-[(1</w:t>
      </w:r>
      <w:r w:rsidRPr="004555D7">
        <w:rPr>
          <w:i/>
        </w:rPr>
        <w:t>S</w:t>
      </w:r>
      <w:r w:rsidRPr="004555D7">
        <w:t>)-1,2-Дигидроксиэтил]-2,3-дигидроксифуран-2(5</w:t>
      </w:r>
      <w:r w:rsidRPr="004555D7">
        <w:rPr>
          <w:i/>
        </w:rPr>
        <w:t>H</w:t>
      </w:r>
      <w:r w:rsidRPr="004555D7">
        <w:t xml:space="preserve">)-он </w:t>
      </w:r>
    </w:p>
    <w:p w:rsidR="001521EC" w:rsidRPr="004555D7" w:rsidRDefault="001521EC">
      <w:pPr>
        <w:rPr>
          <w:sz w:val="28"/>
        </w:rPr>
      </w:pPr>
    </w:p>
    <w:p w:rsidR="001521EC" w:rsidRPr="004555D7" w:rsidRDefault="001521EC">
      <w:pPr>
        <w:rPr>
          <w:sz w:val="28"/>
        </w:rPr>
      </w:pPr>
    </w:p>
    <w:p w:rsidR="001521EC" w:rsidRPr="004555D7" w:rsidRDefault="00CE21CF">
      <w:pPr>
        <w:spacing w:line="360" w:lineRule="auto"/>
        <w:jc w:val="center"/>
        <w:rPr>
          <w:sz w:val="28"/>
        </w:rPr>
      </w:pPr>
      <w:r>
        <w:object w:dxaOrig="2730" w:dyaOrig="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pt;height:78.6pt" o:ole="" fillcolor="window">
            <v:imagedata r:id="rId8" o:title=""/>
          </v:shape>
          <o:OLEObject Type="Embed" ProgID="ChemWindow.Document" ShapeID="_x0000_i1025" DrawAspect="Content" ObjectID="_1520231910" r:id="rId9"/>
        </w:object>
      </w:r>
    </w:p>
    <w:p w:rsidR="001521EC" w:rsidRPr="004555D7" w:rsidRDefault="001521EC">
      <w:pPr>
        <w:spacing w:line="360" w:lineRule="auto"/>
        <w:jc w:val="center"/>
        <w:rPr>
          <w:sz w:val="28"/>
        </w:rPr>
      </w:pPr>
    </w:p>
    <w:p w:rsidR="001521EC" w:rsidRPr="004555D7" w:rsidRDefault="001521EC">
      <w:pPr>
        <w:spacing w:line="360" w:lineRule="auto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1521EC" w:rsidRPr="004555D7" w:rsidTr="005F61B2">
        <w:tc>
          <w:tcPr>
            <w:tcW w:w="4961" w:type="dxa"/>
          </w:tcPr>
          <w:p w:rsidR="001521EC" w:rsidRPr="004555D7" w:rsidRDefault="001521EC">
            <w:pPr>
              <w:ind w:firstLine="142"/>
              <w:rPr>
                <w:sz w:val="28"/>
                <w:lang w:val="en-US"/>
              </w:rPr>
            </w:pPr>
            <w:r w:rsidRPr="004555D7">
              <w:rPr>
                <w:sz w:val="28"/>
                <w:lang w:val="en-US"/>
              </w:rPr>
              <w:t>C</w:t>
            </w:r>
            <w:r w:rsidRPr="004555D7">
              <w:rPr>
                <w:sz w:val="28"/>
                <w:vertAlign w:val="subscript"/>
                <w:lang w:val="en-US"/>
              </w:rPr>
              <w:t>6</w:t>
            </w:r>
            <w:r w:rsidRPr="004555D7">
              <w:rPr>
                <w:sz w:val="28"/>
                <w:lang w:val="en-US"/>
              </w:rPr>
              <w:t>H</w:t>
            </w:r>
            <w:r w:rsidRPr="004555D7">
              <w:rPr>
                <w:sz w:val="28"/>
                <w:vertAlign w:val="subscript"/>
                <w:lang w:val="en-US"/>
              </w:rPr>
              <w:t>8</w:t>
            </w:r>
            <w:r w:rsidRPr="004555D7">
              <w:rPr>
                <w:sz w:val="28"/>
                <w:lang w:val="en-US"/>
              </w:rPr>
              <w:t>O</w:t>
            </w:r>
            <w:r w:rsidRPr="004555D7">
              <w:rPr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4395" w:type="dxa"/>
          </w:tcPr>
          <w:p w:rsidR="001521EC" w:rsidRPr="008E443A" w:rsidRDefault="001521EC" w:rsidP="008E443A">
            <w:pPr>
              <w:ind w:firstLine="2728"/>
              <w:jc w:val="both"/>
              <w:rPr>
                <w:sz w:val="28"/>
              </w:rPr>
            </w:pPr>
            <w:r w:rsidRPr="004555D7">
              <w:rPr>
                <w:sz w:val="28"/>
              </w:rPr>
              <w:t>М</w:t>
            </w:r>
            <w:r w:rsidRPr="004555D7">
              <w:rPr>
                <w:sz w:val="28"/>
                <w:lang w:val="en-US"/>
              </w:rPr>
              <w:t>.</w:t>
            </w:r>
            <w:r w:rsidRPr="004555D7">
              <w:rPr>
                <w:sz w:val="28"/>
              </w:rPr>
              <w:t>м</w:t>
            </w:r>
            <w:r w:rsidRPr="004555D7">
              <w:rPr>
                <w:sz w:val="28"/>
                <w:lang w:val="en-US"/>
              </w:rPr>
              <w:t>. 176,1</w:t>
            </w:r>
            <w:r w:rsidR="008E443A">
              <w:rPr>
                <w:sz w:val="28"/>
              </w:rPr>
              <w:t>2</w:t>
            </w:r>
          </w:p>
        </w:tc>
      </w:tr>
    </w:tbl>
    <w:p w:rsidR="001521EC" w:rsidRPr="004555D7" w:rsidRDefault="001521EC">
      <w:pPr>
        <w:spacing w:line="360" w:lineRule="auto"/>
        <w:ind w:right="282" w:firstLine="720"/>
        <w:rPr>
          <w:sz w:val="28"/>
          <w:lang w:val="en-US"/>
        </w:rPr>
      </w:pPr>
    </w:p>
    <w:p w:rsidR="001521EC" w:rsidRPr="00CF350E" w:rsidRDefault="00134A37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4555D7">
        <w:rPr>
          <w:sz w:val="28"/>
          <w:lang w:val="en-US"/>
        </w:rPr>
        <w:t>C</w:t>
      </w:r>
      <w:r w:rsidR="001521EC" w:rsidRPr="004555D7">
        <w:rPr>
          <w:sz w:val="28"/>
        </w:rPr>
        <w:t xml:space="preserve">одержит не менее 99,0 % </w:t>
      </w:r>
      <w:r w:rsidR="00CF350E" w:rsidRPr="00DB506A">
        <w:rPr>
          <w:sz w:val="28"/>
        </w:rPr>
        <w:t xml:space="preserve">и не более 100,5 % аскорбиновой кислоты </w:t>
      </w:r>
      <w:r w:rsidR="001521EC" w:rsidRPr="00DB506A">
        <w:rPr>
          <w:sz w:val="28"/>
        </w:rPr>
        <w:t>C</w:t>
      </w:r>
      <w:r w:rsidR="001521EC" w:rsidRPr="00DB506A">
        <w:rPr>
          <w:sz w:val="28"/>
          <w:vertAlign w:val="subscript"/>
        </w:rPr>
        <w:t>6</w:t>
      </w:r>
      <w:r w:rsidR="001521EC" w:rsidRPr="00DB506A">
        <w:rPr>
          <w:sz w:val="28"/>
        </w:rPr>
        <w:t>H</w:t>
      </w:r>
      <w:r w:rsidR="001521EC" w:rsidRPr="00DB506A">
        <w:rPr>
          <w:sz w:val="28"/>
          <w:vertAlign w:val="subscript"/>
        </w:rPr>
        <w:t>8</w:t>
      </w:r>
      <w:r w:rsidR="001521EC" w:rsidRPr="00DB506A">
        <w:rPr>
          <w:sz w:val="28"/>
        </w:rPr>
        <w:t>O</w:t>
      </w:r>
      <w:r w:rsidR="001521EC" w:rsidRPr="00DB506A">
        <w:rPr>
          <w:sz w:val="28"/>
          <w:vertAlign w:val="subscript"/>
        </w:rPr>
        <w:t>6</w:t>
      </w:r>
      <w:r w:rsidR="00FB5BC5">
        <w:rPr>
          <w:sz w:val="28"/>
          <w:szCs w:val="28"/>
        </w:rPr>
        <w:t xml:space="preserve"> в пересчете на свободное от остаточных органических растворителей вещество.</w:t>
      </w:r>
    </w:p>
    <w:p w:rsidR="001521EC" w:rsidRPr="004555D7" w:rsidRDefault="001521EC">
      <w:pPr>
        <w:spacing w:line="360" w:lineRule="auto"/>
        <w:ind w:firstLine="720"/>
        <w:jc w:val="both"/>
        <w:rPr>
          <w:sz w:val="28"/>
        </w:rPr>
      </w:pPr>
    </w:p>
    <w:p w:rsidR="001521EC" w:rsidRPr="00091CAB" w:rsidRDefault="001521EC">
      <w:pPr>
        <w:spacing w:line="360" w:lineRule="auto"/>
        <w:ind w:firstLine="720"/>
        <w:jc w:val="both"/>
        <w:rPr>
          <w:snapToGrid w:val="0"/>
          <w:color w:val="000000"/>
          <w:sz w:val="28"/>
        </w:rPr>
      </w:pPr>
      <w:r w:rsidRPr="004555D7">
        <w:rPr>
          <w:b/>
          <w:sz w:val="28"/>
        </w:rPr>
        <w:t>Описание.</w:t>
      </w:r>
      <w:r w:rsidRPr="004555D7">
        <w:rPr>
          <w:sz w:val="28"/>
        </w:rPr>
        <w:t xml:space="preserve"> </w:t>
      </w:r>
      <w:r w:rsidRPr="004555D7">
        <w:rPr>
          <w:snapToGrid w:val="0"/>
          <w:color w:val="000000"/>
          <w:sz w:val="28"/>
        </w:rPr>
        <w:t xml:space="preserve">Белый или почти белый кристаллический порошок или бесцветные кристаллы; на свету постепенно </w:t>
      </w:r>
      <w:r w:rsidR="00DB506A">
        <w:rPr>
          <w:snapToGrid w:val="0"/>
          <w:color w:val="000000"/>
          <w:sz w:val="28"/>
        </w:rPr>
        <w:t>темнеет</w:t>
      </w:r>
      <w:r w:rsidR="0086204F">
        <w:rPr>
          <w:snapToGrid w:val="0"/>
          <w:color w:val="000000"/>
          <w:sz w:val="28"/>
        </w:rPr>
        <w:t>.</w:t>
      </w:r>
    </w:p>
    <w:p w:rsidR="001521EC" w:rsidRPr="004555D7" w:rsidRDefault="001521EC">
      <w:pPr>
        <w:spacing w:line="360" w:lineRule="auto"/>
        <w:ind w:firstLine="720"/>
        <w:jc w:val="both"/>
        <w:rPr>
          <w:sz w:val="28"/>
        </w:rPr>
      </w:pPr>
      <w:r w:rsidRPr="004555D7">
        <w:rPr>
          <w:b/>
          <w:snapToGrid w:val="0"/>
          <w:color w:val="000000"/>
          <w:sz w:val="28"/>
        </w:rPr>
        <w:t>Растворимость.</w:t>
      </w:r>
      <w:r w:rsidRPr="004555D7">
        <w:rPr>
          <w:snapToGrid w:val="0"/>
          <w:color w:val="000000"/>
          <w:sz w:val="28"/>
        </w:rPr>
        <w:t xml:space="preserve"> Легко растворим в воде, практически нерастворим в хлороформе.</w:t>
      </w:r>
    </w:p>
    <w:p w:rsidR="003B0D3A" w:rsidRDefault="001521EC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555D7">
        <w:rPr>
          <w:rFonts w:ascii="Times New Roman" w:hAnsi="Times New Roman"/>
          <w:b/>
          <w:sz w:val="28"/>
        </w:rPr>
        <w:t>Подлинность.</w:t>
      </w:r>
      <w:r w:rsidRPr="004555D7">
        <w:rPr>
          <w:rFonts w:ascii="Times New Roman" w:hAnsi="Times New Roman"/>
          <w:sz w:val="28"/>
        </w:rPr>
        <w:t xml:space="preserve"> </w:t>
      </w:r>
    </w:p>
    <w:p w:rsidR="001521EC" w:rsidRPr="004555D7" w:rsidRDefault="003B0D3A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B0D3A">
        <w:rPr>
          <w:rFonts w:ascii="Times New Roman" w:hAnsi="Times New Roman"/>
          <w:i/>
          <w:sz w:val="28"/>
        </w:rPr>
        <w:t>1.</w:t>
      </w:r>
      <w:r w:rsidRPr="003B0D3A">
        <w:rPr>
          <w:rFonts w:ascii="Times New Roman" w:hAnsi="Times New Roman"/>
          <w:sz w:val="28"/>
        </w:rPr>
        <w:t xml:space="preserve"> </w:t>
      </w:r>
      <w:r w:rsidRPr="003B0D3A">
        <w:rPr>
          <w:rFonts w:ascii="Times New Roman" w:hAnsi="Times New Roman"/>
          <w:i/>
          <w:sz w:val="28"/>
        </w:rPr>
        <w:t>ИК-спектр</w:t>
      </w:r>
      <w:r w:rsidR="00A27B7B">
        <w:rPr>
          <w:rFonts w:ascii="Times New Roman" w:hAnsi="Times New Roman"/>
          <w:i/>
          <w:sz w:val="28"/>
        </w:rPr>
        <w:t>.</w:t>
      </w:r>
      <w:r w:rsidR="000F4D6D">
        <w:rPr>
          <w:rFonts w:ascii="Times New Roman" w:hAnsi="Times New Roman"/>
          <w:sz w:val="28"/>
        </w:rPr>
        <w:t xml:space="preserve"> </w:t>
      </w:r>
      <w:r w:rsidR="001521EC" w:rsidRPr="004555D7">
        <w:rPr>
          <w:rFonts w:ascii="Times New Roman" w:hAnsi="Times New Roman"/>
          <w:sz w:val="28"/>
        </w:rPr>
        <w:t xml:space="preserve">Инфракрасный спектр </w:t>
      </w:r>
      <w:r w:rsidR="00134A37" w:rsidRPr="004555D7">
        <w:rPr>
          <w:rFonts w:ascii="Times New Roman" w:hAnsi="Times New Roman"/>
          <w:sz w:val="28"/>
        </w:rPr>
        <w:t>субстанции</w:t>
      </w:r>
      <w:r w:rsidR="001521EC" w:rsidRPr="004555D7">
        <w:rPr>
          <w:rFonts w:ascii="Times New Roman" w:hAnsi="Times New Roman"/>
          <w:sz w:val="28"/>
        </w:rPr>
        <w:t>, снятый в диске с калия бромидом,</w:t>
      </w:r>
      <w:r w:rsidRPr="003B0D3A">
        <w:t xml:space="preserve"> </w:t>
      </w:r>
      <w:r w:rsidRPr="003B0D3A">
        <w:rPr>
          <w:rFonts w:ascii="Times New Roman" w:hAnsi="Times New Roman"/>
          <w:sz w:val="28"/>
        </w:rPr>
        <w:t>в области от 4000 до 400 см</w:t>
      </w:r>
      <w:r w:rsidRPr="003B0D3A">
        <w:rPr>
          <w:rFonts w:ascii="Times New Roman" w:hAnsi="Times New Roman"/>
          <w:sz w:val="28"/>
          <w:vertAlign w:val="superscript"/>
        </w:rPr>
        <w:t>-1</w:t>
      </w:r>
      <w:r w:rsidRPr="003B0D3A">
        <w:rPr>
          <w:rFonts w:ascii="Times New Roman" w:hAnsi="Times New Roman"/>
          <w:sz w:val="28"/>
        </w:rPr>
        <w:t xml:space="preserve"> </w:t>
      </w:r>
      <w:r w:rsidR="001521EC" w:rsidRPr="004555D7">
        <w:rPr>
          <w:rFonts w:ascii="Times New Roman" w:hAnsi="Times New Roman"/>
          <w:sz w:val="28"/>
        </w:rPr>
        <w:t xml:space="preserve">по положению полос </w:t>
      </w:r>
      <w:r w:rsidR="001521EC" w:rsidRPr="004555D7">
        <w:rPr>
          <w:rFonts w:ascii="Times New Roman" w:hAnsi="Times New Roman"/>
          <w:sz w:val="28"/>
        </w:rPr>
        <w:lastRenderedPageBreak/>
        <w:t xml:space="preserve">поглощения </w:t>
      </w:r>
      <w:r w:rsidR="008C0848">
        <w:rPr>
          <w:rFonts w:ascii="Times New Roman" w:hAnsi="Times New Roman"/>
          <w:sz w:val="28"/>
        </w:rPr>
        <w:t xml:space="preserve">должен </w:t>
      </w:r>
      <w:r w:rsidR="00133D4C" w:rsidRPr="004555D7">
        <w:rPr>
          <w:rFonts w:ascii="Times New Roman" w:hAnsi="Times New Roman"/>
          <w:sz w:val="28"/>
        </w:rPr>
        <w:t>соответств</w:t>
      </w:r>
      <w:r w:rsidR="008C0848">
        <w:rPr>
          <w:rFonts w:ascii="Times New Roman" w:hAnsi="Times New Roman"/>
          <w:sz w:val="28"/>
        </w:rPr>
        <w:t>овать</w:t>
      </w:r>
      <w:r w:rsidR="001521EC" w:rsidRPr="004555D7">
        <w:rPr>
          <w:rFonts w:ascii="Times New Roman" w:hAnsi="Times New Roman"/>
          <w:sz w:val="28"/>
        </w:rPr>
        <w:t xml:space="preserve"> рисунку спектра аскорбиновой кислоты (Приложение 1).</w:t>
      </w:r>
    </w:p>
    <w:p w:rsidR="001521EC" w:rsidRPr="004555D7" w:rsidRDefault="000F4D6D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B0D3A">
        <w:rPr>
          <w:rFonts w:ascii="Times New Roman" w:hAnsi="Times New Roman"/>
          <w:i/>
          <w:sz w:val="28"/>
        </w:rPr>
        <w:t>2.</w:t>
      </w:r>
      <w:r w:rsidR="003B0D3A" w:rsidRPr="00E765E4">
        <w:rPr>
          <w:rFonts w:ascii="Times New Roman" w:hAnsi="Times New Roman"/>
          <w:sz w:val="28"/>
          <w:szCs w:val="28"/>
        </w:rPr>
        <w:t xml:space="preserve"> </w:t>
      </w:r>
      <w:r w:rsidR="003B0D3A" w:rsidRPr="00E765E4">
        <w:rPr>
          <w:rFonts w:ascii="Times New Roman" w:hAnsi="Times New Roman"/>
          <w:i/>
          <w:sz w:val="28"/>
          <w:szCs w:val="28"/>
        </w:rPr>
        <w:t>УФ-спектр</w:t>
      </w:r>
      <w:r w:rsidR="003B0D3A">
        <w:rPr>
          <w:rFonts w:ascii="Times New Roman" w:hAnsi="Times New Roman"/>
          <w:i/>
          <w:sz w:val="28"/>
          <w:szCs w:val="28"/>
        </w:rPr>
        <w:t>.</w:t>
      </w:r>
      <w:r w:rsidR="003B0D3A" w:rsidRPr="004555D7">
        <w:rPr>
          <w:rFonts w:ascii="Times New Roman" w:hAnsi="Times New Roman"/>
          <w:sz w:val="28"/>
        </w:rPr>
        <w:t xml:space="preserve"> </w:t>
      </w:r>
      <w:r w:rsidR="001521EC" w:rsidRPr="004555D7">
        <w:rPr>
          <w:rFonts w:ascii="Times New Roman" w:hAnsi="Times New Roman"/>
          <w:sz w:val="28"/>
        </w:rPr>
        <w:t xml:space="preserve">Ультрафиолетовый спектр 0,001 % раствора </w:t>
      </w:r>
      <w:r w:rsidR="00134A37" w:rsidRPr="004555D7">
        <w:rPr>
          <w:rFonts w:ascii="Times New Roman" w:hAnsi="Times New Roman"/>
          <w:sz w:val="28"/>
        </w:rPr>
        <w:t>субстанции</w:t>
      </w:r>
      <w:r w:rsidR="001521EC" w:rsidRPr="004555D7">
        <w:rPr>
          <w:rFonts w:ascii="Times New Roman" w:hAnsi="Times New Roman"/>
          <w:sz w:val="28"/>
        </w:rPr>
        <w:t xml:space="preserve"> в 0,1 М растворе хлористоводородной</w:t>
      </w:r>
      <w:r w:rsidR="001521EC" w:rsidRPr="004555D7">
        <w:rPr>
          <w:sz w:val="28"/>
        </w:rPr>
        <w:t xml:space="preserve"> </w:t>
      </w:r>
      <w:r w:rsidR="001521EC" w:rsidRPr="004555D7">
        <w:rPr>
          <w:rFonts w:ascii="Times New Roman" w:hAnsi="Times New Roman"/>
          <w:sz w:val="28"/>
        </w:rPr>
        <w:t xml:space="preserve">кислоты в области </w:t>
      </w:r>
      <w:r w:rsidR="00CA6F9F">
        <w:rPr>
          <w:rFonts w:ascii="Times New Roman" w:hAnsi="Times New Roman"/>
          <w:sz w:val="28"/>
        </w:rPr>
        <w:t xml:space="preserve">длин волн </w:t>
      </w:r>
      <w:r w:rsidR="001521EC" w:rsidRPr="004555D7">
        <w:rPr>
          <w:rFonts w:ascii="Times New Roman" w:hAnsi="Times New Roman"/>
          <w:sz w:val="28"/>
        </w:rPr>
        <w:t xml:space="preserve">от 230 до 300 нм </w:t>
      </w:r>
      <w:r w:rsidR="00693463">
        <w:rPr>
          <w:rFonts w:ascii="Times New Roman" w:hAnsi="Times New Roman"/>
          <w:sz w:val="28"/>
        </w:rPr>
        <w:t xml:space="preserve">должен </w:t>
      </w:r>
      <w:r w:rsidR="001521EC" w:rsidRPr="004555D7">
        <w:rPr>
          <w:rFonts w:ascii="Times New Roman" w:hAnsi="Times New Roman"/>
          <w:sz w:val="28"/>
        </w:rPr>
        <w:t>им</w:t>
      </w:r>
      <w:r w:rsidR="00693463">
        <w:rPr>
          <w:rFonts w:ascii="Times New Roman" w:hAnsi="Times New Roman"/>
          <w:sz w:val="28"/>
        </w:rPr>
        <w:t>еть</w:t>
      </w:r>
      <w:r w:rsidR="001521EC" w:rsidRPr="004555D7">
        <w:rPr>
          <w:rFonts w:ascii="Times New Roman" w:hAnsi="Times New Roman"/>
          <w:sz w:val="28"/>
        </w:rPr>
        <w:t xml:space="preserve"> максимум </w:t>
      </w:r>
      <w:r w:rsidR="00CA6F9F">
        <w:rPr>
          <w:rFonts w:ascii="Times New Roman" w:hAnsi="Times New Roman"/>
          <w:sz w:val="28"/>
        </w:rPr>
        <w:t xml:space="preserve">поглощения </w:t>
      </w:r>
      <w:r w:rsidR="001521EC" w:rsidRPr="004555D7">
        <w:rPr>
          <w:rFonts w:ascii="Times New Roman" w:hAnsi="Times New Roman"/>
          <w:sz w:val="28"/>
        </w:rPr>
        <w:t xml:space="preserve">при </w:t>
      </w:r>
      <w:r w:rsidR="00CA6F9F">
        <w:rPr>
          <w:rFonts w:ascii="Times New Roman" w:hAnsi="Times New Roman"/>
          <w:sz w:val="28"/>
        </w:rPr>
        <w:t xml:space="preserve">длине волны </w:t>
      </w:r>
      <w:r w:rsidR="001521EC" w:rsidRPr="004555D7">
        <w:rPr>
          <w:rFonts w:ascii="Times New Roman" w:hAnsi="Times New Roman"/>
          <w:sz w:val="28"/>
        </w:rPr>
        <w:t xml:space="preserve">243 </w:t>
      </w:r>
      <w:r w:rsidR="00693463">
        <w:rPr>
          <w:rFonts w:ascii="Times New Roman" w:hAnsi="Times New Roman"/>
          <w:sz w:val="28"/>
        </w:rPr>
        <w:t xml:space="preserve">± 2 </w:t>
      </w:r>
      <w:r w:rsidR="001521EC" w:rsidRPr="004555D7">
        <w:rPr>
          <w:rFonts w:ascii="Times New Roman" w:hAnsi="Times New Roman"/>
          <w:sz w:val="28"/>
        </w:rPr>
        <w:t>нм</w:t>
      </w:r>
      <w:r w:rsidR="00693463">
        <w:rPr>
          <w:rFonts w:ascii="Times New Roman" w:hAnsi="Times New Roman"/>
          <w:sz w:val="28"/>
        </w:rPr>
        <w:t xml:space="preserve"> с удельным показателем поглощения от 545 до 585</w:t>
      </w:r>
      <w:r w:rsidR="001521EC" w:rsidRPr="004555D7">
        <w:rPr>
          <w:rFonts w:ascii="Times New Roman" w:hAnsi="Times New Roman"/>
          <w:sz w:val="28"/>
        </w:rPr>
        <w:t xml:space="preserve">. </w:t>
      </w:r>
      <w:r w:rsidR="006D57C9">
        <w:rPr>
          <w:rFonts w:ascii="Times New Roman" w:hAnsi="Times New Roman"/>
          <w:sz w:val="28"/>
        </w:rPr>
        <w:t xml:space="preserve"> </w:t>
      </w:r>
    </w:p>
    <w:p w:rsidR="001521EC" w:rsidRPr="004555D7" w:rsidRDefault="00566767">
      <w:pPr>
        <w:pStyle w:val="a4"/>
        <w:widowControl w:val="0"/>
        <w:spacing w:line="360" w:lineRule="auto"/>
      </w:pPr>
      <w:r w:rsidRPr="007604FC">
        <w:rPr>
          <w:i/>
          <w:szCs w:val="28"/>
        </w:rPr>
        <w:t>3.</w:t>
      </w:r>
      <w:r w:rsidRPr="00E765E4">
        <w:rPr>
          <w:szCs w:val="28"/>
        </w:rPr>
        <w:t xml:space="preserve"> </w:t>
      </w:r>
      <w:r w:rsidRPr="00E765E4">
        <w:rPr>
          <w:i/>
          <w:szCs w:val="28"/>
        </w:rPr>
        <w:t>Качественная реакция</w:t>
      </w:r>
      <w:r>
        <w:rPr>
          <w:i/>
          <w:szCs w:val="28"/>
        </w:rPr>
        <w:t>.</w:t>
      </w:r>
      <w:r w:rsidRPr="004555D7">
        <w:t xml:space="preserve"> </w:t>
      </w:r>
      <w:r w:rsidR="001521EC" w:rsidRPr="004555D7">
        <w:t xml:space="preserve">0,05 г </w:t>
      </w:r>
      <w:r w:rsidR="00134A37" w:rsidRPr="004555D7">
        <w:t>субстанции</w:t>
      </w:r>
      <w:r w:rsidR="001521EC" w:rsidRPr="004555D7">
        <w:t xml:space="preserve"> растворяют в 2 мл воды и прибавляют </w:t>
      </w:r>
      <w:r w:rsidR="00D56B55">
        <w:t xml:space="preserve">0,2 мл азотной кислоты разведённой 12,5 % и </w:t>
      </w:r>
      <w:r w:rsidR="001521EC" w:rsidRPr="004555D7">
        <w:t>0,5 мл раствора серебра нитрата</w:t>
      </w:r>
      <w:r w:rsidR="00D16EFF">
        <w:t xml:space="preserve"> 1,7 %</w:t>
      </w:r>
      <w:r w:rsidR="001521EC" w:rsidRPr="004555D7">
        <w:t xml:space="preserve">; </w:t>
      </w:r>
      <w:r w:rsidR="008C0848">
        <w:t xml:space="preserve">должен появиться </w:t>
      </w:r>
      <w:r w:rsidR="001521EC" w:rsidRPr="004555D7">
        <w:t xml:space="preserve"> темный осадок.</w:t>
      </w:r>
    </w:p>
    <w:p w:rsidR="001521EC" w:rsidRPr="000F4D6D" w:rsidRDefault="000F4D6D" w:rsidP="000F4D6D">
      <w:pPr>
        <w:pStyle w:val="a5"/>
        <w:spacing w:line="360" w:lineRule="auto"/>
        <w:ind w:firstLine="720"/>
        <w:rPr>
          <w:rFonts w:ascii="Times New Roman" w:hAnsi="Times New Roman"/>
          <w:b/>
          <w:spacing w:val="0"/>
        </w:rPr>
      </w:pPr>
      <w:r w:rsidRPr="00566767">
        <w:rPr>
          <w:rFonts w:ascii="Times New Roman" w:hAnsi="Times New Roman"/>
          <w:i/>
          <w:spacing w:val="0"/>
        </w:rPr>
        <w:t>4.</w:t>
      </w:r>
      <w:r w:rsidR="00566767" w:rsidRPr="00566767">
        <w:rPr>
          <w:rFonts w:ascii="Times New Roman" w:hAnsi="Times New Roman"/>
          <w:i/>
          <w:szCs w:val="28"/>
        </w:rPr>
        <w:t xml:space="preserve"> Качественная</w:t>
      </w:r>
      <w:r w:rsidR="00566767" w:rsidRPr="00E765E4">
        <w:rPr>
          <w:rFonts w:ascii="Times New Roman" w:hAnsi="Times New Roman"/>
          <w:i/>
          <w:szCs w:val="28"/>
        </w:rPr>
        <w:t xml:space="preserve"> реакция</w:t>
      </w:r>
      <w:r w:rsidR="00566767">
        <w:rPr>
          <w:rFonts w:ascii="Times New Roman" w:hAnsi="Times New Roman"/>
          <w:i/>
          <w:szCs w:val="28"/>
        </w:rPr>
        <w:t>.</w:t>
      </w:r>
      <w:r w:rsidRPr="000F4D6D">
        <w:rPr>
          <w:rFonts w:ascii="Times New Roman" w:hAnsi="Times New Roman"/>
          <w:spacing w:val="0"/>
        </w:rPr>
        <w:t xml:space="preserve"> </w:t>
      </w:r>
      <w:r w:rsidR="001521EC" w:rsidRPr="000F4D6D">
        <w:rPr>
          <w:rFonts w:ascii="Times New Roman" w:hAnsi="Times New Roman"/>
          <w:spacing w:val="0"/>
        </w:rPr>
        <w:t xml:space="preserve">К </w:t>
      </w:r>
      <w:r w:rsidRPr="000F4D6D">
        <w:rPr>
          <w:rFonts w:ascii="Times New Roman" w:hAnsi="Times New Roman"/>
          <w:spacing w:val="0"/>
        </w:rPr>
        <w:t xml:space="preserve">2 мл 0,1 М раствора йода </w:t>
      </w:r>
      <w:r>
        <w:rPr>
          <w:rFonts w:ascii="Times New Roman" w:hAnsi="Times New Roman"/>
          <w:spacing w:val="0"/>
        </w:rPr>
        <w:t>при</w:t>
      </w:r>
      <w:r w:rsidR="00CF350E">
        <w:rPr>
          <w:rFonts w:ascii="Times New Roman" w:hAnsi="Times New Roman"/>
          <w:spacing w:val="0"/>
        </w:rPr>
        <w:t>б</w:t>
      </w:r>
      <w:r>
        <w:rPr>
          <w:rFonts w:ascii="Times New Roman" w:hAnsi="Times New Roman"/>
          <w:spacing w:val="0"/>
        </w:rPr>
        <w:t xml:space="preserve">авляют </w:t>
      </w:r>
      <w:r w:rsidR="00566767">
        <w:rPr>
          <w:rFonts w:ascii="Times New Roman" w:hAnsi="Times New Roman"/>
          <w:spacing w:val="0"/>
        </w:rPr>
        <w:t xml:space="preserve">1 мл </w:t>
      </w:r>
      <w:r w:rsidR="00D16EFF">
        <w:rPr>
          <w:rFonts w:ascii="Times New Roman" w:hAnsi="Times New Roman"/>
          <w:spacing w:val="0"/>
        </w:rPr>
        <w:t xml:space="preserve"> </w:t>
      </w:r>
      <w:r w:rsidR="00566767">
        <w:rPr>
          <w:rFonts w:ascii="Times New Roman" w:hAnsi="Times New Roman"/>
          <w:spacing w:val="0"/>
        </w:rPr>
        <w:t xml:space="preserve">5 </w:t>
      </w:r>
      <w:r w:rsidR="001521EC" w:rsidRPr="000F4D6D">
        <w:rPr>
          <w:rFonts w:ascii="Times New Roman" w:hAnsi="Times New Roman"/>
          <w:spacing w:val="0"/>
        </w:rPr>
        <w:t xml:space="preserve">% раствора </w:t>
      </w:r>
      <w:r w:rsidR="00134A37" w:rsidRPr="000F4D6D">
        <w:rPr>
          <w:rFonts w:ascii="Times New Roman" w:hAnsi="Times New Roman"/>
          <w:spacing w:val="0"/>
        </w:rPr>
        <w:t>субстанции</w:t>
      </w:r>
      <w:r w:rsidR="001521EC" w:rsidRPr="000F4D6D">
        <w:rPr>
          <w:rFonts w:ascii="Times New Roman" w:hAnsi="Times New Roman"/>
          <w:spacing w:val="0"/>
        </w:rPr>
        <w:t xml:space="preserve">; </w:t>
      </w:r>
      <w:r w:rsidR="001521EC" w:rsidRPr="000F4D6D">
        <w:rPr>
          <w:rFonts w:ascii="Times New Roman" w:hAnsi="Times New Roman"/>
        </w:rPr>
        <w:t xml:space="preserve">реактив </w:t>
      </w:r>
      <w:r w:rsidR="008C0848">
        <w:rPr>
          <w:rFonts w:ascii="Times New Roman" w:hAnsi="Times New Roman"/>
        </w:rPr>
        <w:t xml:space="preserve">должен </w:t>
      </w:r>
      <w:r w:rsidR="001521EC" w:rsidRPr="000F4D6D">
        <w:rPr>
          <w:rFonts w:ascii="Times New Roman" w:hAnsi="Times New Roman"/>
        </w:rPr>
        <w:t>обесцве</w:t>
      </w:r>
      <w:r w:rsidR="008C0848">
        <w:rPr>
          <w:rFonts w:ascii="Times New Roman" w:hAnsi="Times New Roman"/>
        </w:rPr>
        <w:t>титься</w:t>
      </w:r>
      <w:r w:rsidR="001521EC" w:rsidRPr="000F4D6D">
        <w:rPr>
          <w:rFonts w:ascii="Times New Roman" w:hAnsi="Times New Roman"/>
        </w:rPr>
        <w:t>.</w:t>
      </w:r>
      <w:r w:rsidR="001521EC" w:rsidRPr="000F4D6D">
        <w:rPr>
          <w:rFonts w:ascii="Times New Roman" w:hAnsi="Times New Roman"/>
          <w:b/>
          <w:spacing w:val="0"/>
        </w:rPr>
        <w:t xml:space="preserve"> </w:t>
      </w:r>
    </w:p>
    <w:p w:rsidR="001521EC" w:rsidRPr="004555D7" w:rsidRDefault="001521EC">
      <w:pPr>
        <w:spacing w:line="360" w:lineRule="auto"/>
        <w:ind w:firstLine="720"/>
        <w:jc w:val="both"/>
        <w:rPr>
          <w:sz w:val="28"/>
        </w:rPr>
      </w:pPr>
      <w:r w:rsidRPr="004555D7">
        <w:rPr>
          <w:b/>
          <w:sz w:val="28"/>
        </w:rPr>
        <w:t>Прозрачность раствора.</w:t>
      </w:r>
      <w:r w:rsidRPr="004555D7">
        <w:rPr>
          <w:sz w:val="28"/>
        </w:rPr>
        <w:t xml:space="preserve"> Раствор 1 г </w:t>
      </w:r>
      <w:r w:rsidR="00134A37" w:rsidRPr="004555D7">
        <w:rPr>
          <w:sz w:val="28"/>
        </w:rPr>
        <w:t>субстанции</w:t>
      </w:r>
      <w:r w:rsidRPr="004555D7">
        <w:rPr>
          <w:sz w:val="28"/>
        </w:rPr>
        <w:t xml:space="preserve"> в 20 мл воды должен быть прозрачным</w:t>
      </w:r>
      <w:r w:rsidR="00047487">
        <w:rPr>
          <w:sz w:val="28"/>
        </w:rPr>
        <w:t xml:space="preserve"> </w:t>
      </w:r>
      <w:r w:rsidR="00047487" w:rsidRPr="00047487">
        <w:rPr>
          <w:sz w:val="28"/>
        </w:rPr>
        <w:t>(ОФС «Прозрачность</w:t>
      </w:r>
      <w:r w:rsidR="00047487">
        <w:rPr>
          <w:sz w:val="28"/>
        </w:rPr>
        <w:t xml:space="preserve"> и степень мутности жидкостей»)</w:t>
      </w:r>
      <w:r w:rsidRPr="004555D7">
        <w:rPr>
          <w:sz w:val="28"/>
        </w:rPr>
        <w:t>.</w:t>
      </w:r>
    </w:p>
    <w:p w:rsidR="001521EC" w:rsidRPr="004555D7" w:rsidRDefault="001521EC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4555D7">
        <w:rPr>
          <w:b/>
          <w:sz w:val="28"/>
        </w:rPr>
        <w:t>Цветность раствора.</w:t>
      </w:r>
      <w:r w:rsidRPr="004555D7">
        <w:rPr>
          <w:sz w:val="28"/>
        </w:rPr>
        <w:t xml:space="preserve"> </w:t>
      </w:r>
      <w:r w:rsidR="001017B7">
        <w:rPr>
          <w:sz w:val="28"/>
        </w:rPr>
        <w:t>Окраска р</w:t>
      </w:r>
      <w:r w:rsidRPr="004555D7">
        <w:rPr>
          <w:sz w:val="28"/>
        </w:rPr>
        <w:t>аствор</w:t>
      </w:r>
      <w:r w:rsidR="001017B7">
        <w:rPr>
          <w:sz w:val="28"/>
        </w:rPr>
        <w:t>а</w:t>
      </w:r>
      <w:r w:rsidRPr="004555D7">
        <w:rPr>
          <w:sz w:val="28"/>
        </w:rPr>
        <w:t>, полученн</w:t>
      </w:r>
      <w:r w:rsidR="001017B7">
        <w:rPr>
          <w:sz w:val="28"/>
        </w:rPr>
        <w:t>ого</w:t>
      </w:r>
      <w:r w:rsidRPr="004555D7">
        <w:rPr>
          <w:sz w:val="28"/>
        </w:rPr>
        <w:t xml:space="preserve"> в испытании </w:t>
      </w:r>
      <w:r w:rsidR="00A33F7F">
        <w:rPr>
          <w:sz w:val="28"/>
        </w:rPr>
        <w:t>«</w:t>
      </w:r>
      <w:r w:rsidRPr="004555D7">
        <w:rPr>
          <w:sz w:val="28"/>
        </w:rPr>
        <w:t>Прозрачность раствора</w:t>
      </w:r>
      <w:r w:rsidR="00A33F7F">
        <w:rPr>
          <w:sz w:val="28"/>
        </w:rPr>
        <w:t>»</w:t>
      </w:r>
      <w:r w:rsidR="001017B7">
        <w:rPr>
          <w:sz w:val="28"/>
        </w:rPr>
        <w:t>, долж</w:t>
      </w:r>
      <w:r w:rsidRPr="004555D7">
        <w:rPr>
          <w:sz w:val="28"/>
        </w:rPr>
        <w:t>н</w:t>
      </w:r>
      <w:r w:rsidR="001017B7">
        <w:rPr>
          <w:sz w:val="28"/>
        </w:rPr>
        <w:t>а</w:t>
      </w:r>
      <w:r w:rsidRPr="004555D7">
        <w:rPr>
          <w:sz w:val="28"/>
        </w:rPr>
        <w:t xml:space="preserve"> выдерживать сравнение с эталоном </w:t>
      </w:r>
      <w:r w:rsidRPr="004555D7">
        <w:rPr>
          <w:snapToGrid w:val="0"/>
          <w:color w:val="000000"/>
          <w:sz w:val="28"/>
        </w:rPr>
        <w:t>BY</w:t>
      </w:r>
      <w:r w:rsidRPr="004555D7">
        <w:rPr>
          <w:snapToGrid w:val="0"/>
          <w:color w:val="000000"/>
          <w:sz w:val="28"/>
          <w:vertAlign w:val="subscript"/>
        </w:rPr>
        <w:t>7</w:t>
      </w:r>
      <w:r w:rsidR="00047487">
        <w:rPr>
          <w:snapToGrid w:val="0"/>
          <w:color w:val="000000"/>
          <w:sz w:val="28"/>
          <w:vertAlign w:val="subscript"/>
        </w:rPr>
        <w:t xml:space="preserve"> </w:t>
      </w:r>
      <w:r w:rsidR="00047487" w:rsidRPr="00047487">
        <w:rPr>
          <w:sz w:val="28"/>
        </w:rPr>
        <w:t>(ОФС «Степень окраски жидкостей»</w:t>
      </w:r>
      <w:r w:rsidR="009267A2">
        <w:rPr>
          <w:sz w:val="28"/>
        </w:rPr>
        <w:t>, метод 2</w:t>
      </w:r>
      <w:r w:rsidR="00047487" w:rsidRPr="00047487">
        <w:rPr>
          <w:sz w:val="28"/>
        </w:rPr>
        <w:t>).</w:t>
      </w:r>
    </w:p>
    <w:p w:rsidR="001521EC" w:rsidRPr="004555D7" w:rsidRDefault="001521EC">
      <w:pPr>
        <w:pStyle w:val="a5"/>
        <w:spacing w:line="360" w:lineRule="auto"/>
        <w:ind w:firstLine="720"/>
        <w:rPr>
          <w:rFonts w:ascii="Times New Roman" w:hAnsi="Times New Roman"/>
        </w:rPr>
      </w:pPr>
      <w:r w:rsidRPr="004555D7">
        <w:rPr>
          <w:rFonts w:ascii="Times New Roman" w:hAnsi="Times New Roman"/>
          <w:b/>
        </w:rPr>
        <w:t>Удельное вращение</w:t>
      </w:r>
      <w:r w:rsidRPr="004555D7">
        <w:rPr>
          <w:rFonts w:ascii="Times New Roman" w:hAnsi="Times New Roman"/>
        </w:rPr>
        <w:t xml:space="preserve">. От +20,5 до +21,5 </w:t>
      </w:r>
      <w:r w:rsidR="00A632E9" w:rsidRPr="004555D7">
        <w:rPr>
          <w:rFonts w:ascii="Times New Roman" w:hAnsi="Times New Roman"/>
        </w:rPr>
        <w:t>º</w:t>
      </w:r>
      <w:r w:rsidRPr="004555D7">
        <w:rPr>
          <w:rFonts w:ascii="Times New Roman" w:hAnsi="Times New Roman"/>
        </w:rPr>
        <w:t xml:space="preserve"> (10 % раствор</w:t>
      </w:r>
      <w:r w:rsidR="006D57C9">
        <w:rPr>
          <w:rFonts w:ascii="Times New Roman" w:hAnsi="Times New Roman"/>
        </w:rPr>
        <w:t xml:space="preserve"> </w:t>
      </w:r>
      <w:r w:rsidR="006D57C9" w:rsidRPr="00FB317F">
        <w:rPr>
          <w:rFonts w:ascii="Times New Roman" w:hAnsi="Times New Roman"/>
        </w:rPr>
        <w:t xml:space="preserve">субстанции в </w:t>
      </w:r>
      <w:r w:rsidR="00FB317F" w:rsidRPr="00FB317F">
        <w:rPr>
          <w:rFonts w:ascii="Times New Roman" w:hAnsi="Times New Roman"/>
        </w:rPr>
        <w:t>воде</w:t>
      </w:r>
      <w:r w:rsidR="006D57C9" w:rsidRPr="00FB317F">
        <w:rPr>
          <w:rFonts w:ascii="Times New Roman" w:hAnsi="Times New Roman"/>
        </w:rPr>
        <w:t>;</w:t>
      </w:r>
      <w:r w:rsidRPr="00FB317F">
        <w:rPr>
          <w:rFonts w:ascii="Times New Roman" w:hAnsi="Times New Roman"/>
        </w:rPr>
        <w:t xml:space="preserve"> </w:t>
      </w:r>
      <w:r w:rsidRPr="00DB506A">
        <w:rPr>
          <w:rFonts w:ascii="Times New Roman" w:hAnsi="Times New Roman"/>
        </w:rPr>
        <w:t>определяют тотчас после приготовления испытуемого раствора</w:t>
      </w:r>
      <w:r w:rsidR="006D57C9" w:rsidRPr="00DB506A">
        <w:rPr>
          <w:rFonts w:ascii="Times New Roman" w:hAnsi="Times New Roman"/>
        </w:rPr>
        <w:t>,</w:t>
      </w:r>
      <w:r w:rsidR="00FC6B8E">
        <w:rPr>
          <w:rFonts w:ascii="Times New Roman" w:hAnsi="Times New Roman"/>
        </w:rPr>
        <w:t xml:space="preserve"> </w:t>
      </w:r>
      <w:r w:rsidR="00611885" w:rsidRPr="00802697">
        <w:rPr>
          <w:rFonts w:ascii="Times New Roman" w:hAnsi="Times New Roman"/>
        </w:rPr>
        <w:t>ОФС «Поляриметрия»</w:t>
      </w:r>
      <w:r w:rsidR="00611885">
        <w:rPr>
          <w:rFonts w:ascii="Times New Roman" w:hAnsi="Times New Roman"/>
        </w:rPr>
        <w:t>)</w:t>
      </w:r>
      <w:r w:rsidR="00611885" w:rsidRPr="00802697">
        <w:rPr>
          <w:rFonts w:ascii="Times New Roman" w:hAnsi="Times New Roman"/>
        </w:rPr>
        <w:t>.</w:t>
      </w:r>
    </w:p>
    <w:p w:rsidR="001521EC" w:rsidRPr="004555D7" w:rsidRDefault="001521EC">
      <w:pPr>
        <w:spacing w:line="360" w:lineRule="auto"/>
        <w:ind w:right="-2" w:firstLine="720"/>
        <w:jc w:val="both"/>
        <w:rPr>
          <w:sz w:val="28"/>
        </w:rPr>
      </w:pPr>
      <w:r w:rsidRPr="004555D7">
        <w:rPr>
          <w:b/>
          <w:sz w:val="28"/>
        </w:rPr>
        <w:t>рН.</w:t>
      </w:r>
      <w:r w:rsidRPr="004555D7">
        <w:rPr>
          <w:sz w:val="28"/>
        </w:rPr>
        <w:t xml:space="preserve"> От 2,1 до 2,6 (</w:t>
      </w:r>
      <w:r w:rsidR="006D57C9">
        <w:rPr>
          <w:sz w:val="28"/>
        </w:rPr>
        <w:t xml:space="preserve">5 </w:t>
      </w:r>
      <w:r w:rsidR="006D57C9" w:rsidRPr="006D57C9">
        <w:rPr>
          <w:sz w:val="28"/>
        </w:rPr>
        <w:t>% раствор, ОФС «Ионометрия», метод 3</w:t>
      </w:r>
      <w:r w:rsidRPr="004555D7">
        <w:rPr>
          <w:sz w:val="28"/>
        </w:rPr>
        <w:t>).</w:t>
      </w:r>
    </w:p>
    <w:p w:rsidR="001521EC" w:rsidRPr="004555D7" w:rsidRDefault="001521EC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4555D7">
        <w:rPr>
          <w:b/>
          <w:sz w:val="28"/>
        </w:rPr>
        <w:t>Кислота щавелевая.</w:t>
      </w:r>
      <w:r w:rsidRPr="004555D7">
        <w:rPr>
          <w:sz w:val="28"/>
        </w:rPr>
        <w:t xml:space="preserve"> </w:t>
      </w:r>
      <w:r w:rsidRPr="004555D7">
        <w:rPr>
          <w:i/>
          <w:sz w:val="28"/>
        </w:rPr>
        <w:t>Испытуемый раствор.</w:t>
      </w:r>
      <w:r w:rsidRPr="004555D7">
        <w:rPr>
          <w:sz w:val="28"/>
        </w:rPr>
        <w:t xml:space="preserve"> 0,25 г </w:t>
      </w:r>
      <w:r w:rsidR="00134A37" w:rsidRPr="004555D7">
        <w:rPr>
          <w:sz w:val="28"/>
        </w:rPr>
        <w:t>субстанции</w:t>
      </w:r>
      <w:r w:rsidRPr="004555D7">
        <w:rPr>
          <w:sz w:val="28"/>
        </w:rPr>
        <w:t xml:space="preserve"> растворяют в 5 мл воды, нейтрализуют по лакмусовой бумаге 10 % раствором натрия гидроксида, прибавляют 1 мл 12 % раствора уксусной кислоты и</w:t>
      </w:r>
      <w:r w:rsidR="00775146">
        <w:rPr>
          <w:sz w:val="28"/>
        </w:rPr>
        <w:t xml:space="preserve"> </w:t>
      </w:r>
      <w:r w:rsidRPr="004555D7">
        <w:rPr>
          <w:sz w:val="28"/>
        </w:rPr>
        <w:t>0,5 мл 7,35 % раствора кальция хлорида</w:t>
      </w:r>
      <w:r w:rsidR="00A33F7F">
        <w:rPr>
          <w:sz w:val="28"/>
        </w:rPr>
        <w:t xml:space="preserve"> и перемешивают</w:t>
      </w:r>
      <w:r w:rsidRPr="004555D7">
        <w:rPr>
          <w:sz w:val="28"/>
        </w:rPr>
        <w:t xml:space="preserve">. </w:t>
      </w:r>
    </w:p>
    <w:p w:rsidR="001521EC" w:rsidRPr="004555D7" w:rsidRDefault="001521EC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4555D7">
        <w:rPr>
          <w:i/>
          <w:sz w:val="28"/>
        </w:rPr>
        <w:t xml:space="preserve">Раствор сравнения. </w:t>
      </w:r>
      <w:r w:rsidRPr="004555D7">
        <w:rPr>
          <w:sz w:val="28"/>
        </w:rPr>
        <w:t xml:space="preserve">0,070 г щавелевой кислоты </w:t>
      </w:r>
      <w:r w:rsidR="00D141D9">
        <w:rPr>
          <w:sz w:val="28"/>
        </w:rPr>
        <w:t>растворяют в 5</w:t>
      </w:r>
      <w:r w:rsidRPr="004555D7">
        <w:rPr>
          <w:sz w:val="28"/>
        </w:rPr>
        <w:t>00 мл</w:t>
      </w:r>
      <w:r w:rsidR="00D141D9">
        <w:rPr>
          <w:sz w:val="28"/>
        </w:rPr>
        <w:t xml:space="preserve"> воды. </w:t>
      </w:r>
      <w:r w:rsidRPr="004555D7">
        <w:rPr>
          <w:sz w:val="28"/>
        </w:rPr>
        <w:t>К 5 мл п</w:t>
      </w:r>
      <w:r w:rsidR="00D141D9">
        <w:rPr>
          <w:sz w:val="28"/>
        </w:rPr>
        <w:t xml:space="preserve">олученного раствора прибавляют </w:t>
      </w:r>
      <w:r w:rsidRPr="004555D7">
        <w:rPr>
          <w:sz w:val="28"/>
        </w:rPr>
        <w:t>1 мл раствора уксусной кислоты разведенной 12 %</w:t>
      </w:r>
      <w:r w:rsidR="00D141D9">
        <w:rPr>
          <w:sz w:val="28"/>
        </w:rPr>
        <w:t>,</w:t>
      </w:r>
      <w:r w:rsidRPr="004555D7">
        <w:rPr>
          <w:sz w:val="28"/>
        </w:rPr>
        <w:t xml:space="preserve"> 0,5 мл 7,35 % раствора кальция хлорида</w:t>
      </w:r>
      <w:r w:rsidR="00D141D9" w:rsidRPr="00D141D9">
        <w:rPr>
          <w:sz w:val="28"/>
        </w:rPr>
        <w:t xml:space="preserve"> </w:t>
      </w:r>
      <w:r w:rsidR="00D141D9">
        <w:rPr>
          <w:sz w:val="28"/>
        </w:rPr>
        <w:t>и перемешивают</w:t>
      </w:r>
      <w:r w:rsidRPr="004555D7">
        <w:rPr>
          <w:sz w:val="28"/>
        </w:rPr>
        <w:t>.</w:t>
      </w:r>
      <w:r w:rsidR="00D141D9">
        <w:rPr>
          <w:sz w:val="28"/>
        </w:rPr>
        <w:t xml:space="preserve"> </w:t>
      </w:r>
      <w:r w:rsidRPr="004555D7">
        <w:rPr>
          <w:sz w:val="28"/>
        </w:rPr>
        <w:t>Раствор готовят одновременно с испытуемым раствором.</w:t>
      </w:r>
    </w:p>
    <w:p w:rsidR="001521EC" w:rsidRPr="004555D7" w:rsidRDefault="001521EC">
      <w:pPr>
        <w:pStyle w:val="a4"/>
        <w:tabs>
          <w:tab w:val="left" w:pos="9356"/>
        </w:tabs>
        <w:spacing w:line="360" w:lineRule="auto"/>
      </w:pPr>
      <w:r w:rsidRPr="004555D7">
        <w:lastRenderedPageBreak/>
        <w:t>Через 1 ч опалесценция испытуемого раствора не должна превышать опалесценцию раствора сравнения (не более 0,2 %).</w:t>
      </w:r>
    </w:p>
    <w:p w:rsidR="00DB506A" w:rsidRDefault="001521EC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4555D7">
        <w:rPr>
          <w:b/>
          <w:sz w:val="28"/>
        </w:rPr>
        <w:t>Медь.</w:t>
      </w:r>
      <w:r w:rsidRPr="004555D7">
        <w:rPr>
          <w:sz w:val="28"/>
        </w:rPr>
        <w:t xml:space="preserve"> </w:t>
      </w:r>
      <w:r w:rsidR="0023743F" w:rsidRPr="0023743F">
        <w:rPr>
          <w:sz w:val="28"/>
        </w:rPr>
        <w:t>Не более 0,0005%. Определение проводят методом атомно-абсорбционной спектрометрии</w:t>
      </w:r>
      <w:r w:rsidR="0084145A" w:rsidRPr="0084145A">
        <w:rPr>
          <w:sz w:val="28"/>
        </w:rPr>
        <w:t>.</w:t>
      </w:r>
      <w:r w:rsidR="0084145A">
        <w:rPr>
          <w:sz w:val="28"/>
        </w:rPr>
        <w:t xml:space="preserve"> </w:t>
      </w:r>
    </w:p>
    <w:p w:rsidR="001521EC" w:rsidRPr="004555D7" w:rsidRDefault="001521EC">
      <w:pPr>
        <w:tabs>
          <w:tab w:val="left" w:pos="9356"/>
        </w:tabs>
        <w:spacing w:line="360" w:lineRule="auto"/>
        <w:ind w:firstLine="720"/>
        <w:jc w:val="both"/>
        <w:rPr>
          <w:i/>
          <w:sz w:val="28"/>
        </w:rPr>
      </w:pPr>
      <w:r w:rsidRPr="004555D7">
        <w:rPr>
          <w:i/>
          <w:sz w:val="28"/>
        </w:rPr>
        <w:t xml:space="preserve">Исходный стандартный раствор. </w:t>
      </w:r>
      <w:r w:rsidRPr="004555D7">
        <w:rPr>
          <w:sz w:val="28"/>
        </w:rPr>
        <w:t>Около</w:t>
      </w:r>
      <w:r w:rsidRPr="004555D7">
        <w:rPr>
          <w:i/>
          <w:sz w:val="28"/>
        </w:rPr>
        <w:t xml:space="preserve"> </w:t>
      </w:r>
      <w:r w:rsidRPr="004555D7">
        <w:rPr>
          <w:sz w:val="28"/>
        </w:rPr>
        <w:t>0,393 г (точная навеска) меди сульфата (эквивалент около 0,1 г меди) помещают в мерную колбу вместимостью 100 мл, растворяют в вод</w:t>
      </w:r>
      <w:r w:rsidR="004D50FC">
        <w:rPr>
          <w:sz w:val="28"/>
        </w:rPr>
        <w:t>е,</w:t>
      </w:r>
      <w:r w:rsidRPr="004555D7">
        <w:rPr>
          <w:sz w:val="28"/>
        </w:rPr>
        <w:t xml:space="preserve"> доводят объем раствора водой до метки</w:t>
      </w:r>
      <w:r w:rsidR="004D50FC">
        <w:rPr>
          <w:sz w:val="28"/>
        </w:rPr>
        <w:t xml:space="preserve"> и перемешивают</w:t>
      </w:r>
      <w:r w:rsidRPr="004555D7">
        <w:rPr>
          <w:sz w:val="28"/>
        </w:rPr>
        <w:t xml:space="preserve">. </w:t>
      </w:r>
    </w:p>
    <w:p w:rsidR="001521EC" w:rsidRPr="004555D7" w:rsidRDefault="001521EC">
      <w:pPr>
        <w:pStyle w:val="a4"/>
        <w:tabs>
          <w:tab w:val="left" w:pos="9356"/>
        </w:tabs>
        <w:spacing w:line="360" w:lineRule="auto"/>
      </w:pPr>
      <w:r w:rsidRPr="004555D7">
        <w:rPr>
          <w:i/>
        </w:rPr>
        <w:t>Стандартные растворы.</w:t>
      </w:r>
      <w:r w:rsidRPr="004555D7">
        <w:t xml:space="preserve"> </w:t>
      </w:r>
      <w:r w:rsidR="004D50FC" w:rsidRPr="004555D7">
        <w:t>Непосредственно перед исп</w:t>
      </w:r>
      <w:r w:rsidR="004D50FC">
        <w:t>ытанием</w:t>
      </w:r>
      <w:r w:rsidR="004D50FC" w:rsidRPr="004555D7">
        <w:t xml:space="preserve"> 1 мл исходного стандартного раствора помещают в мерную колбу вместимостью </w:t>
      </w:r>
      <w:r w:rsidR="004D50FC">
        <w:br/>
      </w:r>
      <w:r w:rsidR="004D50FC" w:rsidRPr="004555D7">
        <w:t>100 мл, доводят объем раствора водой до метки и перемешивают.</w:t>
      </w:r>
      <w:r w:rsidR="004D50FC">
        <w:t xml:space="preserve"> </w:t>
      </w:r>
      <w:r w:rsidRPr="004555D7">
        <w:t xml:space="preserve">2 мл, 4 мл и 6 мл </w:t>
      </w:r>
      <w:r w:rsidR="004D50FC" w:rsidRPr="004555D7">
        <w:t xml:space="preserve">полученного раствора </w:t>
      </w:r>
      <w:r w:rsidRPr="004555D7">
        <w:t xml:space="preserve">помещают в мерные колбы вместимостью </w:t>
      </w:r>
      <w:r w:rsidR="004D50FC">
        <w:br/>
      </w:r>
      <w:r w:rsidRPr="004555D7">
        <w:t>100 мл, доводят объемы растворов 0,1 М раствором азотной кислоты до метки и перемешивают. Используют свежеприготовленные растворы.</w:t>
      </w:r>
    </w:p>
    <w:p w:rsidR="001521EC" w:rsidRPr="004555D7" w:rsidRDefault="001521EC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4555D7">
        <w:rPr>
          <w:i/>
          <w:sz w:val="28"/>
        </w:rPr>
        <w:t>Испытуемый раствор.</w:t>
      </w:r>
      <w:r w:rsidRPr="004555D7">
        <w:rPr>
          <w:sz w:val="28"/>
        </w:rPr>
        <w:t xml:space="preserve"> Около 2,0 г (точная навеска) </w:t>
      </w:r>
      <w:r w:rsidR="00134A37" w:rsidRPr="004555D7">
        <w:rPr>
          <w:sz w:val="28"/>
        </w:rPr>
        <w:t>субстанции</w:t>
      </w:r>
      <w:r w:rsidRPr="004555D7">
        <w:rPr>
          <w:sz w:val="28"/>
        </w:rPr>
        <w:t xml:space="preserve"> помещают в мерную колбу вместимостью 25 мл, растворяют в 0,1 М растворе азотной кислоты, доводят объем раствора тем же растворителем до метки и перемешивают. </w:t>
      </w:r>
    </w:p>
    <w:p w:rsidR="0023743F" w:rsidRPr="0023743F" w:rsidRDefault="0023743F">
      <w:pPr>
        <w:tabs>
          <w:tab w:val="left" w:pos="9356"/>
        </w:tabs>
        <w:spacing w:line="360" w:lineRule="auto"/>
        <w:ind w:firstLine="720"/>
        <w:jc w:val="both"/>
        <w:rPr>
          <w:sz w:val="28"/>
          <w:szCs w:val="28"/>
        </w:rPr>
      </w:pPr>
      <w:r w:rsidRPr="0023743F">
        <w:rPr>
          <w:sz w:val="28"/>
          <w:szCs w:val="28"/>
        </w:rPr>
        <w:t xml:space="preserve">Устанавливают нулевую точку на приборе, используя 0,1 М раствор азотной кислоты. Измеряют поглощение испытуемого раствора и раствора сравнения, при длине волны </w:t>
      </w:r>
      <w:r w:rsidRPr="00DB506A">
        <w:rPr>
          <w:sz w:val="28"/>
          <w:szCs w:val="28"/>
        </w:rPr>
        <w:t>324,8 нм</w:t>
      </w:r>
      <w:r w:rsidRPr="0023743F">
        <w:rPr>
          <w:sz w:val="28"/>
          <w:szCs w:val="28"/>
        </w:rPr>
        <w:t xml:space="preserve">, используя в качестве источника излучения лампу с полым </w:t>
      </w:r>
      <w:r>
        <w:rPr>
          <w:sz w:val="28"/>
          <w:szCs w:val="28"/>
        </w:rPr>
        <w:t>медным</w:t>
      </w:r>
      <w:r w:rsidRPr="0023743F">
        <w:rPr>
          <w:sz w:val="28"/>
          <w:szCs w:val="28"/>
        </w:rPr>
        <w:t xml:space="preserve"> катодом и воздушно-ацетиленовое пламя.</w:t>
      </w:r>
    </w:p>
    <w:p w:rsidR="001521EC" w:rsidRPr="004555D7" w:rsidRDefault="001521EC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4555D7">
        <w:rPr>
          <w:sz w:val="28"/>
        </w:rPr>
        <w:t>Строят калибровочный график зависимости величины поглощения от концентрации меди (мкг/мл).</w:t>
      </w:r>
      <w:r w:rsidR="006807F6">
        <w:rPr>
          <w:sz w:val="28"/>
        </w:rPr>
        <w:t xml:space="preserve"> </w:t>
      </w:r>
      <w:r w:rsidR="006807F6" w:rsidRPr="00DB506A">
        <w:rPr>
          <w:sz w:val="28"/>
        </w:rPr>
        <w:t>Определяют параметры линейной регрессии.</w:t>
      </w:r>
    </w:p>
    <w:p w:rsidR="001521EC" w:rsidRDefault="001521EC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4555D7">
        <w:rPr>
          <w:sz w:val="28"/>
        </w:rPr>
        <w:t>В тех же условиях измеряют поглощение испытуемого раствора.</w:t>
      </w:r>
    </w:p>
    <w:p w:rsidR="006807F6" w:rsidRPr="004555D7" w:rsidRDefault="006807F6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DB506A">
        <w:rPr>
          <w:sz w:val="28"/>
        </w:rPr>
        <w:t>С помощью уравнения линейной регрессии находят концентрацию меди в испытуемом растворе.</w:t>
      </w:r>
    </w:p>
    <w:p w:rsidR="001521EC" w:rsidRPr="004555D7" w:rsidRDefault="001521EC">
      <w:pPr>
        <w:pStyle w:val="a5"/>
        <w:tabs>
          <w:tab w:val="left" w:pos="1985"/>
        </w:tabs>
        <w:spacing w:line="360" w:lineRule="auto"/>
        <w:ind w:firstLine="709"/>
        <w:rPr>
          <w:rFonts w:ascii="Times New Roman" w:hAnsi="Times New Roman"/>
        </w:rPr>
      </w:pPr>
      <w:r w:rsidRPr="004555D7">
        <w:rPr>
          <w:rFonts w:ascii="Times New Roman" w:hAnsi="Times New Roman"/>
        </w:rPr>
        <w:t>Содержание меди в препарате в процентах (Х) вычисляют по формуле:</w:t>
      </w:r>
    </w:p>
    <w:p w:rsidR="001521EC" w:rsidRPr="00F24DCC" w:rsidRDefault="00F24DCC" w:rsidP="00940E35">
      <w:pPr>
        <w:pStyle w:val="a5"/>
        <w:ind w:firstLine="720"/>
        <w:rPr>
          <w:rFonts w:ascii="Times New Roman" w:hAnsi="Times New Roman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w:lastRenderedPageBreak/>
            <m:t>X</m:t>
          </m:r>
          <m:r>
            <w:rPr>
              <w:rFonts w:ascii="Cambria Math" w:hAnsi="Times New Roman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lang w:val="en-US"/>
                </w:rPr>
              </m:ctrlPr>
            </m:fPr>
            <m:num>
              <m:r>
                <w:rPr>
                  <w:rFonts w:ascii="Times New Roman" w:hAnsi="Times New Roman"/>
                </w:rPr>
                <m:t>С∙</m:t>
              </m:r>
              <m:r>
                <w:rPr>
                  <w:rFonts w:ascii="Cambria Math" w:hAnsi="Times New Roman"/>
                </w:rPr>
                <m:t>25</m:t>
              </m:r>
              <m:r>
                <w:rPr>
                  <w:rFonts w:ascii="Times New Roman" w:hAnsi="Times New Roman"/>
                </w:rPr>
                <m:t>∙</m:t>
              </m:r>
              <m:r>
                <w:rPr>
                  <w:rFonts w:ascii="Cambria Math" w:hAnsi="Times New Roman"/>
                </w:rPr>
                <m:t>100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Times New Roman" w:hAnsi="Times New Roman"/>
                </w:rPr>
                <m:t>∙</m:t>
              </m:r>
              <m:r>
                <w:rPr>
                  <w:rFonts w:ascii="Cambria Math" w:hAnsi="Times New Roman"/>
                  <w:lang w:val="en-US"/>
                </w:rPr>
                <m:t>1</m:t>
              </m:r>
              <m:r>
                <w:rPr>
                  <w:rFonts w:ascii="Cambria Math" w:hAnsi="Times New Roman"/>
                  <w:lang w:val="en-US"/>
                </w:rPr>
                <m:t> </m:t>
              </m:r>
              <m:r>
                <w:rPr>
                  <w:rFonts w:ascii="Cambria Math" w:hAnsi="Times New Roman"/>
                  <w:lang w:val="en-US"/>
                </w:rPr>
                <m:t>000</m:t>
              </m:r>
              <m:r>
                <w:rPr>
                  <w:rFonts w:ascii="Cambria Math" w:hAnsi="Times New Roman"/>
                  <w:lang w:val="en-US"/>
                </w:rPr>
                <m:t> </m:t>
              </m:r>
              <m:r>
                <w:rPr>
                  <w:rFonts w:ascii="Cambria Math" w:hAnsi="Times New Roman"/>
                  <w:lang w:val="en-US"/>
                </w:rPr>
                <m:t>000</m:t>
              </m:r>
            </m:den>
          </m:f>
          <m:r>
            <w:rPr>
              <w:rFonts w:ascii="Cambria Math" w:hAnsi="Times New Roman"/>
              <w:lang w:val="en-US"/>
            </w:rPr>
            <m:t xml:space="preserve"> ,</m:t>
          </m:r>
        </m:oMath>
      </m:oMathPara>
    </w:p>
    <w:p w:rsidR="001521EC" w:rsidRPr="00F24DCC" w:rsidRDefault="001521EC">
      <w:pPr>
        <w:pStyle w:val="a5"/>
        <w:tabs>
          <w:tab w:val="left" w:pos="5529"/>
        </w:tabs>
        <w:ind w:left="851" w:hanging="851"/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1101"/>
        <w:gridCol w:w="283"/>
        <w:gridCol w:w="8186"/>
      </w:tblGrid>
      <w:tr w:rsidR="001521EC" w:rsidRPr="004555D7">
        <w:tc>
          <w:tcPr>
            <w:tcW w:w="1101" w:type="dxa"/>
          </w:tcPr>
          <w:p w:rsidR="001521EC" w:rsidRPr="004555D7" w:rsidRDefault="001521EC">
            <w:pPr>
              <w:pStyle w:val="a5"/>
              <w:tabs>
                <w:tab w:val="left" w:pos="567"/>
                <w:tab w:val="left" w:pos="5529"/>
              </w:tabs>
              <w:rPr>
                <w:rFonts w:ascii="Times New Roman" w:hAnsi="Times New Roman"/>
                <w:spacing w:val="0"/>
              </w:rPr>
            </w:pPr>
            <w:r w:rsidRPr="004555D7">
              <w:rPr>
                <w:rFonts w:ascii="Times New Roman" w:hAnsi="Times New Roman"/>
                <w:spacing w:val="0"/>
              </w:rPr>
              <w:t xml:space="preserve">где </w:t>
            </w:r>
            <w:r w:rsidRPr="004555D7">
              <w:rPr>
                <w:rFonts w:ascii="Times New Roman" w:hAnsi="Times New Roman"/>
                <w:spacing w:val="0"/>
              </w:rPr>
              <w:tab/>
              <w:t>С</w:t>
            </w:r>
          </w:p>
        </w:tc>
        <w:tc>
          <w:tcPr>
            <w:tcW w:w="283" w:type="dxa"/>
          </w:tcPr>
          <w:p w:rsidR="001521EC" w:rsidRPr="004555D7" w:rsidRDefault="001521EC">
            <w:pPr>
              <w:pStyle w:val="a5"/>
              <w:tabs>
                <w:tab w:val="left" w:pos="567"/>
                <w:tab w:val="left" w:pos="5529"/>
              </w:tabs>
              <w:rPr>
                <w:rFonts w:ascii="Times New Roman" w:hAnsi="Times New Roman"/>
                <w:spacing w:val="0"/>
              </w:rPr>
            </w:pPr>
            <w:r w:rsidRPr="004555D7">
              <w:rPr>
                <w:rFonts w:ascii="Times New Roman" w:hAnsi="Times New Roman"/>
                <w:spacing w:val="0"/>
              </w:rPr>
              <w:t>-</w:t>
            </w:r>
          </w:p>
        </w:tc>
        <w:tc>
          <w:tcPr>
            <w:tcW w:w="8186" w:type="dxa"/>
          </w:tcPr>
          <w:p w:rsidR="001521EC" w:rsidRPr="004555D7" w:rsidRDefault="001521EC" w:rsidP="00DB506A">
            <w:pPr>
              <w:pStyle w:val="a5"/>
              <w:tabs>
                <w:tab w:val="left" w:pos="567"/>
                <w:tab w:val="left" w:pos="5529"/>
              </w:tabs>
              <w:rPr>
                <w:rFonts w:ascii="Times New Roman" w:hAnsi="Times New Roman"/>
                <w:spacing w:val="0"/>
              </w:rPr>
            </w:pPr>
            <w:r w:rsidRPr="004555D7">
              <w:rPr>
                <w:rFonts w:ascii="Times New Roman" w:hAnsi="Times New Roman"/>
                <w:spacing w:val="0"/>
              </w:rPr>
              <w:t>концентрация меди в испытуемом растворе, определенная по калибровочному графику, мкг/мл;</w:t>
            </w:r>
          </w:p>
        </w:tc>
      </w:tr>
      <w:tr w:rsidR="001521EC" w:rsidRPr="004555D7">
        <w:tc>
          <w:tcPr>
            <w:tcW w:w="1101" w:type="dxa"/>
          </w:tcPr>
          <w:p w:rsidR="001521EC" w:rsidRPr="004555D7" w:rsidRDefault="001521EC">
            <w:pPr>
              <w:pStyle w:val="a5"/>
              <w:tabs>
                <w:tab w:val="left" w:pos="567"/>
                <w:tab w:val="left" w:pos="5529"/>
              </w:tabs>
              <w:spacing w:before="120"/>
              <w:jc w:val="right"/>
              <w:rPr>
                <w:rFonts w:ascii="Times New Roman" w:hAnsi="Times New Roman"/>
                <w:spacing w:val="0"/>
              </w:rPr>
            </w:pPr>
            <w:r w:rsidRPr="004555D7">
              <w:rPr>
                <w:rFonts w:ascii="Times New Roman" w:hAnsi="Times New Roman"/>
                <w:spacing w:val="0"/>
              </w:rPr>
              <w:t>а</w:t>
            </w:r>
          </w:p>
        </w:tc>
        <w:tc>
          <w:tcPr>
            <w:tcW w:w="283" w:type="dxa"/>
          </w:tcPr>
          <w:p w:rsidR="001521EC" w:rsidRPr="004555D7" w:rsidRDefault="001521EC">
            <w:pPr>
              <w:pStyle w:val="a5"/>
              <w:tabs>
                <w:tab w:val="left" w:pos="567"/>
                <w:tab w:val="left" w:pos="5529"/>
              </w:tabs>
              <w:spacing w:before="120"/>
              <w:rPr>
                <w:rFonts w:ascii="Times New Roman" w:hAnsi="Times New Roman"/>
                <w:spacing w:val="0"/>
              </w:rPr>
            </w:pPr>
            <w:r w:rsidRPr="004555D7">
              <w:rPr>
                <w:rFonts w:ascii="Times New Roman" w:hAnsi="Times New Roman"/>
                <w:spacing w:val="0"/>
              </w:rPr>
              <w:t>-</w:t>
            </w:r>
          </w:p>
        </w:tc>
        <w:tc>
          <w:tcPr>
            <w:tcW w:w="8186" w:type="dxa"/>
          </w:tcPr>
          <w:p w:rsidR="001521EC" w:rsidRPr="004555D7" w:rsidRDefault="001521EC" w:rsidP="00DB506A">
            <w:pPr>
              <w:pStyle w:val="a5"/>
              <w:tabs>
                <w:tab w:val="left" w:pos="567"/>
                <w:tab w:val="left" w:pos="5529"/>
              </w:tabs>
              <w:spacing w:before="120"/>
              <w:rPr>
                <w:rFonts w:ascii="Times New Roman" w:hAnsi="Times New Roman"/>
                <w:spacing w:val="0"/>
              </w:rPr>
            </w:pPr>
            <w:r w:rsidRPr="004555D7">
              <w:rPr>
                <w:rFonts w:ascii="Times New Roman" w:hAnsi="Times New Roman"/>
                <w:spacing w:val="0"/>
              </w:rPr>
              <w:t xml:space="preserve">навеска </w:t>
            </w:r>
            <w:r w:rsidR="00134A37" w:rsidRPr="004555D7">
              <w:rPr>
                <w:rFonts w:ascii="Times New Roman" w:hAnsi="Times New Roman"/>
                <w:spacing w:val="0"/>
              </w:rPr>
              <w:t>субстанции</w:t>
            </w:r>
            <w:r w:rsidR="00F84569">
              <w:rPr>
                <w:rFonts w:ascii="Times New Roman" w:hAnsi="Times New Roman"/>
                <w:spacing w:val="0"/>
              </w:rPr>
              <w:t>, г</w:t>
            </w:r>
            <w:r w:rsidRPr="004555D7">
              <w:rPr>
                <w:rFonts w:ascii="Times New Roman" w:hAnsi="Times New Roman"/>
                <w:spacing w:val="0"/>
              </w:rPr>
              <w:t>.</w:t>
            </w:r>
          </w:p>
        </w:tc>
      </w:tr>
    </w:tbl>
    <w:p w:rsidR="00100934" w:rsidRDefault="001521EC" w:rsidP="00DB506A">
      <w:pPr>
        <w:tabs>
          <w:tab w:val="left" w:pos="9356"/>
        </w:tabs>
        <w:spacing w:before="240" w:line="360" w:lineRule="auto"/>
        <w:ind w:firstLine="720"/>
        <w:jc w:val="both"/>
        <w:rPr>
          <w:sz w:val="28"/>
        </w:rPr>
      </w:pPr>
      <w:r w:rsidRPr="004555D7">
        <w:rPr>
          <w:b/>
          <w:sz w:val="28"/>
        </w:rPr>
        <w:t>Железо.</w:t>
      </w:r>
      <w:r w:rsidRPr="004555D7">
        <w:rPr>
          <w:sz w:val="28"/>
        </w:rPr>
        <w:t xml:space="preserve"> </w:t>
      </w:r>
      <w:r w:rsidR="00E6218A" w:rsidRPr="0023743F">
        <w:rPr>
          <w:sz w:val="28"/>
        </w:rPr>
        <w:t>Не более 0,000</w:t>
      </w:r>
      <w:r w:rsidR="00E6218A">
        <w:rPr>
          <w:sz w:val="28"/>
        </w:rPr>
        <w:t>2</w:t>
      </w:r>
      <w:r w:rsidR="00E6218A" w:rsidRPr="0023743F">
        <w:rPr>
          <w:sz w:val="28"/>
        </w:rPr>
        <w:t>%. Определение проводят методом атомно-абсорбционной спектрометрии</w:t>
      </w:r>
      <w:r w:rsidR="00E6218A" w:rsidRPr="0084145A">
        <w:rPr>
          <w:sz w:val="28"/>
        </w:rPr>
        <w:t>.</w:t>
      </w:r>
      <w:r w:rsidR="00E6218A">
        <w:rPr>
          <w:sz w:val="28"/>
        </w:rPr>
        <w:t xml:space="preserve"> </w:t>
      </w:r>
    </w:p>
    <w:p w:rsidR="001521EC" w:rsidRPr="004555D7" w:rsidRDefault="001521EC" w:rsidP="00100934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4555D7">
        <w:rPr>
          <w:i/>
          <w:sz w:val="28"/>
        </w:rPr>
        <w:t>Исходный стандартный раствор.</w:t>
      </w:r>
      <w:r w:rsidRPr="004555D7">
        <w:rPr>
          <w:sz w:val="28"/>
        </w:rPr>
        <w:t xml:space="preserve"> Около 0,863 г (точная навеска) квасцов железоаммониевых (эквивалент около 0,1 г железа) помещают в мерную колбу вместимостью 500 мл, растворяют в 50</w:t>
      </w:r>
      <w:r w:rsidRPr="004555D7">
        <w:rPr>
          <w:sz w:val="28"/>
          <w:lang w:val="en-US"/>
        </w:rPr>
        <w:t> </w:t>
      </w:r>
      <w:r w:rsidRPr="004555D7">
        <w:rPr>
          <w:sz w:val="28"/>
        </w:rPr>
        <w:t xml:space="preserve">мл 1 М раствора серной кислоты (если необходимо, при нагревании), доводят объем раствора водой до метки и перемешивают. </w:t>
      </w:r>
    </w:p>
    <w:p w:rsidR="001521EC" w:rsidRPr="004555D7" w:rsidRDefault="001521EC">
      <w:pPr>
        <w:pStyle w:val="a4"/>
        <w:tabs>
          <w:tab w:val="left" w:pos="9356"/>
        </w:tabs>
        <w:spacing w:line="360" w:lineRule="auto"/>
      </w:pPr>
      <w:r w:rsidRPr="004555D7">
        <w:rPr>
          <w:i/>
        </w:rPr>
        <w:t>Стандартные растворы.</w:t>
      </w:r>
      <w:r w:rsidRPr="004555D7">
        <w:t xml:space="preserve"> </w:t>
      </w:r>
      <w:r w:rsidR="00FF048E" w:rsidRPr="004555D7">
        <w:t>Непосредственно перед исп</w:t>
      </w:r>
      <w:r w:rsidR="00FF048E">
        <w:t>ытанием</w:t>
      </w:r>
      <w:r w:rsidR="00FF048E" w:rsidRPr="004555D7">
        <w:t xml:space="preserve"> 10 мл исходного стандартного раствора помещают в мерную колбу вместимостью 100 мл, доводят объем раствора водой до метки и перемешивают</w:t>
      </w:r>
      <w:r w:rsidR="00E6218A">
        <w:t>.</w:t>
      </w:r>
      <w:r w:rsidR="00FF048E" w:rsidRPr="004555D7">
        <w:t xml:space="preserve"> </w:t>
      </w:r>
      <w:r w:rsidRPr="004555D7">
        <w:t xml:space="preserve">1 мл, 2 мл и 3 мл </w:t>
      </w:r>
      <w:r w:rsidR="00FF048E" w:rsidRPr="004555D7">
        <w:t xml:space="preserve">полученного раствора </w:t>
      </w:r>
      <w:r w:rsidRPr="004555D7">
        <w:t>помещают в мерные колбы вместимостью 100</w:t>
      </w:r>
      <w:r w:rsidR="00100934">
        <w:t> </w:t>
      </w:r>
      <w:r w:rsidRPr="004555D7">
        <w:t>мл, доводят объемы растворов 0,1 М раствором азотной кислоты до метки и перемешивают. Используют свежеприготовленные растворы.</w:t>
      </w:r>
    </w:p>
    <w:p w:rsidR="001521EC" w:rsidRPr="004555D7" w:rsidRDefault="001521EC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4555D7">
        <w:rPr>
          <w:i/>
          <w:sz w:val="28"/>
        </w:rPr>
        <w:t>Испытуемый раствор.</w:t>
      </w:r>
      <w:r w:rsidRPr="004555D7">
        <w:rPr>
          <w:sz w:val="28"/>
        </w:rPr>
        <w:t xml:space="preserve"> Около 5,0 г (точная навеска) </w:t>
      </w:r>
      <w:r w:rsidR="00134A37" w:rsidRPr="004555D7">
        <w:rPr>
          <w:sz w:val="28"/>
        </w:rPr>
        <w:t>субстанции</w:t>
      </w:r>
      <w:r w:rsidRPr="004555D7">
        <w:rPr>
          <w:sz w:val="28"/>
        </w:rPr>
        <w:t xml:space="preserve"> помещают в мерную колбу вместимостью 25 мл, растворяют в 0,1 М растворе азотной кислоты, доводят объем раствора тем же растворителем до метки и перемешивают. </w:t>
      </w:r>
    </w:p>
    <w:p w:rsidR="00E6218A" w:rsidRPr="0023743F" w:rsidRDefault="00E6218A" w:rsidP="00E6218A">
      <w:pPr>
        <w:tabs>
          <w:tab w:val="left" w:pos="9356"/>
        </w:tabs>
        <w:spacing w:line="360" w:lineRule="auto"/>
        <w:ind w:firstLine="720"/>
        <w:jc w:val="both"/>
        <w:rPr>
          <w:sz w:val="28"/>
          <w:szCs w:val="28"/>
        </w:rPr>
      </w:pPr>
      <w:r w:rsidRPr="0023743F">
        <w:rPr>
          <w:sz w:val="28"/>
          <w:szCs w:val="28"/>
        </w:rPr>
        <w:t xml:space="preserve">Устанавливают нулевую точку на приборе, используя 0,1 М раствор азотной кислоты. Измеряют поглощение испытуемого раствора и раствора сравнения, при длине волны </w:t>
      </w:r>
      <w:r w:rsidRPr="00100934">
        <w:rPr>
          <w:sz w:val="28"/>
          <w:szCs w:val="28"/>
        </w:rPr>
        <w:t>248,3 нм</w:t>
      </w:r>
      <w:r w:rsidRPr="0023743F">
        <w:rPr>
          <w:sz w:val="28"/>
          <w:szCs w:val="28"/>
        </w:rPr>
        <w:t xml:space="preserve">, используя в качестве источника излучения лампу с полым </w:t>
      </w:r>
      <w:r>
        <w:rPr>
          <w:sz w:val="28"/>
          <w:szCs w:val="28"/>
        </w:rPr>
        <w:t>железным</w:t>
      </w:r>
      <w:r w:rsidRPr="0023743F">
        <w:rPr>
          <w:sz w:val="28"/>
          <w:szCs w:val="28"/>
        </w:rPr>
        <w:t xml:space="preserve"> катодом и воздушно-ацетиленовое пламя.</w:t>
      </w:r>
    </w:p>
    <w:p w:rsidR="00CF350E" w:rsidRPr="004555D7" w:rsidRDefault="001521EC" w:rsidP="00CF350E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4555D7">
        <w:rPr>
          <w:sz w:val="28"/>
        </w:rPr>
        <w:t>Строят калибровочный график зависимости величины поглощения от концентрации железа (мкг/мл</w:t>
      </w:r>
      <w:r w:rsidRPr="00100934">
        <w:rPr>
          <w:sz w:val="28"/>
        </w:rPr>
        <w:t>)</w:t>
      </w:r>
      <w:r w:rsidR="00CF350E" w:rsidRPr="00100934">
        <w:rPr>
          <w:sz w:val="28"/>
        </w:rPr>
        <w:t>. Определяют параметры линейной регрессии.</w:t>
      </w:r>
    </w:p>
    <w:p w:rsidR="00CF350E" w:rsidRDefault="00CF350E" w:rsidP="00CF350E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4555D7">
        <w:rPr>
          <w:sz w:val="28"/>
        </w:rPr>
        <w:lastRenderedPageBreak/>
        <w:t>В тех же условиях измеряют поглощение испытуемого раствора.</w:t>
      </w:r>
    </w:p>
    <w:p w:rsidR="00CF350E" w:rsidRPr="004555D7" w:rsidRDefault="00CF350E" w:rsidP="00CF350E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100934">
        <w:rPr>
          <w:sz w:val="28"/>
        </w:rPr>
        <w:t>С помощью уравнения линейной регрессии находят концентрацию железа в испытуемом растворе.</w:t>
      </w:r>
    </w:p>
    <w:p w:rsidR="001521EC" w:rsidRPr="00F55720" w:rsidRDefault="001521EC">
      <w:pPr>
        <w:pStyle w:val="a5"/>
        <w:tabs>
          <w:tab w:val="left" w:pos="1985"/>
        </w:tabs>
        <w:spacing w:line="360" w:lineRule="auto"/>
        <w:ind w:firstLine="709"/>
        <w:rPr>
          <w:rFonts w:ascii="Times New Roman" w:hAnsi="Times New Roman"/>
        </w:rPr>
      </w:pPr>
      <w:r w:rsidRPr="004555D7">
        <w:rPr>
          <w:rFonts w:ascii="Times New Roman" w:hAnsi="Times New Roman"/>
        </w:rPr>
        <w:t>Содержание железа в препарате в процентах (Х) вычисляют по формуле:</w:t>
      </w:r>
    </w:p>
    <w:p w:rsidR="00351D9B" w:rsidRPr="00351D9B" w:rsidRDefault="00351D9B">
      <w:pPr>
        <w:pStyle w:val="a5"/>
        <w:tabs>
          <w:tab w:val="left" w:pos="1985"/>
        </w:tabs>
        <w:spacing w:line="360" w:lineRule="auto"/>
        <w:ind w:firstLine="709"/>
        <w:rPr>
          <w:rFonts w:ascii="Times New Roman" w:hAnsi="Times New Roman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Times New Roman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lang w:val="en-US"/>
                </w:rPr>
              </m:ctrlPr>
            </m:fPr>
            <m:num>
              <m:r>
                <w:rPr>
                  <w:rFonts w:ascii="Times New Roman" w:hAnsi="Times New Roman"/>
                </w:rPr>
                <m:t>С∙</m:t>
              </m:r>
              <m:r>
                <w:rPr>
                  <w:rFonts w:ascii="Cambria Math" w:hAnsi="Times New Roman"/>
                </w:rPr>
                <m:t>25</m:t>
              </m:r>
              <m:r>
                <w:rPr>
                  <w:rFonts w:ascii="Times New Roman" w:hAnsi="Times New Roman"/>
                </w:rPr>
                <m:t>∙</m:t>
              </m:r>
              <m:r>
                <w:rPr>
                  <w:rFonts w:ascii="Cambria Math" w:hAnsi="Times New Roman"/>
                </w:rPr>
                <m:t>100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Times New Roman" w:hAnsi="Times New Roman"/>
                </w:rPr>
                <m:t>∙</m:t>
              </m:r>
              <m:r>
                <w:rPr>
                  <w:rFonts w:ascii="Cambria Math" w:hAnsi="Times New Roman"/>
                  <w:lang w:val="en-US"/>
                </w:rPr>
                <m:t>1</m:t>
              </m:r>
              <m:r>
                <w:rPr>
                  <w:rFonts w:ascii="Cambria Math" w:hAnsi="Times New Roman"/>
                  <w:lang w:val="en-US"/>
                </w:rPr>
                <m:t> </m:t>
              </m:r>
              <m:r>
                <w:rPr>
                  <w:rFonts w:ascii="Cambria Math" w:hAnsi="Times New Roman"/>
                  <w:lang w:val="en-US"/>
                </w:rPr>
                <m:t>000</m:t>
              </m:r>
              <m:r>
                <w:rPr>
                  <w:rFonts w:ascii="Cambria Math" w:hAnsi="Times New Roman"/>
                  <w:lang w:val="en-US"/>
                </w:rPr>
                <m:t> </m:t>
              </m:r>
              <m:r>
                <w:rPr>
                  <w:rFonts w:ascii="Cambria Math" w:hAnsi="Times New Roman"/>
                  <w:lang w:val="en-US"/>
                </w:rPr>
                <m:t>000</m:t>
              </m:r>
            </m:den>
          </m:f>
          <m:r>
            <w:rPr>
              <w:rFonts w:ascii="Cambria Math" w:hAnsi="Times New Roman"/>
              <w:lang w:val="en-US"/>
            </w:rPr>
            <m:t xml:space="preserve"> ,</m:t>
          </m:r>
        </m:oMath>
      </m:oMathPara>
    </w:p>
    <w:p w:rsidR="001521EC" w:rsidRPr="004555D7" w:rsidRDefault="001521EC">
      <w:pPr>
        <w:pStyle w:val="a5"/>
        <w:tabs>
          <w:tab w:val="left" w:pos="5529"/>
        </w:tabs>
        <w:ind w:left="851" w:hanging="851"/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1101"/>
        <w:gridCol w:w="283"/>
        <w:gridCol w:w="8186"/>
      </w:tblGrid>
      <w:tr w:rsidR="001521EC" w:rsidRPr="004555D7">
        <w:tc>
          <w:tcPr>
            <w:tcW w:w="1101" w:type="dxa"/>
          </w:tcPr>
          <w:p w:rsidR="001521EC" w:rsidRPr="004555D7" w:rsidRDefault="001521EC">
            <w:pPr>
              <w:pStyle w:val="a5"/>
              <w:tabs>
                <w:tab w:val="left" w:pos="567"/>
                <w:tab w:val="left" w:pos="5529"/>
              </w:tabs>
              <w:rPr>
                <w:rFonts w:ascii="Times New Roman" w:hAnsi="Times New Roman"/>
                <w:spacing w:val="0"/>
              </w:rPr>
            </w:pPr>
            <w:r w:rsidRPr="004555D7">
              <w:rPr>
                <w:rFonts w:ascii="Times New Roman" w:hAnsi="Times New Roman"/>
                <w:spacing w:val="0"/>
              </w:rPr>
              <w:t xml:space="preserve">где </w:t>
            </w:r>
            <w:r w:rsidRPr="004555D7">
              <w:rPr>
                <w:rFonts w:ascii="Times New Roman" w:hAnsi="Times New Roman"/>
                <w:spacing w:val="0"/>
              </w:rPr>
              <w:tab/>
              <w:t>С</w:t>
            </w:r>
          </w:p>
        </w:tc>
        <w:tc>
          <w:tcPr>
            <w:tcW w:w="283" w:type="dxa"/>
          </w:tcPr>
          <w:p w:rsidR="001521EC" w:rsidRPr="004555D7" w:rsidRDefault="001521EC">
            <w:pPr>
              <w:pStyle w:val="a5"/>
              <w:tabs>
                <w:tab w:val="left" w:pos="567"/>
                <w:tab w:val="left" w:pos="5529"/>
              </w:tabs>
              <w:rPr>
                <w:rFonts w:ascii="Times New Roman" w:hAnsi="Times New Roman"/>
                <w:spacing w:val="0"/>
              </w:rPr>
            </w:pPr>
            <w:r w:rsidRPr="004555D7">
              <w:rPr>
                <w:rFonts w:ascii="Times New Roman" w:hAnsi="Times New Roman"/>
                <w:spacing w:val="0"/>
              </w:rPr>
              <w:t>-</w:t>
            </w:r>
          </w:p>
        </w:tc>
        <w:tc>
          <w:tcPr>
            <w:tcW w:w="8186" w:type="dxa"/>
          </w:tcPr>
          <w:p w:rsidR="001521EC" w:rsidRPr="004555D7" w:rsidRDefault="001521EC" w:rsidP="00100934">
            <w:pPr>
              <w:pStyle w:val="a5"/>
              <w:tabs>
                <w:tab w:val="left" w:pos="567"/>
                <w:tab w:val="left" w:pos="5529"/>
              </w:tabs>
              <w:rPr>
                <w:rFonts w:ascii="Times New Roman" w:hAnsi="Times New Roman"/>
                <w:spacing w:val="0"/>
              </w:rPr>
            </w:pPr>
            <w:r w:rsidRPr="004555D7">
              <w:rPr>
                <w:rFonts w:ascii="Times New Roman" w:hAnsi="Times New Roman"/>
                <w:spacing w:val="0"/>
              </w:rPr>
              <w:t>концентрация железа в испытуемом растворе, определенная по калибровочному графику, мкг/мл;</w:t>
            </w:r>
          </w:p>
        </w:tc>
      </w:tr>
      <w:tr w:rsidR="001521EC" w:rsidRPr="004555D7">
        <w:tc>
          <w:tcPr>
            <w:tcW w:w="1101" w:type="dxa"/>
          </w:tcPr>
          <w:p w:rsidR="001521EC" w:rsidRPr="004555D7" w:rsidRDefault="001521EC">
            <w:pPr>
              <w:pStyle w:val="a5"/>
              <w:tabs>
                <w:tab w:val="left" w:pos="567"/>
                <w:tab w:val="left" w:pos="5529"/>
              </w:tabs>
              <w:spacing w:before="120"/>
              <w:jc w:val="right"/>
              <w:rPr>
                <w:rFonts w:ascii="Times New Roman" w:hAnsi="Times New Roman"/>
                <w:spacing w:val="0"/>
              </w:rPr>
            </w:pPr>
            <w:r w:rsidRPr="004555D7">
              <w:rPr>
                <w:rFonts w:ascii="Times New Roman" w:hAnsi="Times New Roman"/>
                <w:spacing w:val="0"/>
              </w:rPr>
              <w:t>а</w:t>
            </w:r>
          </w:p>
        </w:tc>
        <w:tc>
          <w:tcPr>
            <w:tcW w:w="283" w:type="dxa"/>
          </w:tcPr>
          <w:p w:rsidR="001521EC" w:rsidRPr="004555D7" w:rsidRDefault="001521EC">
            <w:pPr>
              <w:pStyle w:val="a5"/>
              <w:tabs>
                <w:tab w:val="left" w:pos="567"/>
                <w:tab w:val="left" w:pos="5529"/>
              </w:tabs>
              <w:spacing w:before="120"/>
              <w:rPr>
                <w:rFonts w:ascii="Times New Roman" w:hAnsi="Times New Roman"/>
                <w:spacing w:val="0"/>
              </w:rPr>
            </w:pPr>
            <w:r w:rsidRPr="004555D7">
              <w:rPr>
                <w:rFonts w:ascii="Times New Roman" w:hAnsi="Times New Roman"/>
                <w:spacing w:val="0"/>
              </w:rPr>
              <w:t>-</w:t>
            </w:r>
          </w:p>
        </w:tc>
        <w:tc>
          <w:tcPr>
            <w:tcW w:w="8186" w:type="dxa"/>
          </w:tcPr>
          <w:p w:rsidR="001521EC" w:rsidRPr="004555D7" w:rsidRDefault="001521EC" w:rsidP="00100934">
            <w:pPr>
              <w:pStyle w:val="a5"/>
              <w:tabs>
                <w:tab w:val="left" w:pos="567"/>
                <w:tab w:val="left" w:pos="5529"/>
              </w:tabs>
              <w:spacing w:before="120"/>
              <w:rPr>
                <w:rFonts w:ascii="Times New Roman" w:hAnsi="Times New Roman"/>
                <w:spacing w:val="0"/>
              </w:rPr>
            </w:pPr>
            <w:r w:rsidRPr="004555D7">
              <w:rPr>
                <w:rFonts w:ascii="Times New Roman" w:hAnsi="Times New Roman"/>
                <w:spacing w:val="0"/>
              </w:rPr>
              <w:t xml:space="preserve">навеска </w:t>
            </w:r>
            <w:r w:rsidR="00134A37" w:rsidRPr="004555D7">
              <w:rPr>
                <w:rFonts w:ascii="Times New Roman" w:hAnsi="Times New Roman"/>
                <w:spacing w:val="0"/>
              </w:rPr>
              <w:t>субстанции</w:t>
            </w:r>
            <w:r w:rsidR="00BD6E42">
              <w:rPr>
                <w:rFonts w:ascii="Times New Roman" w:hAnsi="Times New Roman"/>
                <w:spacing w:val="0"/>
              </w:rPr>
              <w:t>, г</w:t>
            </w:r>
            <w:r w:rsidRPr="004555D7">
              <w:rPr>
                <w:rFonts w:ascii="Times New Roman" w:hAnsi="Times New Roman"/>
                <w:spacing w:val="0"/>
              </w:rPr>
              <w:t>.</w:t>
            </w:r>
          </w:p>
        </w:tc>
      </w:tr>
    </w:tbl>
    <w:p w:rsidR="001521EC" w:rsidRPr="004555D7" w:rsidRDefault="001521EC" w:rsidP="00100934">
      <w:pPr>
        <w:spacing w:before="240" w:line="360" w:lineRule="auto"/>
        <w:ind w:firstLine="720"/>
        <w:jc w:val="both"/>
        <w:rPr>
          <w:sz w:val="28"/>
        </w:rPr>
      </w:pPr>
      <w:r w:rsidRPr="004555D7">
        <w:rPr>
          <w:b/>
          <w:sz w:val="28"/>
        </w:rPr>
        <w:t>Сульфатная зола</w:t>
      </w:r>
      <w:r w:rsidRPr="004555D7">
        <w:rPr>
          <w:sz w:val="28"/>
        </w:rPr>
        <w:t xml:space="preserve">. </w:t>
      </w:r>
      <w:r w:rsidR="00163FD1" w:rsidRPr="00163FD1">
        <w:rPr>
          <w:sz w:val="28"/>
        </w:rPr>
        <w:t xml:space="preserve">Не более </w:t>
      </w:r>
      <w:r w:rsidR="00163FD1" w:rsidRPr="004555D7">
        <w:rPr>
          <w:sz w:val="28"/>
        </w:rPr>
        <w:t>0,1 %</w:t>
      </w:r>
      <w:r w:rsidR="00163FD1" w:rsidRPr="00163FD1">
        <w:rPr>
          <w:sz w:val="28"/>
        </w:rPr>
        <w:t xml:space="preserve"> (ОФС «Сульфатная зола»). Для определения используют около </w:t>
      </w:r>
      <w:r w:rsidR="00163FD1">
        <w:rPr>
          <w:sz w:val="28"/>
        </w:rPr>
        <w:t>1</w:t>
      </w:r>
      <w:r w:rsidR="00163FD1" w:rsidRPr="00163FD1">
        <w:rPr>
          <w:sz w:val="28"/>
        </w:rPr>
        <w:t xml:space="preserve"> г (точная навеска) субстанции.</w:t>
      </w:r>
    </w:p>
    <w:p w:rsidR="005C3FE4" w:rsidRPr="005C3FE4" w:rsidRDefault="005C3FE4" w:rsidP="005C3FE4">
      <w:pPr>
        <w:spacing w:line="360" w:lineRule="auto"/>
        <w:ind w:firstLine="720"/>
        <w:jc w:val="both"/>
        <w:rPr>
          <w:b/>
          <w:sz w:val="28"/>
        </w:rPr>
      </w:pPr>
      <w:r w:rsidRPr="005C3FE4">
        <w:rPr>
          <w:b/>
          <w:sz w:val="28"/>
        </w:rPr>
        <w:t>Тяжёлые металлы</w:t>
      </w:r>
      <w:r>
        <w:rPr>
          <w:b/>
          <w:sz w:val="28"/>
        </w:rPr>
        <w:t xml:space="preserve">. </w:t>
      </w:r>
      <w:r w:rsidRPr="009A48F8">
        <w:rPr>
          <w:sz w:val="28"/>
          <w:szCs w:val="28"/>
        </w:rPr>
        <w:t>Не более 0,001 %. Определение проводят в соответствии с требованиями ОФС «Тяжёлые металлы»</w:t>
      </w:r>
      <w:r w:rsidR="00BA3578">
        <w:rPr>
          <w:sz w:val="28"/>
          <w:szCs w:val="28"/>
        </w:rPr>
        <w:t>, метод 2,</w:t>
      </w:r>
      <w:r w:rsidRPr="009A48F8">
        <w:rPr>
          <w:sz w:val="28"/>
          <w:szCs w:val="28"/>
        </w:rPr>
        <w:t xml:space="preserve"> в зольном остатке, полученном после сжигания 1,0 г субстанции (ОФС «Сульфатная зола</w:t>
      </w:r>
      <w:r w:rsidRPr="00351D9B">
        <w:rPr>
          <w:sz w:val="28"/>
          <w:szCs w:val="28"/>
        </w:rPr>
        <w:t>») с использованием эталонного раствора 1.</w:t>
      </w:r>
      <w:r w:rsidRPr="009A48F8">
        <w:rPr>
          <w:b/>
          <w:szCs w:val="28"/>
        </w:rPr>
        <w:t xml:space="preserve"> </w:t>
      </w:r>
    </w:p>
    <w:p w:rsidR="001521EC" w:rsidRPr="005C3FE4" w:rsidRDefault="001521EC" w:rsidP="005C3FE4">
      <w:pPr>
        <w:spacing w:line="360" w:lineRule="auto"/>
        <w:ind w:firstLine="720"/>
        <w:jc w:val="both"/>
        <w:rPr>
          <w:b/>
          <w:sz w:val="28"/>
        </w:rPr>
      </w:pPr>
      <w:r w:rsidRPr="004555D7">
        <w:rPr>
          <w:b/>
          <w:sz w:val="28"/>
        </w:rPr>
        <w:t xml:space="preserve">Остаточные органические растворители. </w:t>
      </w:r>
      <w:r w:rsidRPr="004555D7">
        <w:rPr>
          <w:sz w:val="28"/>
        </w:rPr>
        <w:t>В</w:t>
      </w:r>
      <w:r w:rsidRPr="004555D7">
        <w:rPr>
          <w:b/>
          <w:sz w:val="28"/>
        </w:rPr>
        <w:t xml:space="preserve"> </w:t>
      </w:r>
      <w:r w:rsidRPr="004555D7">
        <w:rPr>
          <w:sz w:val="28"/>
        </w:rPr>
        <w:t xml:space="preserve">соответствии </w:t>
      </w:r>
      <w:r w:rsidRPr="00FC6B8E">
        <w:rPr>
          <w:sz w:val="28"/>
        </w:rPr>
        <w:t>с ОФС «Остаточные органические растворители».</w:t>
      </w:r>
    </w:p>
    <w:p w:rsidR="001521EC" w:rsidRPr="004555D7" w:rsidRDefault="00F3278C">
      <w:pPr>
        <w:pStyle w:val="ad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*</w:t>
      </w:r>
      <w:r w:rsidR="001521EC" w:rsidRPr="004555D7">
        <w:rPr>
          <w:rFonts w:ascii="Times New Roman" w:hAnsi="Times New Roman"/>
          <w:b/>
          <w:sz w:val="28"/>
        </w:rPr>
        <w:t>Бактериальные эндотоксины.</w:t>
      </w:r>
      <w:r w:rsidR="001521EC" w:rsidRPr="004555D7">
        <w:rPr>
          <w:rFonts w:ascii="Times New Roman" w:hAnsi="Times New Roman"/>
          <w:sz w:val="28"/>
        </w:rPr>
        <w:t xml:space="preserve"> Не более 1,2 ЕЭ на 1 мг </w:t>
      </w:r>
      <w:r w:rsidR="00957238" w:rsidRPr="00C920B6">
        <w:rPr>
          <w:rFonts w:ascii="Times New Roman" w:hAnsi="Times New Roman"/>
          <w:sz w:val="28"/>
        </w:rPr>
        <w:t>активного вещества субстанции (ОФС «Бактериальные эндотоксины»).</w:t>
      </w:r>
    </w:p>
    <w:p w:rsidR="001521EC" w:rsidRPr="003E6731" w:rsidRDefault="001521EC">
      <w:pPr>
        <w:pStyle w:val="ad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3E6731">
        <w:rPr>
          <w:rFonts w:ascii="Times New Roman" w:hAnsi="Times New Roman"/>
          <w:sz w:val="28"/>
        </w:rPr>
        <w:t xml:space="preserve">Для проведения испытания готовят исходный раствор </w:t>
      </w:r>
      <w:r w:rsidR="00134A37" w:rsidRPr="003E6731">
        <w:rPr>
          <w:rFonts w:ascii="Times New Roman" w:hAnsi="Times New Roman"/>
          <w:sz w:val="28"/>
        </w:rPr>
        <w:t>субстанции</w:t>
      </w:r>
      <w:r w:rsidRPr="003E6731">
        <w:rPr>
          <w:rFonts w:ascii="Times New Roman" w:hAnsi="Times New Roman"/>
          <w:sz w:val="28"/>
        </w:rPr>
        <w:t xml:space="preserve"> (концентрация 50 мг/мл), </w:t>
      </w:r>
      <w:r w:rsidR="003E6731" w:rsidRPr="003E6731">
        <w:rPr>
          <w:rFonts w:ascii="Times New Roman" w:hAnsi="Times New Roman"/>
          <w:sz w:val="28"/>
          <w:szCs w:val="28"/>
        </w:rPr>
        <w:t xml:space="preserve">который затем разбавляют </w:t>
      </w:r>
      <w:r w:rsidRPr="003E6731">
        <w:rPr>
          <w:rFonts w:ascii="Times New Roman" w:hAnsi="Times New Roman"/>
          <w:sz w:val="28"/>
        </w:rPr>
        <w:t>не менее чем в 100 раз.</w:t>
      </w:r>
    </w:p>
    <w:p w:rsidR="00DF3BF1" w:rsidRPr="00FC6B8E" w:rsidRDefault="00DF3BF1" w:rsidP="00DF3BF1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C6B8E">
        <w:rPr>
          <w:rFonts w:ascii="Times New Roman" w:hAnsi="Times New Roman"/>
          <w:b/>
          <w:sz w:val="28"/>
        </w:rPr>
        <w:t>Микробиологическая чистота</w:t>
      </w:r>
      <w:r w:rsidRPr="00FC6B8E">
        <w:rPr>
          <w:rFonts w:ascii="Times New Roman" w:hAnsi="Times New Roman"/>
          <w:sz w:val="28"/>
        </w:rPr>
        <w:t>.</w:t>
      </w:r>
      <w:r w:rsidRPr="00FC6B8E">
        <w:rPr>
          <w:rFonts w:ascii="Times New Roman" w:hAnsi="Times New Roman"/>
          <w:b/>
          <w:sz w:val="28"/>
        </w:rPr>
        <w:t xml:space="preserve"> </w:t>
      </w:r>
      <w:r w:rsidRPr="00FC6B8E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1521EC" w:rsidRPr="004555D7" w:rsidRDefault="001521EC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FC6B8E">
        <w:rPr>
          <w:b/>
          <w:sz w:val="28"/>
        </w:rPr>
        <w:t>Количественное определение.</w:t>
      </w:r>
      <w:r w:rsidRPr="00FC6B8E">
        <w:rPr>
          <w:sz w:val="28"/>
        </w:rPr>
        <w:t xml:space="preserve"> Около 0,1</w:t>
      </w:r>
      <w:r w:rsidRPr="004555D7">
        <w:rPr>
          <w:sz w:val="28"/>
        </w:rPr>
        <w:t xml:space="preserve"> г (точная навеска) </w:t>
      </w:r>
      <w:r w:rsidR="00134A37" w:rsidRPr="004555D7">
        <w:rPr>
          <w:sz w:val="28"/>
        </w:rPr>
        <w:t>субстанции</w:t>
      </w:r>
      <w:r w:rsidRPr="004555D7">
        <w:rPr>
          <w:sz w:val="28"/>
        </w:rPr>
        <w:t xml:space="preserve"> растворяют в 20 мл воды, прибавляют 0,5 мл 1 % раствора калия йодида, 1 мл 2 % раствора хлористоводородной кислоты и </w:t>
      </w:r>
      <w:r w:rsidRPr="00E0768F">
        <w:rPr>
          <w:sz w:val="28"/>
        </w:rPr>
        <w:t>титруют 0,0167 М</w:t>
      </w:r>
      <w:r w:rsidR="00A94650">
        <w:rPr>
          <w:sz w:val="28"/>
        </w:rPr>
        <w:t xml:space="preserve"> </w:t>
      </w:r>
      <w:r w:rsidRPr="00E0768F">
        <w:rPr>
          <w:sz w:val="28"/>
        </w:rPr>
        <w:t xml:space="preserve"> раствором калия йодата до появления стойкого слабо-синего окрашивания</w:t>
      </w:r>
      <w:r w:rsidRPr="004555D7">
        <w:rPr>
          <w:sz w:val="28"/>
        </w:rPr>
        <w:t xml:space="preserve"> (индикатор - раствор крахмала</w:t>
      </w:r>
      <w:r w:rsidR="00F3278C">
        <w:rPr>
          <w:sz w:val="28"/>
        </w:rPr>
        <w:t xml:space="preserve"> 1 %</w:t>
      </w:r>
      <w:r w:rsidRPr="004555D7">
        <w:rPr>
          <w:sz w:val="28"/>
        </w:rPr>
        <w:t>).</w:t>
      </w:r>
    </w:p>
    <w:p w:rsidR="001521EC" w:rsidRPr="004555D7" w:rsidRDefault="001521EC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4555D7">
        <w:rPr>
          <w:sz w:val="28"/>
        </w:rPr>
        <w:t>Параллельно проводят контрольный опыт.</w:t>
      </w:r>
    </w:p>
    <w:p w:rsidR="001521EC" w:rsidRPr="004555D7" w:rsidRDefault="001521EC">
      <w:pPr>
        <w:tabs>
          <w:tab w:val="left" w:pos="9356"/>
        </w:tabs>
        <w:spacing w:line="360" w:lineRule="auto"/>
        <w:ind w:firstLine="720"/>
        <w:jc w:val="both"/>
        <w:rPr>
          <w:sz w:val="28"/>
        </w:rPr>
      </w:pPr>
      <w:r w:rsidRPr="004555D7">
        <w:rPr>
          <w:sz w:val="28"/>
        </w:rPr>
        <w:lastRenderedPageBreak/>
        <w:t>1 мл 0,0167 М</w:t>
      </w:r>
      <w:r w:rsidR="00A94650">
        <w:rPr>
          <w:sz w:val="28"/>
        </w:rPr>
        <w:t xml:space="preserve"> </w:t>
      </w:r>
      <w:r w:rsidRPr="004555D7">
        <w:rPr>
          <w:sz w:val="28"/>
        </w:rPr>
        <w:t xml:space="preserve">раствора калия йодата соответствует </w:t>
      </w:r>
      <w:r w:rsidR="008E443A" w:rsidRPr="00B55913">
        <w:rPr>
          <w:sz w:val="28"/>
        </w:rPr>
        <w:t>8,824</w:t>
      </w:r>
      <w:r w:rsidRPr="004555D7">
        <w:rPr>
          <w:sz w:val="28"/>
        </w:rPr>
        <w:t xml:space="preserve"> </w:t>
      </w:r>
      <w:r w:rsidR="00724FC1" w:rsidRPr="004555D7">
        <w:rPr>
          <w:sz w:val="28"/>
        </w:rPr>
        <w:t>м</w:t>
      </w:r>
      <w:r w:rsidRPr="004555D7">
        <w:rPr>
          <w:sz w:val="28"/>
        </w:rPr>
        <w:t xml:space="preserve">г </w:t>
      </w:r>
      <w:r w:rsidR="00B55913">
        <w:rPr>
          <w:sz w:val="28"/>
        </w:rPr>
        <w:t xml:space="preserve">аскорбиновой кислоты </w:t>
      </w:r>
      <w:r w:rsidR="000658BE" w:rsidRPr="004555D7">
        <w:rPr>
          <w:sz w:val="28"/>
          <w:lang w:val="en-US"/>
        </w:rPr>
        <w:t>C</w:t>
      </w:r>
      <w:r w:rsidR="000658BE" w:rsidRPr="000658BE">
        <w:rPr>
          <w:sz w:val="28"/>
          <w:vertAlign w:val="subscript"/>
        </w:rPr>
        <w:t>6</w:t>
      </w:r>
      <w:r w:rsidR="000658BE" w:rsidRPr="004555D7">
        <w:rPr>
          <w:sz w:val="28"/>
          <w:lang w:val="en-US"/>
        </w:rPr>
        <w:t>H</w:t>
      </w:r>
      <w:r w:rsidR="000658BE" w:rsidRPr="000658BE">
        <w:rPr>
          <w:sz w:val="28"/>
          <w:vertAlign w:val="subscript"/>
        </w:rPr>
        <w:t>8</w:t>
      </w:r>
      <w:r w:rsidR="000658BE" w:rsidRPr="004555D7">
        <w:rPr>
          <w:sz w:val="28"/>
          <w:lang w:val="en-US"/>
        </w:rPr>
        <w:t>O</w:t>
      </w:r>
      <w:r w:rsidR="000658BE" w:rsidRPr="000658BE">
        <w:rPr>
          <w:sz w:val="28"/>
          <w:vertAlign w:val="subscript"/>
        </w:rPr>
        <w:t>6</w:t>
      </w:r>
      <w:r w:rsidR="00BA7631" w:rsidRPr="00A703A0">
        <w:rPr>
          <w:sz w:val="28"/>
        </w:rPr>
        <w:t>.</w:t>
      </w:r>
    </w:p>
    <w:p w:rsidR="00C94330" w:rsidRDefault="001521EC" w:rsidP="003F6BFD">
      <w:pPr>
        <w:tabs>
          <w:tab w:val="left" w:pos="9356"/>
        </w:tabs>
        <w:spacing w:line="360" w:lineRule="auto"/>
        <w:ind w:right="284" w:firstLine="720"/>
        <w:jc w:val="both"/>
        <w:rPr>
          <w:sz w:val="28"/>
        </w:rPr>
      </w:pPr>
      <w:r w:rsidRPr="004555D7">
        <w:rPr>
          <w:b/>
          <w:sz w:val="28"/>
        </w:rPr>
        <w:t>Хранение.</w:t>
      </w:r>
      <w:r w:rsidRPr="004555D7">
        <w:rPr>
          <w:sz w:val="28"/>
        </w:rPr>
        <w:t xml:space="preserve"> В защищенном от света месте, в хорошо укупоренной неметаллической таре</w:t>
      </w:r>
      <w:r w:rsidR="00A703A0" w:rsidRPr="00A703A0">
        <w:t xml:space="preserve"> </w:t>
      </w:r>
      <w:r w:rsidR="00A703A0" w:rsidRPr="00A703A0">
        <w:rPr>
          <w:sz w:val="28"/>
        </w:rPr>
        <w:t>при</w:t>
      </w:r>
      <w:r w:rsidR="00A703A0">
        <w:rPr>
          <w:sz w:val="28"/>
        </w:rPr>
        <w:t xml:space="preserve"> температуре не выше </w:t>
      </w:r>
      <w:r w:rsidR="003F6BFD">
        <w:rPr>
          <w:sz w:val="28"/>
        </w:rPr>
        <w:t xml:space="preserve">25 </w:t>
      </w:r>
      <w:r w:rsidR="00A703A0">
        <w:rPr>
          <w:sz w:val="28"/>
        </w:rPr>
        <w:t>°</w:t>
      </w:r>
      <w:r w:rsidR="00A703A0" w:rsidRPr="00A703A0">
        <w:rPr>
          <w:sz w:val="28"/>
        </w:rPr>
        <w:t>С.</w:t>
      </w:r>
    </w:p>
    <w:p w:rsidR="00F3278C" w:rsidRDefault="00F3278C" w:rsidP="003F6BFD">
      <w:pPr>
        <w:tabs>
          <w:tab w:val="left" w:pos="9356"/>
        </w:tabs>
        <w:spacing w:line="360" w:lineRule="auto"/>
        <w:ind w:right="284" w:firstLine="720"/>
        <w:jc w:val="both"/>
        <w:rPr>
          <w:sz w:val="28"/>
        </w:rPr>
      </w:pPr>
    </w:p>
    <w:p w:rsidR="00F3278C" w:rsidRDefault="007227BC" w:rsidP="00CC3FFF">
      <w:pPr>
        <w:tabs>
          <w:tab w:val="left" w:pos="9356"/>
        </w:tabs>
        <w:ind w:right="284" w:firstLine="720"/>
        <w:jc w:val="both"/>
        <w:rPr>
          <w:sz w:val="28"/>
        </w:rPr>
      </w:pPr>
      <w:r w:rsidRPr="007227BC">
        <w:rPr>
          <w:sz w:val="28"/>
          <w:szCs w:val="28"/>
        </w:rPr>
        <w:t>*Контроль по показателю качества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  <w:r w:rsidR="00F3278C" w:rsidDel="00F3278C">
        <w:rPr>
          <w:sz w:val="28"/>
        </w:rPr>
        <w:t xml:space="preserve"> </w:t>
      </w:r>
    </w:p>
    <w:p w:rsidR="00D54446" w:rsidRDefault="008C0848">
      <w:pPr>
        <w:tabs>
          <w:tab w:val="left" w:pos="9356"/>
        </w:tabs>
        <w:spacing w:line="360" w:lineRule="auto"/>
        <w:ind w:right="284" w:firstLine="720"/>
        <w:jc w:val="both"/>
        <w:rPr>
          <w:sz w:val="28"/>
        </w:rPr>
      </w:pPr>
      <w:r>
        <w:rPr>
          <w:sz w:val="28"/>
        </w:rPr>
        <w:br w:type="page"/>
      </w:r>
    </w:p>
    <w:p w:rsidR="008C0848" w:rsidRDefault="008C0848" w:rsidP="003F6BFD">
      <w:pPr>
        <w:tabs>
          <w:tab w:val="left" w:pos="9356"/>
        </w:tabs>
        <w:spacing w:line="360" w:lineRule="auto"/>
        <w:ind w:right="284" w:firstLine="720"/>
        <w:jc w:val="both"/>
        <w:rPr>
          <w:sz w:val="28"/>
        </w:rPr>
      </w:pPr>
      <w:r>
        <w:rPr>
          <w:sz w:val="28"/>
        </w:rPr>
        <w:lastRenderedPageBreak/>
        <w:t>Приложение. ИК-спектр аскорбиновой кислоты</w:t>
      </w:r>
    </w:p>
    <w:p w:rsidR="008C0848" w:rsidRPr="00C94330" w:rsidRDefault="005A3B23" w:rsidP="008B29DD">
      <w:pPr>
        <w:tabs>
          <w:tab w:val="left" w:pos="9356"/>
        </w:tabs>
        <w:spacing w:line="360" w:lineRule="auto"/>
        <w:ind w:right="284"/>
        <w:jc w:val="both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60011" cy="7931766"/>
            <wp:effectExtent l="19050" t="0" r="0" b="0"/>
            <wp:docPr id="1" name="Рисунок 2" descr="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738" cy="793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848" w:rsidRPr="00C94330" w:rsidSect="00127464">
      <w:headerReference w:type="default" r:id="rId11"/>
      <w:footerReference w:type="default" r:id="rId12"/>
      <w:headerReference w:type="first" r:id="rId13"/>
      <w:pgSz w:w="11906" w:h="16838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65" w:rsidRDefault="00EA3365">
      <w:r>
        <w:separator/>
      </w:r>
    </w:p>
  </w:endnote>
  <w:endnote w:type="continuationSeparator" w:id="0">
    <w:p w:rsidR="00EA3365" w:rsidRDefault="00EA3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BE" w:rsidRDefault="00FA5F60">
    <w:pPr>
      <w:pStyle w:val="a7"/>
      <w:jc w:val="right"/>
    </w:pPr>
    <w:fldSimple w:instr=" PAGE   \* MERGEFORMAT ">
      <w:r w:rsidR="00CC3FFF">
        <w:rPr>
          <w:noProof/>
        </w:rPr>
        <w:t>6</w:t>
      </w:r>
    </w:fldSimple>
  </w:p>
  <w:p w:rsidR="000658BE" w:rsidRDefault="000658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65" w:rsidRDefault="00EA3365">
      <w:r>
        <w:separator/>
      </w:r>
    </w:p>
  </w:footnote>
  <w:footnote w:type="continuationSeparator" w:id="0">
    <w:p w:rsidR="00EA3365" w:rsidRDefault="00EA3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BE" w:rsidRDefault="000658BE">
    <w:pPr>
      <w:pStyle w:val="a3"/>
      <w:ind w:right="282"/>
      <w:jc w:val="right"/>
      <w:rPr>
        <w:sz w:val="28"/>
      </w:rPr>
    </w:pPr>
  </w:p>
  <w:p w:rsidR="000658BE" w:rsidRDefault="000658BE">
    <w:pPr>
      <w:pStyle w:val="a3"/>
      <w:jc w:val="right"/>
      <w:rPr>
        <w:sz w:val="28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DD" w:rsidRPr="008B29DD" w:rsidRDefault="00BA7631" w:rsidP="008B29DD">
    <w:pPr>
      <w:pStyle w:val="a3"/>
      <w:jc w:val="right"/>
      <w:rPr>
        <w:sz w:val="28"/>
        <w:szCs w:val="28"/>
      </w:rPr>
    </w:pPr>
    <w:r>
      <w:rPr>
        <w:sz w:val="28"/>
        <w:szCs w:val="28"/>
      </w:rPr>
      <w:t>22</w:t>
    </w:r>
    <w:r w:rsidR="008B29DD" w:rsidRPr="008B29DD">
      <w:rPr>
        <w:sz w:val="28"/>
        <w:szCs w:val="28"/>
      </w:rPr>
      <w:t>.0</w:t>
    </w:r>
    <w:r w:rsidR="00B55913">
      <w:rPr>
        <w:sz w:val="28"/>
        <w:szCs w:val="28"/>
      </w:rPr>
      <w:t>3</w:t>
    </w:r>
    <w:r w:rsidR="008B29DD" w:rsidRPr="008B29DD">
      <w:rPr>
        <w:sz w:val="28"/>
        <w:szCs w:val="28"/>
      </w:rPr>
      <w:t>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95C"/>
    <w:multiLevelType w:val="singleLevel"/>
    <w:tmpl w:val="13342F5A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0FF04A9"/>
    <w:multiLevelType w:val="singleLevel"/>
    <w:tmpl w:val="0BDEA84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4A63F7E"/>
    <w:multiLevelType w:val="singleLevel"/>
    <w:tmpl w:val="30C09C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2D1345"/>
    <w:multiLevelType w:val="singleLevel"/>
    <w:tmpl w:val="F746E17C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134A37"/>
    <w:rsid w:val="00047487"/>
    <w:rsid w:val="000541E5"/>
    <w:rsid w:val="00064BA1"/>
    <w:rsid w:val="000658BE"/>
    <w:rsid w:val="0008389B"/>
    <w:rsid w:val="00091CAB"/>
    <w:rsid w:val="0009373C"/>
    <w:rsid w:val="000948A2"/>
    <w:rsid w:val="000A6ED8"/>
    <w:rsid w:val="000D6119"/>
    <w:rsid w:val="000E27F6"/>
    <w:rsid w:val="000E6E8C"/>
    <w:rsid w:val="000F4D6D"/>
    <w:rsid w:val="0010001D"/>
    <w:rsid w:val="00100934"/>
    <w:rsid w:val="001017B7"/>
    <w:rsid w:val="001072D3"/>
    <w:rsid w:val="00123910"/>
    <w:rsid w:val="00127464"/>
    <w:rsid w:val="00133D4C"/>
    <w:rsid w:val="00134A37"/>
    <w:rsid w:val="001521EC"/>
    <w:rsid w:val="00157D57"/>
    <w:rsid w:val="001624FA"/>
    <w:rsid w:val="00163FD1"/>
    <w:rsid w:val="002165CF"/>
    <w:rsid w:val="0023743F"/>
    <w:rsid w:val="002742C9"/>
    <w:rsid w:val="00292BA5"/>
    <w:rsid w:val="002938E9"/>
    <w:rsid w:val="002A580E"/>
    <w:rsid w:val="00323643"/>
    <w:rsid w:val="00351D9B"/>
    <w:rsid w:val="003944C7"/>
    <w:rsid w:val="003B0D3A"/>
    <w:rsid w:val="003C1227"/>
    <w:rsid w:val="003D5C70"/>
    <w:rsid w:val="003E6731"/>
    <w:rsid w:val="003F6BFD"/>
    <w:rsid w:val="00405CB9"/>
    <w:rsid w:val="00412343"/>
    <w:rsid w:val="0043606A"/>
    <w:rsid w:val="004555D7"/>
    <w:rsid w:val="004A13E0"/>
    <w:rsid w:val="004C4BB8"/>
    <w:rsid w:val="004C5B95"/>
    <w:rsid w:val="004D50FC"/>
    <w:rsid w:val="004E0099"/>
    <w:rsid w:val="00503F0D"/>
    <w:rsid w:val="00566767"/>
    <w:rsid w:val="00572BFD"/>
    <w:rsid w:val="005A3B23"/>
    <w:rsid w:val="005C3FE4"/>
    <w:rsid w:val="005F5243"/>
    <w:rsid w:val="005F61B2"/>
    <w:rsid w:val="00611885"/>
    <w:rsid w:val="00615DB8"/>
    <w:rsid w:val="00656FE9"/>
    <w:rsid w:val="006807F6"/>
    <w:rsid w:val="00682F02"/>
    <w:rsid w:val="00693463"/>
    <w:rsid w:val="006D57C9"/>
    <w:rsid w:val="006F6379"/>
    <w:rsid w:val="007227BC"/>
    <w:rsid w:val="00724FC1"/>
    <w:rsid w:val="007545EF"/>
    <w:rsid w:val="007636D1"/>
    <w:rsid w:val="00775146"/>
    <w:rsid w:val="007A04C7"/>
    <w:rsid w:val="007C1D3E"/>
    <w:rsid w:val="007C2AAC"/>
    <w:rsid w:val="007D40D7"/>
    <w:rsid w:val="007E12CF"/>
    <w:rsid w:val="007E49BE"/>
    <w:rsid w:val="008116FE"/>
    <w:rsid w:val="00840332"/>
    <w:rsid w:val="0084145A"/>
    <w:rsid w:val="0086204F"/>
    <w:rsid w:val="00871238"/>
    <w:rsid w:val="00876699"/>
    <w:rsid w:val="008A4036"/>
    <w:rsid w:val="008B29DD"/>
    <w:rsid w:val="008B3CE9"/>
    <w:rsid w:val="008C0848"/>
    <w:rsid w:val="008E2532"/>
    <w:rsid w:val="008E359C"/>
    <w:rsid w:val="008E443A"/>
    <w:rsid w:val="008F46B4"/>
    <w:rsid w:val="00911802"/>
    <w:rsid w:val="009141E1"/>
    <w:rsid w:val="00923E8A"/>
    <w:rsid w:val="009267A2"/>
    <w:rsid w:val="009272D5"/>
    <w:rsid w:val="00940E35"/>
    <w:rsid w:val="00954AC3"/>
    <w:rsid w:val="00957238"/>
    <w:rsid w:val="009618DE"/>
    <w:rsid w:val="009B155C"/>
    <w:rsid w:val="009C29A5"/>
    <w:rsid w:val="009C6FEA"/>
    <w:rsid w:val="009E0220"/>
    <w:rsid w:val="009E3F73"/>
    <w:rsid w:val="00A07DA2"/>
    <w:rsid w:val="00A11EC7"/>
    <w:rsid w:val="00A27B7B"/>
    <w:rsid w:val="00A33F7F"/>
    <w:rsid w:val="00A507E8"/>
    <w:rsid w:val="00A632E9"/>
    <w:rsid w:val="00A703A0"/>
    <w:rsid w:val="00A81497"/>
    <w:rsid w:val="00A82239"/>
    <w:rsid w:val="00A94650"/>
    <w:rsid w:val="00A957E0"/>
    <w:rsid w:val="00AE367A"/>
    <w:rsid w:val="00AE4E83"/>
    <w:rsid w:val="00B27729"/>
    <w:rsid w:val="00B3169A"/>
    <w:rsid w:val="00B52D96"/>
    <w:rsid w:val="00B55913"/>
    <w:rsid w:val="00B62A2F"/>
    <w:rsid w:val="00B76F99"/>
    <w:rsid w:val="00B9100D"/>
    <w:rsid w:val="00BA3578"/>
    <w:rsid w:val="00BA7631"/>
    <w:rsid w:val="00BB3275"/>
    <w:rsid w:val="00BD0AF9"/>
    <w:rsid w:val="00BD0DF6"/>
    <w:rsid w:val="00BD3F1A"/>
    <w:rsid w:val="00BD6E42"/>
    <w:rsid w:val="00BE7D87"/>
    <w:rsid w:val="00BF019C"/>
    <w:rsid w:val="00C77F81"/>
    <w:rsid w:val="00C920B6"/>
    <w:rsid w:val="00C94330"/>
    <w:rsid w:val="00CA6F9F"/>
    <w:rsid w:val="00CB40C8"/>
    <w:rsid w:val="00CC3FFF"/>
    <w:rsid w:val="00CE21CF"/>
    <w:rsid w:val="00CF350E"/>
    <w:rsid w:val="00CF467E"/>
    <w:rsid w:val="00D04CD7"/>
    <w:rsid w:val="00D141D9"/>
    <w:rsid w:val="00D16EFF"/>
    <w:rsid w:val="00D45D0F"/>
    <w:rsid w:val="00D54446"/>
    <w:rsid w:val="00D56B55"/>
    <w:rsid w:val="00D66FF3"/>
    <w:rsid w:val="00D90566"/>
    <w:rsid w:val="00DB506A"/>
    <w:rsid w:val="00DF3BF1"/>
    <w:rsid w:val="00E0768F"/>
    <w:rsid w:val="00E4536B"/>
    <w:rsid w:val="00E6218A"/>
    <w:rsid w:val="00EA3365"/>
    <w:rsid w:val="00EB6556"/>
    <w:rsid w:val="00F07718"/>
    <w:rsid w:val="00F17F3B"/>
    <w:rsid w:val="00F24DCC"/>
    <w:rsid w:val="00F3278C"/>
    <w:rsid w:val="00F40F45"/>
    <w:rsid w:val="00F55720"/>
    <w:rsid w:val="00F84569"/>
    <w:rsid w:val="00FA5F60"/>
    <w:rsid w:val="00FB317F"/>
    <w:rsid w:val="00FB5BC5"/>
    <w:rsid w:val="00FC6B8E"/>
    <w:rsid w:val="00FF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E8C"/>
    <w:rPr>
      <w:sz w:val="24"/>
    </w:rPr>
  </w:style>
  <w:style w:type="paragraph" w:styleId="1">
    <w:name w:val="heading 1"/>
    <w:basedOn w:val="a"/>
    <w:next w:val="a"/>
    <w:qFormat/>
    <w:rsid w:val="000E6E8C"/>
    <w:pPr>
      <w:keepNext/>
      <w:widowControl w:val="0"/>
      <w:ind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E6E8C"/>
    <w:pPr>
      <w:keepNext/>
      <w:widowControl w:val="0"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0E6E8C"/>
    <w:pPr>
      <w:keepNext/>
      <w:widowControl w:val="0"/>
      <w:spacing w:line="400" w:lineRule="exact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0E6E8C"/>
    <w:pPr>
      <w:keepNext/>
      <w:widowControl w:val="0"/>
      <w:spacing w:line="400" w:lineRule="exact"/>
      <w:ind w:right="255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0E6E8C"/>
    <w:pPr>
      <w:keepNext/>
      <w:spacing w:line="480" w:lineRule="auto"/>
      <w:jc w:val="right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0E6E8C"/>
    <w:pPr>
      <w:keepNext/>
      <w:jc w:val="both"/>
      <w:outlineLvl w:val="5"/>
    </w:pPr>
    <w:rPr>
      <w:rFonts w:ascii="Courier New" w:hAnsi="Courier New"/>
      <w:spacing w:val="-6"/>
      <w:sz w:val="28"/>
      <w:u w:val="single"/>
    </w:rPr>
  </w:style>
  <w:style w:type="paragraph" w:styleId="7">
    <w:name w:val="heading 7"/>
    <w:basedOn w:val="a"/>
    <w:next w:val="a"/>
    <w:qFormat/>
    <w:rsid w:val="000E6E8C"/>
    <w:pPr>
      <w:keepNext/>
      <w:jc w:val="right"/>
      <w:outlineLvl w:val="6"/>
    </w:pPr>
    <w:rPr>
      <w:rFonts w:ascii="Courier New" w:hAnsi="Courier New"/>
      <w:spacing w:val="-6"/>
      <w:sz w:val="28"/>
      <w:u w:val="single"/>
    </w:rPr>
  </w:style>
  <w:style w:type="paragraph" w:styleId="8">
    <w:name w:val="heading 8"/>
    <w:basedOn w:val="a"/>
    <w:next w:val="a"/>
    <w:qFormat/>
    <w:rsid w:val="000E6E8C"/>
    <w:pPr>
      <w:keepNext/>
      <w:jc w:val="center"/>
      <w:outlineLvl w:val="7"/>
    </w:pPr>
    <w:rPr>
      <w:rFonts w:ascii="Courier New" w:hAnsi="Courier New"/>
      <w:spacing w:val="-6"/>
      <w:sz w:val="28"/>
      <w:u w:val="single"/>
    </w:rPr>
  </w:style>
  <w:style w:type="paragraph" w:styleId="9">
    <w:name w:val="heading 9"/>
    <w:basedOn w:val="a"/>
    <w:next w:val="a"/>
    <w:qFormat/>
    <w:rsid w:val="000E6E8C"/>
    <w:pPr>
      <w:keepNext/>
      <w:jc w:val="both"/>
      <w:outlineLvl w:val="8"/>
    </w:pPr>
    <w:rPr>
      <w:rFonts w:ascii="Courier New" w:hAnsi="Courier New"/>
      <w:spacing w:val="-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6E8C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4">
    <w:name w:val="Body Text Indent"/>
    <w:basedOn w:val="a"/>
    <w:rsid w:val="000E6E8C"/>
    <w:pPr>
      <w:spacing w:line="48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0E6E8C"/>
    <w:pPr>
      <w:spacing w:line="480" w:lineRule="auto"/>
      <w:ind w:firstLine="720"/>
    </w:pPr>
    <w:rPr>
      <w:sz w:val="28"/>
    </w:rPr>
  </w:style>
  <w:style w:type="paragraph" w:styleId="a5">
    <w:name w:val="Body Text"/>
    <w:basedOn w:val="a"/>
    <w:rsid w:val="000E6E8C"/>
    <w:pPr>
      <w:jc w:val="both"/>
    </w:pPr>
    <w:rPr>
      <w:rFonts w:ascii="Courier New" w:hAnsi="Courier New"/>
      <w:spacing w:val="-6"/>
      <w:sz w:val="28"/>
    </w:rPr>
  </w:style>
  <w:style w:type="paragraph" w:styleId="30">
    <w:name w:val="Body Text Indent 3"/>
    <w:basedOn w:val="a"/>
    <w:rsid w:val="000E6E8C"/>
    <w:pPr>
      <w:spacing w:line="360" w:lineRule="auto"/>
      <w:ind w:left="2880"/>
    </w:pPr>
    <w:rPr>
      <w:sz w:val="28"/>
    </w:rPr>
  </w:style>
  <w:style w:type="paragraph" w:styleId="a6">
    <w:name w:val="caption"/>
    <w:basedOn w:val="a"/>
    <w:qFormat/>
    <w:rsid w:val="000E6E8C"/>
    <w:pPr>
      <w:jc w:val="center"/>
    </w:pPr>
    <w:rPr>
      <w:b/>
      <w:sz w:val="20"/>
    </w:rPr>
  </w:style>
  <w:style w:type="paragraph" w:styleId="31">
    <w:name w:val="Body Text 3"/>
    <w:basedOn w:val="a"/>
    <w:rsid w:val="000E6E8C"/>
    <w:pPr>
      <w:jc w:val="both"/>
    </w:pPr>
  </w:style>
  <w:style w:type="paragraph" w:styleId="a7">
    <w:name w:val="footer"/>
    <w:basedOn w:val="a"/>
    <w:link w:val="a8"/>
    <w:uiPriority w:val="99"/>
    <w:rsid w:val="000E6E8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E6E8C"/>
  </w:style>
  <w:style w:type="paragraph" w:styleId="aa">
    <w:name w:val="Block Text"/>
    <w:basedOn w:val="a"/>
    <w:rsid w:val="000E6E8C"/>
    <w:pPr>
      <w:spacing w:line="360" w:lineRule="auto"/>
      <w:ind w:left="4253" w:right="282"/>
      <w:jc w:val="both"/>
    </w:pPr>
    <w:rPr>
      <w:sz w:val="28"/>
    </w:rPr>
  </w:style>
  <w:style w:type="paragraph" w:styleId="ab">
    <w:name w:val="Subtitle"/>
    <w:basedOn w:val="a"/>
    <w:qFormat/>
    <w:rsid w:val="000E6E8C"/>
    <w:pPr>
      <w:jc w:val="center"/>
    </w:pPr>
    <w:rPr>
      <w:b/>
      <w:sz w:val="28"/>
    </w:rPr>
  </w:style>
  <w:style w:type="character" w:customStyle="1" w:styleId="b1">
    <w:name w:val="b1"/>
    <w:rsid w:val="000E6E8C"/>
    <w:rPr>
      <w:b/>
    </w:rPr>
  </w:style>
  <w:style w:type="character" w:customStyle="1" w:styleId="s1">
    <w:name w:val="s1"/>
    <w:rsid w:val="000E6E8C"/>
    <w:rPr>
      <w:rFonts w:ascii="Arial" w:hAnsi="Arial"/>
    </w:rPr>
  </w:style>
  <w:style w:type="character" w:styleId="ac">
    <w:name w:val="Hyperlink"/>
    <w:rsid w:val="000E6E8C"/>
    <w:rPr>
      <w:color w:val="0000FF"/>
      <w:u w:val="single"/>
    </w:rPr>
  </w:style>
  <w:style w:type="character" w:customStyle="1" w:styleId="f101">
    <w:name w:val="f101"/>
    <w:rsid w:val="000E6E8C"/>
    <w:rPr>
      <w:sz w:val="20"/>
    </w:rPr>
  </w:style>
  <w:style w:type="paragraph" w:customStyle="1" w:styleId="10">
    <w:name w:val="Основной текст1"/>
    <w:basedOn w:val="a"/>
    <w:rsid w:val="000E6E8C"/>
    <w:pPr>
      <w:spacing w:after="120"/>
    </w:pPr>
    <w:rPr>
      <w:rFonts w:ascii="NTHarmonica" w:hAnsi="NTHarmonica"/>
    </w:rPr>
  </w:style>
  <w:style w:type="paragraph" w:styleId="ad">
    <w:name w:val="Plain Text"/>
    <w:basedOn w:val="a"/>
    <w:rsid w:val="000E6E8C"/>
    <w:rPr>
      <w:rFonts w:ascii="Courier New" w:hAnsi="Courier New"/>
      <w:sz w:val="20"/>
    </w:rPr>
  </w:style>
  <w:style w:type="paragraph" w:customStyle="1" w:styleId="11">
    <w:name w:val="Обычный1"/>
    <w:rsid w:val="000E6E8C"/>
    <w:pPr>
      <w:outlineLvl w:val="0"/>
    </w:pPr>
    <w:rPr>
      <w:rFonts w:ascii="Arial" w:hAnsi="Arial"/>
      <w:snapToGrid w:val="0"/>
      <w:sz w:val="22"/>
      <w:lang w:val="en-GB"/>
    </w:rPr>
  </w:style>
  <w:style w:type="character" w:styleId="ae">
    <w:name w:val="FollowedHyperlink"/>
    <w:rsid w:val="000E6E8C"/>
    <w:rPr>
      <w:color w:val="800080"/>
      <w:u w:val="single"/>
    </w:rPr>
  </w:style>
  <w:style w:type="paragraph" w:styleId="21">
    <w:name w:val="Body Text 2"/>
    <w:basedOn w:val="a"/>
    <w:rsid w:val="000E6E8C"/>
    <w:pPr>
      <w:tabs>
        <w:tab w:val="left" w:pos="9356"/>
      </w:tabs>
      <w:ind w:right="284"/>
      <w:jc w:val="both"/>
    </w:pPr>
    <w:rPr>
      <w:sz w:val="28"/>
    </w:rPr>
  </w:style>
  <w:style w:type="paragraph" w:styleId="af">
    <w:name w:val="Title"/>
    <w:basedOn w:val="a"/>
    <w:qFormat/>
    <w:rsid w:val="00127464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157D57"/>
    <w:rPr>
      <w:sz w:val="24"/>
    </w:rPr>
  </w:style>
  <w:style w:type="paragraph" w:styleId="af0">
    <w:name w:val="Balloon Text"/>
    <w:basedOn w:val="a"/>
    <w:link w:val="af1"/>
    <w:rsid w:val="006807F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807F6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rsid w:val="00CE21CF"/>
    <w:rPr>
      <w:sz w:val="16"/>
      <w:szCs w:val="16"/>
    </w:rPr>
  </w:style>
  <w:style w:type="paragraph" w:styleId="af3">
    <w:name w:val="annotation text"/>
    <w:basedOn w:val="a"/>
    <w:link w:val="af4"/>
    <w:rsid w:val="00CE21CF"/>
    <w:rPr>
      <w:sz w:val="20"/>
    </w:rPr>
  </w:style>
  <w:style w:type="character" w:customStyle="1" w:styleId="af4">
    <w:name w:val="Текст примечания Знак"/>
    <w:basedOn w:val="a0"/>
    <w:link w:val="af3"/>
    <w:rsid w:val="00CE21CF"/>
  </w:style>
  <w:style w:type="paragraph" w:styleId="af5">
    <w:name w:val="annotation subject"/>
    <w:basedOn w:val="af3"/>
    <w:next w:val="af3"/>
    <w:link w:val="af6"/>
    <w:rsid w:val="00CE21CF"/>
    <w:rPr>
      <w:b/>
      <w:bCs/>
    </w:rPr>
  </w:style>
  <w:style w:type="character" w:customStyle="1" w:styleId="af6">
    <w:name w:val="Тема примечания Знак"/>
    <w:basedOn w:val="af4"/>
    <w:link w:val="af5"/>
    <w:rsid w:val="00CE21CF"/>
    <w:rPr>
      <w:b/>
      <w:bCs/>
    </w:rPr>
  </w:style>
  <w:style w:type="character" w:styleId="af7">
    <w:name w:val="Placeholder Text"/>
    <w:basedOn w:val="a0"/>
    <w:uiPriority w:val="99"/>
    <w:semiHidden/>
    <w:rsid w:val="00F24DC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2861-E561-4841-BAD1-5401AE0E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Unknown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Е</dc:creator>
  <cp:lastModifiedBy>Barmin</cp:lastModifiedBy>
  <cp:revision>5</cp:revision>
  <cp:lastPrinted>2014-12-02T12:01:00Z</cp:lastPrinted>
  <dcterms:created xsi:type="dcterms:W3CDTF">2016-03-09T13:58:00Z</dcterms:created>
  <dcterms:modified xsi:type="dcterms:W3CDTF">2016-03-23T06:52:00Z</dcterms:modified>
</cp:coreProperties>
</file>