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0E" w:rsidRPr="0037220E" w:rsidRDefault="0037220E" w:rsidP="00E90488">
      <w:pPr>
        <w:spacing w:line="360" w:lineRule="auto"/>
        <w:jc w:val="center"/>
        <w:rPr>
          <w:b/>
          <w:spacing w:val="-10"/>
          <w:sz w:val="28"/>
          <w:szCs w:val="28"/>
        </w:rPr>
      </w:pPr>
      <w:r w:rsidRPr="0037220E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37220E" w:rsidRPr="00D101A9" w:rsidRDefault="0037220E" w:rsidP="00E90488">
      <w:pPr>
        <w:tabs>
          <w:tab w:val="left" w:pos="3828"/>
        </w:tabs>
        <w:spacing w:line="360" w:lineRule="auto"/>
        <w:jc w:val="center"/>
        <w:rPr>
          <w:b/>
          <w:spacing w:val="-4"/>
          <w:sz w:val="28"/>
          <w:szCs w:val="28"/>
        </w:rPr>
      </w:pPr>
    </w:p>
    <w:p w:rsidR="0037220E" w:rsidRPr="00D101A9" w:rsidRDefault="0037220E" w:rsidP="00E90488">
      <w:pPr>
        <w:tabs>
          <w:tab w:val="left" w:pos="3828"/>
        </w:tabs>
        <w:spacing w:line="360" w:lineRule="auto"/>
        <w:jc w:val="center"/>
        <w:rPr>
          <w:b/>
          <w:spacing w:val="-4"/>
          <w:sz w:val="28"/>
          <w:szCs w:val="28"/>
        </w:rPr>
      </w:pPr>
    </w:p>
    <w:p w:rsidR="0037220E" w:rsidRPr="00D101A9" w:rsidRDefault="0037220E" w:rsidP="00E90488">
      <w:pPr>
        <w:tabs>
          <w:tab w:val="left" w:pos="3828"/>
        </w:tabs>
        <w:spacing w:line="360" w:lineRule="auto"/>
        <w:jc w:val="center"/>
        <w:rPr>
          <w:b/>
          <w:snapToGrid w:val="0"/>
          <w:sz w:val="28"/>
          <w:szCs w:val="28"/>
        </w:rPr>
      </w:pPr>
    </w:p>
    <w:p w:rsidR="0037220E" w:rsidRDefault="0037220E" w:rsidP="00E90488">
      <w:pPr>
        <w:spacing w:line="360" w:lineRule="auto"/>
        <w:jc w:val="center"/>
        <w:rPr>
          <w:b/>
          <w:snapToGrid w:val="0"/>
          <w:sz w:val="32"/>
          <w:szCs w:val="32"/>
        </w:rPr>
      </w:pPr>
      <w:r w:rsidRPr="0037220E">
        <w:rPr>
          <w:b/>
          <w:snapToGrid w:val="0"/>
          <w:sz w:val="32"/>
          <w:szCs w:val="32"/>
        </w:rPr>
        <w:t>ОБЩАЯ ФАРМАКОПЕЙНАЯ СТАТЬЯ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6978F6" w:rsidRPr="0037220E" w:rsidTr="0037220E">
        <w:trPr>
          <w:trHeight w:val="884"/>
        </w:trPr>
        <w:tc>
          <w:tcPr>
            <w:tcW w:w="9540" w:type="dxa"/>
            <w:tcBorders>
              <w:left w:val="nil"/>
              <w:right w:val="nil"/>
            </w:tcBorders>
          </w:tcPr>
          <w:p w:rsidR="006978F6" w:rsidRPr="0037220E" w:rsidRDefault="006978F6" w:rsidP="00E90488">
            <w:pPr>
              <w:pStyle w:val="a4"/>
              <w:tabs>
                <w:tab w:val="left" w:pos="5279"/>
              </w:tabs>
              <w:spacing w:line="360" w:lineRule="auto"/>
              <w:ind w:right="0" w:firstLine="0"/>
              <w:jc w:val="left"/>
              <w:rPr>
                <w:b/>
                <w:sz w:val="28"/>
                <w:szCs w:val="28"/>
              </w:rPr>
            </w:pPr>
            <w:r w:rsidRPr="0037220E">
              <w:rPr>
                <w:b/>
                <w:sz w:val="28"/>
                <w:szCs w:val="28"/>
              </w:rPr>
              <w:t xml:space="preserve">Определение </w:t>
            </w:r>
            <w:proofErr w:type="gramStart"/>
            <w:r w:rsidRPr="0037220E">
              <w:rPr>
                <w:b/>
                <w:sz w:val="28"/>
                <w:szCs w:val="28"/>
              </w:rPr>
              <w:t>адсорбционной</w:t>
            </w:r>
            <w:proofErr w:type="gramEnd"/>
            <w:r w:rsidR="00E90488" w:rsidRPr="00E90488">
              <w:rPr>
                <w:b/>
                <w:sz w:val="28"/>
                <w:szCs w:val="28"/>
              </w:rPr>
              <w:t xml:space="preserve">        </w:t>
            </w:r>
            <w:r w:rsidR="00E90488" w:rsidRPr="00155DCC">
              <w:rPr>
                <w:b/>
                <w:sz w:val="28"/>
                <w:szCs w:val="28"/>
              </w:rPr>
              <w:t xml:space="preserve">                     </w:t>
            </w:r>
            <w:r w:rsidR="00E90488" w:rsidRPr="00E90488">
              <w:rPr>
                <w:b/>
                <w:sz w:val="28"/>
                <w:szCs w:val="28"/>
              </w:rPr>
              <w:t xml:space="preserve">     </w:t>
            </w:r>
            <w:r w:rsidR="00D62591" w:rsidRPr="00D62591">
              <w:rPr>
                <w:rFonts w:eastAsia="Calibri"/>
                <w:b/>
                <w:sz w:val="28"/>
                <w:szCs w:val="28"/>
              </w:rPr>
              <w:t>ОФС.1.2.3.0021.15</w:t>
            </w:r>
          </w:p>
          <w:p w:rsidR="006978F6" w:rsidRPr="0037220E" w:rsidRDefault="006978F6" w:rsidP="00E90488">
            <w:pPr>
              <w:pStyle w:val="a4"/>
              <w:spacing w:line="360" w:lineRule="auto"/>
              <w:ind w:right="0" w:firstLine="0"/>
              <w:jc w:val="left"/>
              <w:rPr>
                <w:b/>
                <w:i/>
                <w:sz w:val="28"/>
                <w:szCs w:val="28"/>
              </w:rPr>
            </w:pPr>
            <w:r w:rsidRPr="0037220E">
              <w:rPr>
                <w:b/>
                <w:sz w:val="28"/>
                <w:szCs w:val="28"/>
              </w:rPr>
              <w:t xml:space="preserve">активности </w:t>
            </w:r>
            <w:proofErr w:type="spellStart"/>
            <w:r w:rsidRPr="0037220E">
              <w:rPr>
                <w:b/>
                <w:sz w:val="28"/>
                <w:szCs w:val="28"/>
              </w:rPr>
              <w:t>энтеросорбентов</w:t>
            </w:r>
            <w:proofErr w:type="spellEnd"/>
            <w:proofErr w:type="gramStart"/>
            <w:r w:rsidR="00E90488" w:rsidRPr="00E90488">
              <w:rPr>
                <w:b/>
                <w:sz w:val="28"/>
                <w:szCs w:val="28"/>
              </w:rPr>
              <w:t xml:space="preserve">                                  </w:t>
            </w:r>
            <w:r w:rsidRPr="0037220E">
              <w:rPr>
                <w:b/>
                <w:sz w:val="28"/>
                <w:szCs w:val="28"/>
              </w:rPr>
              <w:t>В</w:t>
            </w:r>
            <w:proofErr w:type="gramEnd"/>
            <w:r w:rsidRPr="0037220E">
              <w:rPr>
                <w:b/>
                <w:sz w:val="28"/>
                <w:szCs w:val="28"/>
              </w:rPr>
              <w:t>водится впер</w:t>
            </w:r>
            <w:r w:rsidR="00531055" w:rsidRPr="0037220E">
              <w:rPr>
                <w:b/>
                <w:sz w:val="28"/>
                <w:szCs w:val="28"/>
              </w:rPr>
              <w:t>в</w:t>
            </w:r>
            <w:r w:rsidRPr="0037220E">
              <w:rPr>
                <w:b/>
                <w:sz w:val="28"/>
                <w:szCs w:val="28"/>
              </w:rPr>
              <w:t>ые</w:t>
            </w:r>
          </w:p>
        </w:tc>
      </w:tr>
    </w:tbl>
    <w:p w:rsidR="008A42D0" w:rsidRDefault="008A42D0" w:rsidP="00E90488">
      <w:pPr>
        <w:pStyle w:val="a4"/>
        <w:spacing w:line="360" w:lineRule="auto"/>
        <w:ind w:right="-143" w:firstLine="709"/>
        <w:rPr>
          <w:szCs w:val="24"/>
        </w:rPr>
      </w:pPr>
    </w:p>
    <w:p w:rsidR="001E2A41" w:rsidRDefault="008E1D6A" w:rsidP="00E90488">
      <w:pPr>
        <w:pStyle w:val="a4"/>
        <w:spacing w:line="360" w:lineRule="auto"/>
        <w:ind w:right="-5" w:firstLine="709"/>
        <w:rPr>
          <w:sz w:val="28"/>
          <w:szCs w:val="28"/>
        </w:rPr>
      </w:pPr>
      <w:proofErr w:type="spellStart"/>
      <w:r w:rsidRPr="006978F6">
        <w:rPr>
          <w:sz w:val="28"/>
          <w:szCs w:val="28"/>
        </w:rPr>
        <w:t>Энтеросорбенты</w:t>
      </w:r>
      <w:proofErr w:type="spellEnd"/>
      <w:r w:rsidRPr="006978F6">
        <w:rPr>
          <w:sz w:val="28"/>
          <w:szCs w:val="28"/>
        </w:rPr>
        <w:t xml:space="preserve"> – лекарственные средства, способные адсорбировать в пищеварительном тракте различные </w:t>
      </w:r>
      <w:r w:rsidR="00A260A1">
        <w:rPr>
          <w:sz w:val="28"/>
          <w:szCs w:val="28"/>
        </w:rPr>
        <w:t>химические</w:t>
      </w:r>
      <w:r w:rsidRPr="006978F6">
        <w:rPr>
          <w:sz w:val="28"/>
          <w:szCs w:val="28"/>
        </w:rPr>
        <w:t xml:space="preserve"> вещества и </w:t>
      </w:r>
      <w:r w:rsidR="00A260A1">
        <w:rPr>
          <w:sz w:val="28"/>
          <w:szCs w:val="28"/>
        </w:rPr>
        <w:t xml:space="preserve">биологические объекты </w:t>
      </w:r>
      <w:r w:rsidRPr="006978F6">
        <w:rPr>
          <w:sz w:val="28"/>
          <w:szCs w:val="28"/>
        </w:rPr>
        <w:t>энд</w:t>
      </w:r>
      <w:proofErr w:type="gramStart"/>
      <w:r w:rsidRPr="006978F6">
        <w:rPr>
          <w:sz w:val="28"/>
          <w:szCs w:val="28"/>
        </w:rPr>
        <w:t>о-</w:t>
      </w:r>
      <w:proofErr w:type="gramEnd"/>
      <w:r w:rsidRPr="006978F6">
        <w:rPr>
          <w:sz w:val="28"/>
          <w:szCs w:val="28"/>
        </w:rPr>
        <w:t xml:space="preserve"> и экзогенного происхождения, не вступая с ними в химическую реакцию.</w:t>
      </w:r>
      <w:r w:rsidR="001E2A41" w:rsidRPr="001E2A41">
        <w:rPr>
          <w:sz w:val="28"/>
          <w:szCs w:val="28"/>
        </w:rPr>
        <w:t xml:space="preserve"> </w:t>
      </w:r>
    </w:p>
    <w:p w:rsidR="002E7003" w:rsidRDefault="00D03D3E" w:rsidP="002E700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Энтеросорбенты</w:t>
      </w:r>
      <w:proofErr w:type="spellEnd"/>
      <w:r>
        <w:rPr>
          <w:sz w:val="28"/>
          <w:szCs w:val="28"/>
        </w:rPr>
        <w:t xml:space="preserve"> имеют пористую структуру, которая</w:t>
      </w:r>
      <w:r w:rsidR="00E9048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полостные образования в веществе сорбента в виде каналов</w:t>
      </w:r>
      <w:r w:rsidR="007B6125">
        <w:rPr>
          <w:sz w:val="28"/>
          <w:szCs w:val="28"/>
        </w:rPr>
        <w:t xml:space="preserve"> </w:t>
      </w:r>
      <w:r w:rsidR="007D6EB9">
        <w:rPr>
          <w:sz w:val="28"/>
          <w:szCs w:val="28"/>
        </w:rPr>
        <w:t>–</w:t>
      </w:r>
      <w:r w:rsidR="007B6125">
        <w:rPr>
          <w:sz w:val="28"/>
          <w:szCs w:val="28"/>
        </w:rPr>
        <w:t xml:space="preserve"> </w:t>
      </w:r>
      <w:r>
        <w:rPr>
          <w:sz w:val="28"/>
          <w:szCs w:val="28"/>
        </w:rPr>
        <w:t>пор. При этом различают макропоры – полостные</w:t>
      </w:r>
      <w:r w:rsidR="00E9048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E90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радиусом </w:t>
      </w:r>
      <w:r w:rsidR="00E90488">
        <w:rPr>
          <w:sz w:val="28"/>
          <w:szCs w:val="28"/>
        </w:rPr>
        <w:t>свыше 200</w:t>
      </w:r>
      <w:r w:rsidR="005C3165">
        <w:rPr>
          <w:sz w:val="28"/>
          <w:szCs w:val="28"/>
          <w:lang w:val="en-US"/>
        </w:rPr>
        <w:t> </w:t>
      </w:r>
      <w:r w:rsidR="00E90488">
        <w:rPr>
          <w:sz w:val="28"/>
          <w:szCs w:val="28"/>
        </w:rPr>
        <w:t>нм,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мезопоры</w:t>
      </w:r>
      <w:proofErr w:type="spellEnd"/>
      <w:r>
        <w:rPr>
          <w:sz w:val="28"/>
          <w:szCs w:val="28"/>
        </w:rPr>
        <w:t xml:space="preserve"> – размером от 100 до 1,6 нм и микропоры – образования менее 1,6 нм. </w:t>
      </w:r>
      <w:r w:rsidR="002E7003">
        <w:rPr>
          <w:sz w:val="28"/>
          <w:szCs w:val="28"/>
        </w:rPr>
        <w:t>Микропоры хорошо адсорбируют молекулы небольшого размера,</w:t>
      </w:r>
      <w:r w:rsidR="007B6125">
        <w:rPr>
          <w:sz w:val="28"/>
          <w:szCs w:val="28"/>
        </w:rPr>
        <w:t xml:space="preserve"> </w:t>
      </w:r>
      <w:r w:rsidR="002E7003">
        <w:rPr>
          <w:sz w:val="28"/>
          <w:szCs w:val="28"/>
        </w:rPr>
        <w:t xml:space="preserve">а </w:t>
      </w:r>
      <w:proofErr w:type="spellStart"/>
      <w:r w:rsidR="002E7003">
        <w:rPr>
          <w:sz w:val="28"/>
          <w:szCs w:val="28"/>
        </w:rPr>
        <w:t>мезопоры</w:t>
      </w:r>
      <w:proofErr w:type="spellEnd"/>
      <w:r w:rsidR="006812BB">
        <w:rPr>
          <w:sz w:val="28"/>
          <w:szCs w:val="28"/>
        </w:rPr>
        <w:t xml:space="preserve"> и макропоры</w:t>
      </w:r>
      <w:r w:rsidR="002E7003">
        <w:rPr>
          <w:sz w:val="28"/>
          <w:szCs w:val="28"/>
        </w:rPr>
        <w:t xml:space="preserve"> – более крупные органические молекулы. </w:t>
      </w:r>
    </w:p>
    <w:p w:rsidR="00B0265C" w:rsidRDefault="00D03D3E" w:rsidP="002E70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разветвленности поверхностной структуры пор формируется большая площадь поверхности на единицу массы сорбента. </w:t>
      </w:r>
      <w:r w:rsidR="00B0265C">
        <w:rPr>
          <w:sz w:val="28"/>
          <w:szCs w:val="28"/>
        </w:rPr>
        <w:t>Кроме того, площадь активной поверхности обратно пропорциональна размеру частиц сорбента, т.е. чем меньше частицы, на которые он распадается в желудочно-кишечном тракте, тем выше площадь их суммарной поверхности.</w:t>
      </w:r>
    </w:p>
    <w:p w:rsidR="00D03D3E" w:rsidRDefault="00D03D3E" w:rsidP="002E70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взаимодействия поверхностных сил сорбент</w:t>
      </w:r>
      <w:r w:rsidR="003C634D">
        <w:rPr>
          <w:sz w:val="28"/>
          <w:szCs w:val="28"/>
        </w:rPr>
        <w:t>а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поликомпонентными</w:t>
      </w:r>
      <w:proofErr w:type="spellEnd"/>
      <w:r>
        <w:rPr>
          <w:sz w:val="28"/>
          <w:szCs w:val="28"/>
        </w:rPr>
        <w:t xml:space="preserve"> средами </w:t>
      </w:r>
      <w:r w:rsidR="00E90488">
        <w:rPr>
          <w:sz w:val="28"/>
          <w:szCs w:val="28"/>
        </w:rPr>
        <w:t xml:space="preserve">являются накопление и фиксация </w:t>
      </w:r>
      <w:r>
        <w:rPr>
          <w:sz w:val="28"/>
          <w:szCs w:val="28"/>
        </w:rPr>
        <w:t xml:space="preserve">в порах сорбента </w:t>
      </w:r>
      <w:proofErr w:type="spellStart"/>
      <w:r>
        <w:rPr>
          <w:sz w:val="28"/>
          <w:szCs w:val="28"/>
        </w:rPr>
        <w:t>сорбируемых</w:t>
      </w:r>
      <w:proofErr w:type="spellEnd"/>
      <w:r>
        <w:rPr>
          <w:sz w:val="28"/>
          <w:szCs w:val="28"/>
        </w:rPr>
        <w:t xml:space="preserve"> веществ, растворенных в жидкостях, что ведет к снижению их концентрации в окружающей среде. Связывание </w:t>
      </w:r>
      <w:proofErr w:type="spellStart"/>
      <w:r w:rsidR="006812BB">
        <w:rPr>
          <w:sz w:val="28"/>
          <w:szCs w:val="28"/>
        </w:rPr>
        <w:t>адсорбата</w:t>
      </w:r>
      <w:proofErr w:type="spellEnd"/>
      <w:r w:rsidR="00681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сорбенте является динамически равновесным </w:t>
      </w:r>
      <w:r w:rsidR="007829A3">
        <w:rPr>
          <w:sz w:val="28"/>
          <w:szCs w:val="28"/>
        </w:rPr>
        <w:t>процессом и лимитирован</w:t>
      </w:r>
      <w:r w:rsidR="00E90488">
        <w:rPr>
          <w:sz w:val="28"/>
          <w:szCs w:val="28"/>
        </w:rPr>
        <w:t xml:space="preserve">о </w:t>
      </w:r>
      <w:r w:rsidR="007829A3">
        <w:rPr>
          <w:sz w:val="28"/>
          <w:szCs w:val="28"/>
        </w:rPr>
        <w:t>адсорбционной активностью используемого сорбента.</w:t>
      </w:r>
    </w:p>
    <w:p w:rsidR="00A57E23" w:rsidRDefault="007829A3" w:rsidP="00A57E23">
      <w:pPr>
        <w:pStyle w:val="a4"/>
        <w:spacing w:line="360" w:lineRule="auto"/>
        <w:ind w:right="-143" w:firstLine="709"/>
        <w:rPr>
          <w:sz w:val="28"/>
          <w:szCs w:val="28"/>
        </w:rPr>
      </w:pPr>
      <w:r w:rsidRPr="006978F6">
        <w:rPr>
          <w:sz w:val="28"/>
          <w:szCs w:val="28"/>
        </w:rPr>
        <w:lastRenderedPageBreak/>
        <w:t>Адсорбционная активность (адсорбционная способность, сорбционная емкость, емкость адсорбции</w:t>
      </w:r>
      <w:r w:rsidR="00401421">
        <w:rPr>
          <w:sz w:val="28"/>
          <w:szCs w:val="28"/>
        </w:rPr>
        <w:t>, сорбционный объем пор</w:t>
      </w:r>
      <w:r w:rsidRPr="006978F6">
        <w:rPr>
          <w:sz w:val="28"/>
          <w:szCs w:val="28"/>
        </w:rPr>
        <w:t xml:space="preserve">) является специфическим показателем качества для </w:t>
      </w:r>
      <w:r w:rsidR="006F4533">
        <w:rPr>
          <w:sz w:val="28"/>
          <w:szCs w:val="28"/>
        </w:rPr>
        <w:t>лекарственных сре</w:t>
      </w:r>
      <w:proofErr w:type="gramStart"/>
      <w:r w:rsidR="006F4533">
        <w:rPr>
          <w:sz w:val="28"/>
          <w:szCs w:val="28"/>
        </w:rPr>
        <w:t>дств</w:t>
      </w:r>
      <w:r w:rsidRPr="006978F6">
        <w:rPr>
          <w:sz w:val="28"/>
          <w:szCs w:val="28"/>
        </w:rPr>
        <w:t xml:space="preserve"> </w:t>
      </w:r>
      <w:r w:rsidR="006F4533">
        <w:rPr>
          <w:sz w:val="28"/>
          <w:szCs w:val="28"/>
        </w:rPr>
        <w:t>гр</w:t>
      </w:r>
      <w:proofErr w:type="gramEnd"/>
      <w:r w:rsidR="006F4533">
        <w:rPr>
          <w:sz w:val="28"/>
          <w:szCs w:val="28"/>
        </w:rPr>
        <w:t xml:space="preserve">уппы </w:t>
      </w:r>
      <w:proofErr w:type="spellStart"/>
      <w:r w:rsidRPr="006978F6">
        <w:rPr>
          <w:sz w:val="28"/>
          <w:szCs w:val="28"/>
        </w:rPr>
        <w:t>энтеросорбентов</w:t>
      </w:r>
      <w:proofErr w:type="spellEnd"/>
      <w:r>
        <w:rPr>
          <w:sz w:val="28"/>
          <w:szCs w:val="28"/>
        </w:rPr>
        <w:t xml:space="preserve"> и</w:t>
      </w:r>
      <w:r w:rsidRPr="006978F6">
        <w:rPr>
          <w:sz w:val="28"/>
          <w:szCs w:val="28"/>
        </w:rPr>
        <w:t xml:space="preserve"> </w:t>
      </w:r>
      <w:r w:rsidR="006F4533">
        <w:rPr>
          <w:sz w:val="28"/>
          <w:szCs w:val="28"/>
        </w:rPr>
        <w:t>используется</w:t>
      </w:r>
      <w:r w:rsidRPr="006978F6">
        <w:rPr>
          <w:sz w:val="28"/>
          <w:szCs w:val="28"/>
        </w:rPr>
        <w:t xml:space="preserve"> для характеристики поглоща</w:t>
      </w:r>
      <w:r>
        <w:rPr>
          <w:sz w:val="28"/>
          <w:szCs w:val="28"/>
        </w:rPr>
        <w:t xml:space="preserve">ющей способности сорбента, </w:t>
      </w:r>
      <w:r w:rsidR="006F4533">
        <w:rPr>
          <w:sz w:val="28"/>
          <w:szCs w:val="28"/>
        </w:rPr>
        <w:t>определяющей</w:t>
      </w:r>
      <w:r w:rsidRPr="006978F6">
        <w:rPr>
          <w:sz w:val="28"/>
          <w:szCs w:val="28"/>
        </w:rPr>
        <w:t xml:space="preserve"> количество </w:t>
      </w:r>
      <w:proofErr w:type="spellStart"/>
      <w:r w:rsidR="006812BB">
        <w:rPr>
          <w:sz w:val="28"/>
          <w:szCs w:val="28"/>
        </w:rPr>
        <w:t>адсорбата</w:t>
      </w:r>
      <w:proofErr w:type="spellEnd"/>
      <w:r w:rsidR="00947DB5">
        <w:rPr>
          <w:sz w:val="28"/>
          <w:szCs w:val="28"/>
        </w:rPr>
        <w:t xml:space="preserve"> </w:t>
      </w:r>
      <w:r w:rsidR="0020408D" w:rsidRPr="0020408D">
        <w:rPr>
          <w:sz w:val="28"/>
          <w:szCs w:val="28"/>
        </w:rPr>
        <w:t>(</w:t>
      </w:r>
      <w:r w:rsidR="00947DB5">
        <w:rPr>
          <w:sz w:val="28"/>
          <w:szCs w:val="28"/>
        </w:rPr>
        <w:t>реактива</w:t>
      </w:r>
      <w:r w:rsidR="0020408D" w:rsidRPr="0020408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978F6">
        <w:rPr>
          <w:sz w:val="28"/>
          <w:szCs w:val="28"/>
        </w:rPr>
        <w:t>которое может поглотить сорбент на единицу своей массы.</w:t>
      </w:r>
      <w:r w:rsidR="00A57E23">
        <w:rPr>
          <w:sz w:val="28"/>
          <w:szCs w:val="28"/>
        </w:rPr>
        <w:t xml:space="preserve"> </w:t>
      </w:r>
    </w:p>
    <w:p w:rsidR="006F4533" w:rsidRDefault="00551476" w:rsidP="006F4533">
      <w:pPr>
        <w:pStyle w:val="a4"/>
        <w:spacing w:line="360" w:lineRule="auto"/>
        <w:ind w:right="-143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E2A41" w:rsidRPr="00B27161">
        <w:rPr>
          <w:sz w:val="28"/>
          <w:szCs w:val="28"/>
        </w:rPr>
        <w:t>о химической структуре</w:t>
      </w:r>
      <w:r w:rsidR="00B27161" w:rsidRPr="00B27161">
        <w:rPr>
          <w:sz w:val="28"/>
          <w:szCs w:val="28"/>
        </w:rPr>
        <w:t xml:space="preserve"> различают</w:t>
      </w:r>
      <w:r w:rsidRPr="005514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</w:t>
      </w:r>
      <w:r w:rsidRPr="00551476">
        <w:rPr>
          <w:sz w:val="28"/>
          <w:szCs w:val="28"/>
        </w:rPr>
        <w:t>нтеросорбенты</w:t>
      </w:r>
      <w:proofErr w:type="spellEnd"/>
      <w:r>
        <w:rPr>
          <w:sz w:val="28"/>
          <w:szCs w:val="28"/>
        </w:rPr>
        <w:t>.</w:t>
      </w:r>
      <w:r w:rsidR="001E2A41" w:rsidRPr="00B27161">
        <w:rPr>
          <w:sz w:val="28"/>
          <w:szCs w:val="28"/>
        </w:rPr>
        <w:t xml:space="preserve"> </w:t>
      </w:r>
    </w:p>
    <w:p w:rsidR="00A14331" w:rsidRDefault="00851112" w:rsidP="00BB6BE7">
      <w:pPr>
        <w:pStyle w:val="a4"/>
        <w:numPr>
          <w:ilvl w:val="0"/>
          <w:numId w:val="7"/>
        </w:numPr>
        <w:spacing w:line="360" w:lineRule="auto"/>
        <w:ind w:left="142" w:right="-142"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1E2A41" w:rsidRPr="00014DB3">
        <w:rPr>
          <w:sz w:val="28"/>
          <w:szCs w:val="28"/>
        </w:rPr>
        <w:t xml:space="preserve">глеродные </w:t>
      </w:r>
      <w:proofErr w:type="spellStart"/>
      <w:r w:rsidR="001E2A41" w:rsidRPr="00014DB3">
        <w:rPr>
          <w:sz w:val="28"/>
          <w:szCs w:val="28"/>
        </w:rPr>
        <w:t>энтеросорбенты</w:t>
      </w:r>
      <w:proofErr w:type="spellEnd"/>
      <w:r w:rsidR="006812BB">
        <w:rPr>
          <w:sz w:val="28"/>
          <w:szCs w:val="28"/>
        </w:rPr>
        <w:t xml:space="preserve"> </w:t>
      </w:r>
      <w:r w:rsidR="007D6EB9">
        <w:rPr>
          <w:sz w:val="28"/>
          <w:szCs w:val="28"/>
        </w:rPr>
        <w:t>–</w:t>
      </w:r>
      <w:r w:rsidR="001E2A41" w:rsidRPr="009D52CE">
        <w:rPr>
          <w:sz w:val="28"/>
          <w:szCs w:val="28"/>
        </w:rPr>
        <w:t xml:space="preserve"> </w:t>
      </w:r>
      <w:proofErr w:type="spellStart"/>
      <w:r w:rsidR="001E2A41">
        <w:rPr>
          <w:sz w:val="28"/>
          <w:szCs w:val="28"/>
        </w:rPr>
        <w:t>энтеросорбенты</w:t>
      </w:r>
      <w:proofErr w:type="spellEnd"/>
      <w:r w:rsidR="001E2A41">
        <w:rPr>
          <w:sz w:val="28"/>
          <w:szCs w:val="28"/>
        </w:rPr>
        <w:t xml:space="preserve"> </w:t>
      </w:r>
      <w:r w:rsidR="001E2A41" w:rsidRPr="009D52CE">
        <w:rPr>
          <w:sz w:val="28"/>
          <w:szCs w:val="28"/>
        </w:rPr>
        <w:t>на основе углерода, которые подразделяются на  сорбенты из древесного угля (активированный уголь на основе березовой древесины), косточковые активированные угли на основе костей животных и косточек фруктов, скорлупы орехов, сферические гранулированные синтетические сорбенты</w:t>
      </w:r>
      <w:r w:rsidR="001E2A41">
        <w:rPr>
          <w:sz w:val="28"/>
          <w:szCs w:val="28"/>
        </w:rPr>
        <w:t>.</w:t>
      </w:r>
      <w:proofErr w:type="gramEnd"/>
      <w:r w:rsidR="001E2A41" w:rsidRPr="009D52CE">
        <w:rPr>
          <w:sz w:val="28"/>
          <w:szCs w:val="28"/>
        </w:rPr>
        <w:t xml:space="preserve"> </w:t>
      </w:r>
      <w:r w:rsidR="002E7003">
        <w:rPr>
          <w:sz w:val="28"/>
          <w:szCs w:val="28"/>
        </w:rPr>
        <w:t>В активированных углях существуют все разновидности пор</w:t>
      </w:r>
      <w:r w:rsidR="00E90488">
        <w:rPr>
          <w:sz w:val="28"/>
          <w:szCs w:val="28"/>
        </w:rPr>
        <w:t xml:space="preserve">. </w:t>
      </w:r>
      <w:r w:rsidR="00BD0795">
        <w:rPr>
          <w:sz w:val="28"/>
          <w:szCs w:val="28"/>
        </w:rPr>
        <w:t>Например, большая доля макропор характерна для активированных углей на основе древесины, большая доля микропор характерна для активированных углей на основе скорлупы кокоса.</w:t>
      </w:r>
    </w:p>
    <w:p w:rsidR="00915B9A" w:rsidRDefault="006812BB" w:rsidP="00BB6BE7">
      <w:pPr>
        <w:pStyle w:val="a4"/>
        <w:numPr>
          <w:ilvl w:val="0"/>
          <w:numId w:val="7"/>
        </w:numPr>
        <w:spacing w:line="360" w:lineRule="auto"/>
        <w:ind w:left="142" w:right="-142" w:hanging="142"/>
        <w:rPr>
          <w:sz w:val="28"/>
          <w:szCs w:val="28"/>
        </w:rPr>
      </w:pPr>
      <w:r>
        <w:rPr>
          <w:sz w:val="28"/>
          <w:szCs w:val="28"/>
        </w:rPr>
        <w:t>К</w:t>
      </w:r>
      <w:r w:rsidR="001E2A41" w:rsidRPr="00014DB3">
        <w:rPr>
          <w:sz w:val="28"/>
          <w:szCs w:val="28"/>
        </w:rPr>
        <w:t xml:space="preserve">ремнийсодержащие </w:t>
      </w:r>
      <w:proofErr w:type="spellStart"/>
      <w:r w:rsidR="001E2A41" w:rsidRPr="00014DB3">
        <w:rPr>
          <w:sz w:val="28"/>
          <w:szCs w:val="28"/>
        </w:rPr>
        <w:t>энтеросорбенты</w:t>
      </w:r>
      <w:proofErr w:type="spellEnd"/>
      <w:r w:rsidR="00915B9A">
        <w:rPr>
          <w:sz w:val="28"/>
          <w:szCs w:val="28"/>
        </w:rPr>
        <w:t>:</w:t>
      </w:r>
    </w:p>
    <w:p w:rsidR="00014DB3" w:rsidRPr="005B1113" w:rsidRDefault="006812BB" w:rsidP="00A14331">
      <w:pPr>
        <w:pStyle w:val="a4"/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14DB3" w:rsidRPr="00014DB3">
        <w:rPr>
          <w:sz w:val="28"/>
          <w:szCs w:val="28"/>
        </w:rPr>
        <w:t xml:space="preserve"> </w:t>
      </w:r>
      <w:r w:rsidR="001E2A41" w:rsidRPr="00014DB3">
        <w:rPr>
          <w:sz w:val="28"/>
          <w:szCs w:val="28"/>
        </w:rPr>
        <w:t>на основе кремния диоксида коллоидного</w:t>
      </w:r>
      <w:r w:rsidR="005B1113">
        <w:rPr>
          <w:sz w:val="28"/>
          <w:szCs w:val="28"/>
        </w:rPr>
        <w:t xml:space="preserve">, состоящего </w:t>
      </w:r>
      <w:r w:rsidR="005B1113" w:rsidRPr="005B1113">
        <w:rPr>
          <w:sz w:val="28"/>
          <w:szCs w:val="28"/>
        </w:rPr>
        <w:t xml:space="preserve">из </w:t>
      </w:r>
      <w:r w:rsidR="005B1113" w:rsidRPr="00A14331">
        <w:rPr>
          <w:sz w:val="28"/>
          <w:szCs w:val="28"/>
        </w:rPr>
        <w:t>непористых, почти сферических</w:t>
      </w:r>
      <w:r w:rsidR="00B0265C" w:rsidRPr="00A14331">
        <w:rPr>
          <w:sz w:val="28"/>
          <w:szCs w:val="28"/>
        </w:rPr>
        <w:t xml:space="preserve"> частиц</w:t>
      </w:r>
      <w:r w:rsidR="005B1113" w:rsidRPr="00A14331">
        <w:rPr>
          <w:sz w:val="28"/>
          <w:szCs w:val="28"/>
        </w:rPr>
        <w:t>, которые со временем за счет физико-химического взаимодействия объединяются в агрегаты размером от 100 до 200 нм</w:t>
      </w:r>
      <w:r w:rsidR="0011568D" w:rsidRPr="00A14331">
        <w:rPr>
          <w:sz w:val="28"/>
          <w:szCs w:val="28"/>
        </w:rPr>
        <w:t>;</w:t>
      </w:r>
    </w:p>
    <w:p w:rsidR="00014DB3" w:rsidRPr="00014DB3" w:rsidRDefault="00915B9A" w:rsidP="00A14331">
      <w:pPr>
        <w:pStyle w:val="a4"/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- г</w:t>
      </w:r>
      <w:r w:rsidR="006812BB">
        <w:rPr>
          <w:sz w:val="28"/>
          <w:szCs w:val="28"/>
        </w:rPr>
        <w:t>и</w:t>
      </w:r>
      <w:r w:rsidR="001E2A41" w:rsidRPr="00014DB3">
        <w:rPr>
          <w:sz w:val="28"/>
          <w:szCs w:val="28"/>
        </w:rPr>
        <w:t>дрогел</w:t>
      </w:r>
      <w:r w:rsidR="006812BB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ксерогели</w:t>
      </w:r>
      <w:proofErr w:type="spellEnd"/>
      <w:r w:rsidR="001E2A41" w:rsidRPr="00014DB3">
        <w:rPr>
          <w:sz w:val="28"/>
          <w:szCs w:val="28"/>
        </w:rPr>
        <w:t xml:space="preserve"> </w:t>
      </w:r>
      <w:proofErr w:type="spellStart"/>
      <w:r w:rsidR="001E2A41" w:rsidRPr="00014DB3">
        <w:rPr>
          <w:sz w:val="28"/>
          <w:szCs w:val="28"/>
        </w:rPr>
        <w:t>метилкремниевой</w:t>
      </w:r>
      <w:proofErr w:type="spellEnd"/>
      <w:r w:rsidR="001E2A41" w:rsidRPr="00014DB3">
        <w:rPr>
          <w:sz w:val="28"/>
          <w:szCs w:val="28"/>
        </w:rPr>
        <w:t xml:space="preserve"> кислоты</w:t>
      </w:r>
      <w:r w:rsidR="00551476">
        <w:rPr>
          <w:sz w:val="28"/>
          <w:szCs w:val="28"/>
        </w:rPr>
        <w:t>,</w:t>
      </w:r>
      <w:r w:rsidR="00014DB3" w:rsidRPr="00014DB3">
        <w:rPr>
          <w:sz w:val="28"/>
          <w:szCs w:val="28"/>
        </w:rPr>
        <w:t xml:space="preserve"> име</w:t>
      </w:r>
      <w:r w:rsidR="005D292E">
        <w:rPr>
          <w:sz w:val="28"/>
          <w:szCs w:val="28"/>
        </w:rPr>
        <w:t>ю</w:t>
      </w:r>
      <w:r w:rsidR="00551476">
        <w:rPr>
          <w:sz w:val="28"/>
          <w:szCs w:val="28"/>
        </w:rPr>
        <w:t>щие</w:t>
      </w:r>
      <w:r w:rsidR="00014DB3" w:rsidRPr="00014DB3">
        <w:rPr>
          <w:sz w:val="28"/>
          <w:szCs w:val="28"/>
        </w:rPr>
        <w:t xml:space="preserve"> структуру пространственно</w:t>
      </w:r>
      <w:r w:rsidR="00551476">
        <w:rPr>
          <w:sz w:val="28"/>
          <w:szCs w:val="28"/>
        </w:rPr>
        <w:t>-</w:t>
      </w:r>
      <w:r w:rsidR="00014DB3" w:rsidRPr="00014DB3">
        <w:rPr>
          <w:sz w:val="28"/>
          <w:szCs w:val="28"/>
        </w:rPr>
        <w:t>сшитой глобулярной пористой матрицы</w:t>
      </w:r>
      <w:r w:rsidR="005D292E">
        <w:rPr>
          <w:sz w:val="28"/>
          <w:szCs w:val="28"/>
        </w:rPr>
        <w:t xml:space="preserve">, где </w:t>
      </w:r>
      <w:r w:rsidR="005B1113">
        <w:rPr>
          <w:sz w:val="28"/>
          <w:szCs w:val="28"/>
        </w:rPr>
        <w:t xml:space="preserve">размер глобул </w:t>
      </w:r>
      <w:r w:rsidR="00551476">
        <w:rPr>
          <w:sz w:val="28"/>
          <w:szCs w:val="28"/>
        </w:rPr>
        <w:t xml:space="preserve">составляет </w:t>
      </w:r>
      <w:r w:rsidR="005B1113">
        <w:rPr>
          <w:sz w:val="28"/>
          <w:szCs w:val="28"/>
        </w:rPr>
        <w:t>от 7 до 15 нм. Глобулы соединяются между собой, формируя поры</w:t>
      </w:r>
      <w:r w:rsidR="0011568D">
        <w:rPr>
          <w:sz w:val="28"/>
          <w:szCs w:val="28"/>
        </w:rPr>
        <w:t xml:space="preserve">, радиус которых более 100 нм; </w:t>
      </w:r>
    </w:p>
    <w:p w:rsidR="00014DB3" w:rsidRPr="005C3165" w:rsidRDefault="00014DB3" w:rsidP="00A14331">
      <w:pPr>
        <w:pStyle w:val="a4"/>
        <w:spacing w:line="360" w:lineRule="auto"/>
        <w:ind w:right="0"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proofErr w:type="spellStart"/>
      <w:r w:rsidR="001E2A41">
        <w:rPr>
          <w:sz w:val="28"/>
          <w:szCs w:val="28"/>
        </w:rPr>
        <w:t>смектит</w:t>
      </w:r>
      <w:proofErr w:type="spellEnd"/>
      <w:r w:rsidR="001E2A41">
        <w:rPr>
          <w:sz w:val="28"/>
          <w:szCs w:val="28"/>
        </w:rPr>
        <w:t xml:space="preserve"> </w:t>
      </w:r>
      <w:proofErr w:type="spellStart"/>
      <w:r w:rsidR="001E2A41">
        <w:rPr>
          <w:sz w:val="28"/>
          <w:szCs w:val="28"/>
        </w:rPr>
        <w:t>диоктаэдрическ</w:t>
      </w:r>
      <w:r w:rsidR="00A143D1">
        <w:rPr>
          <w:sz w:val="28"/>
          <w:szCs w:val="28"/>
        </w:rPr>
        <w:t>ий</w:t>
      </w:r>
      <w:proofErr w:type="spellEnd"/>
      <w:r w:rsidR="002D4628">
        <w:rPr>
          <w:sz w:val="28"/>
          <w:szCs w:val="28"/>
        </w:rPr>
        <w:t>,</w:t>
      </w:r>
      <w:r w:rsidR="00A143D1">
        <w:rPr>
          <w:sz w:val="28"/>
          <w:szCs w:val="28"/>
        </w:rPr>
        <w:t xml:space="preserve"> частицы </w:t>
      </w:r>
      <w:r w:rsidR="000B6CD5">
        <w:rPr>
          <w:sz w:val="28"/>
          <w:szCs w:val="28"/>
        </w:rPr>
        <w:t xml:space="preserve">размером </w:t>
      </w:r>
      <w:r w:rsidR="00CB4D97">
        <w:rPr>
          <w:sz w:val="28"/>
          <w:szCs w:val="28"/>
        </w:rPr>
        <w:t>1</w:t>
      </w:r>
      <w:r w:rsidR="002D4628">
        <w:rPr>
          <w:sz w:val="28"/>
          <w:szCs w:val="28"/>
        </w:rPr>
        <w:t xml:space="preserve"> </w:t>
      </w:r>
      <w:r w:rsidR="007D6EB9">
        <w:rPr>
          <w:sz w:val="28"/>
          <w:szCs w:val="28"/>
        </w:rPr>
        <w:t>–</w:t>
      </w:r>
      <w:r w:rsidR="00CB4D97">
        <w:rPr>
          <w:sz w:val="28"/>
          <w:szCs w:val="28"/>
        </w:rPr>
        <w:t xml:space="preserve"> 2 </w:t>
      </w:r>
      <w:r w:rsidR="00B73EAD">
        <w:rPr>
          <w:sz w:val="28"/>
          <w:szCs w:val="28"/>
        </w:rPr>
        <w:t>мкм</w:t>
      </w:r>
      <w:r w:rsidR="000B6CD5">
        <w:rPr>
          <w:sz w:val="28"/>
          <w:szCs w:val="28"/>
        </w:rPr>
        <w:t xml:space="preserve"> состоят из слоистых образований</w:t>
      </w:r>
      <w:r w:rsidR="005B1113">
        <w:rPr>
          <w:sz w:val="28"/>
          <w:szCs w:val="28"/>
        </w:rPr>
        <w:t xml:space="preserve"> толщиной 1</w:t>
      </w:r>
      <w:r w:rsidR="00551476">
        <w:rPr>
          <w:sz w:val="28"/>
          <w:szCs w:val="28"/>
        </w:rPr>
        <w:t xml:space="preserve"> </w:t>
      </w:r>
      <w:r w:rsidR="007D6EB9">
        <w:rPr>
          <w:sz w:val="28"/>
          <w:szCs w:val="28"/>
        </w:rPr>
        <w:t>–</w:t>
      </w:r>
      <w:r w:rsidR="00551476">
        <w:rPr>
          <w:sz w:val="28"/>
          <w:szCs w:val="28"/>
        </w:rPr>
        <w:t xml:space="preserve"> </w:t>
      </w:r>
      <w:r w:rsidR="005B1113">
        <w:rPr>
          <w:sz w:val="28"/>
          <w:szCs w:val="28"/>
        </w:rPr>
        <w:t>2 нм.</w:t>
      </w:r>
    </w:p>
    <w:p w:rsidR="00BB6BE7" w:rsidRDefault="00014DB3" w:rsidP="00BB6BE7">
      <w:pPr>
        <w:pStyle w:val="a4"/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A41">
        <w:rPr>
          <w:sz w:val="28"/>
          <w:szCs w:val="28"/>
        </w:rPr>
        <w:t>магния алюмосиликата гидрата коллоидного (</w:t>
      </w:r>
      <w:proofErr w:type="spellStart"/>
      <w:r w:rsidR="001E2A41">
        <w:rPr>
          <w:sz w:val="28"/>
          <w:szCs w:val="28"/>
        </w:rPr>
        <w:t>аттапульгит</w:t>
      </w:r>
      <w:proofErr w:type="spellEnd"/>
      <w:r w:rsidR="001E2A41">
        <w:rPr>
          <w:sz w:val="28"/>
          <w:szCs w:val="28"/>
        </w:rPr>
        <w:t>)</w:t>
      </w:r>
      <w:r w:rsidR="000E0D3D">
        <w:rPr>
          <w:sz w:val="28"/>
          <w:szCs w:val="28"/>
        </w:rPr>
        <w:t>.</w:t>
      </w:r>
      <w:r w:rsidR="001E2A41">
        <w:rPr>
          <w:sz w:val="28"/>
          <w:szCs w:val="28"/>
        </w:rPr>
        <w:t xml:space="preserve"> </w:t>
      </w:r>
      <w:r w:rsidR="00D55593" w:rsidRPr="000E0D3D">
        <w:rPr>
          <w:sz w:val="28"/>
          <w:szCs w:val="28"/>
        </w:rPr>
        <w:t>Частицы представляют собой агломераты с размером от 60 до 610</w:t>
      </w:r>
      <w:r w:rsidR="005C3165">
        <w:rPr>
          <w:sz w:val="28"/>
          <w:szCs w:val="28"/>
          <w:lang w:val="en-US"/>
        </w:rPr>
        <w:t> </w:t>
      </w:r>
      <w:r w:rsidR="00D55593" w:rsidRPr="000E0D3D">
        <w:rPr>
          <w:sz w:val="28"/>
          <w:szCs w:val="28"/>
        </w:rPr>
        <w:t>нм</w:t>
      </w:r>
      <w:r w:rsidR="001E2A41" w:rsidRPr="000E0D3D">
        <w:rPr>
          <w:sz w:val="28"/>
          <w:szCs w:val="28"/>
        </w:rPr>
        <w:t>.</w:t>
      </w:r>
    </w:p>
    <w:p w:rsidR="00BB6BE7" w:rsidRDefault="007E79FD" w:rsidP="00BB6BE7">
      <w:pPr>
        <w:pStyle w:val="a4"/>
        <w:numPr>
          <w:ilvl w:val="0"/>
          <w:numId w:val="7"/>
        </w:numPr>
        <w:spacing w:line="360" w:lineRule="auto"/>
        <w:ind w:left="142" w:right="0" w:hanging="142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1E2A41" w:rsidRPr="00014DB3">
        <w:rPr>
          <w:sz w:val="28"/>
          <w:szCs w:val="28"/>
        </w:rPr>
        <w:t xml:space="preserve">риродные органические </w:t>
      </w:r>
      <w:proofErr w:type="spellStart"/>
      <w:r w:rsidR="001E2A41" w:rsidRPr="00014DB3">
        <w:rPr>
          <w:sz w:val="28"/>
          <w:szCs w:val="28"/>
        </w:rPr>
        <w:t>энтеросорбенты</w:t>
      </w:r>
      <w:proofErr w:type="spellEnd"/>
      <w:r>
        <w:rPr>
          <w:sz w:val="28"/>
          <w:szCs w:val="28"/>
        </w:rPr>
        <w:t xml:space="preserve"> </w:t>
      </w:r>
      <w:r w:rsidR="007D6EB9">
        <w:rPr>
          <w:sz w:val="28"/>
          <w:szCs w:val="28"/>
        </w:rPr>
        <w:t>–</w:t>
      </w:r>
      <w:r w:rsidR="000E0D3D">
        <w:rPr>
          <w:sz w:val="28"/>
          <w:szCs w:val="28"/>
        </w:rPr>
        <w:t xml:space="preserve"> </w:t>
      </w:r>
      <w:proofErr w:type="spellStart"/>
      <w:r w:rsidR="001E2A41" w:rsidRPr="00014DB3">
        <w:rPr>
          <w:sz w:val="28"/>
          <w:szCs w:val="28"/>
        </w:rPr>
        <w:t>энтеросорбенты</w:t>
      </w:r>
      <w:proofErr w:type="spellEnd"/>
      <w:r w:rsidR="001E2A41" w:rsidRPr="00014DB3">
        <w:rPr>
          <w:sz w:val="28"/>
          <w:szCs w:val="28"/>
        </w:rPr>
        <w:t xml:space="preserve"> на основе пищевых волокон, гидролизного лигнина</w:t>
      </w:r>
      <w:r>
        <w:rPr>
          <w:sz w:val="28"/>
          <w:szCs w:val="28"/>
        </w:rPr>
        <w:t xml:space="preserve"> с размером частиц </w:t>
      </w:r>
      <w:r w:rsidR="001E2A41" w:rsidRPr="009D52CE">
        <w:rPr>
          <w:sz w:val="28"/>
          <w:szCs w:val="28"/>
        </w:rPr>
        <w:t xml:space="preserve"> </w:t>
      </w:r>
      <w:r w:rsidRPr="007E79FD">
        <w:rPr>
          <w:color w:val="000000"/>
          <w:sz w:val="28"/>
          <w:szCs w:val="28"/>
        </w:rPr>
        <w:t>0,01</w:t>
      </w:r>
      <w:r w:rsidR="00551476">
        <w:rPr>
          <w:color w:val="000000"/>
          <w:sz w:val="28"/>
          <w:szCs w:val="28"/>
        </w:rPr>
        <w:t xml:space="preserve"> </w:t>
      </w:r>
      <w:r w:rsidR="007D6EB9">
        <w:rPr>
          <w:color w:val="000000"/>
          <w:sz w:val="28"/>
          <w:szCs w:val="28"/>
        </w:rPr>
        <w:t>–</w:t>
      </w:r>
      <w:r w:rsidR="00551476">
        <w:rPr>
          <w:color w:val="000000"/>
          <w:sz w:val="28"/>
          <w:szCs w:val="28"/>
        </w:rPr>
        <w:t xml:space="preserve"> </w:t>
      </w:r>
      <w:r w:rsidRPr="007E79FD">
        <w:rPr>
          <w:color w:val="000000"/>
          <w:sz w:val="28"/>
          <w:szCs w:val="28"/>
        </w:rPr>
        <w:t>0,25</w:t>
      </w:r>
      <w:r w:rsidR="005C3165">
        <w:rPr>
          <w:color w:val="000000"/>
          <w:sz w:val="28"/>
          <w:szCs w:val="28"/>
          <w:lang w:val="en-US"/>
        </w:rPr>
        <w:t> </w:t>
      </w:r>
      <w:r w:rsidRPr="007E79FD">
        <w:rPr>
          <w:color w:val="000000"/>
          <w:sz w:val="28"/>
          <w:szCs w:val="28"/>
        </w:rPr>
        <w:t>мм</w:t>
      </w:r>
      <w:r>
        <w:rPr>
          <w:color w:val="000000"/>
          <w:sz w:val="28"/>
          <w:szCs w:val="28"/>
        </w:rPr>
        <w:t>.</w:t>
      </w:r>
    </w:p>
    <w:p w:rsidR="000E0D3D" w:rsidRPr="00BB6BE7" w:rsidRDefault="00BB6BE7" w:rsidP="00BB6BE7">
      <w:pPr>
        <w:pStyle w:val="a4"/>
        <w:numPr>
          <w:ilvl w:val="0"/>
          <w:numId w:val="7"/>
        </w:numPr>
        <w:spacing w:line="360" w:lineRule="auto"/>
        <w:ind w:left="142" w:right="0" w:hanging="142"/>
        <w:rPr>
          <w:sz w:val="28"/>
          <w:szCs w:val="28"/>
        </w:rPr>
      </w:pPr>
      <w:r w:rsidRPr="00BB6BE7">
        <w:rPr>
          <w:sz w:val="28"/>
          <w:szCs w:val="28"/>
        </w:rPr>
        <w:t xml:space="preserve">Комбинированные </w:t>
      </w:r>
      <w:proofErr w:type="spellStart"/>
      <w:r w:rsidRPr="00BB6BE7">
        <w:rPr>
          <w:sz w:val="28"/>
          <w:szCs w:val="28"/>
        </w:rPr>
        <w:t>энтеросорбенты</w:t>
      </w:r>
      <w:proofErr w:type="spellEnd"/>
      <w:r w:rsidR="002D4628">
        <w:rPr>
          <w:sz w:val="28"/>
          <w:szCs w:val="28"/>
        </w:rPr>
        <w:t>,</w:t>
      </w:r>
      <w:r w:rsidR="00F73A02" w:rsidRPr="00BB6BE7">
        <w:rPr>
          <w:sz w:val="28"/>
          <w:szCs w:val="28"/>
        </w:rPr>
        <w:t xml:space="preserve"> в состав </w:t>
      </w:r>
      <w:r w:rsidR="002D4628">
        <w:rPr>
          <w:sz w:val="28"/>
          <w:szCs w:val="28"/>
        </w:rPr>
        <w:t xml:space="preserve">которых </w:t>
      </w:r>
      <w:r w:rsidR="00F73A02" w:rsidRPr="00BB6BE7">
        <w:rPr>
          <w:sz w:val="28"/>
          <w:szCs w:val="28"/>
        </w:rPr>
        <w:t xml:space="preserve">могут входить </w:t>
      </w:r>
      <w:proofErr w:type="gramStart"/>
      <w:r w:rsidR="00F73A02" w:rsidRPr="00BB6BE7">
        <w:rPr>
          <w:sz w:val="28"/>
          <w:szCs w:val="28"/>
        </w:rPr>
        <w:t>два и более типов</w:t>
      </w:r>
      <w:proofErr w:type="gramEnd"/>
      <w:r w:rsidR="00F73A02" w:rsidRPr="00BB6BE7">
        <w:rPr>
          <w:sz w:val="28"/>
          <w:szCs w:val="28"/>
        </w:rPr>
        <w:t xml:space="preserve"> указанных </w:t>
      </w:r>
      <w:proofErr w:type="spellStart"/>
      <w:r w:rsidR="00F73A02" w:rsidRPr="00BB6BE7">
        <w:rPr>
          <w:sz w:val="28"/>
          <w:szCs w:val="28"/>
        </w:rPr>
        <w:t>энтеросорбентов</w:t>
      </w:r>
      <w:proofErr w:type="spellEnd"/>
      <w:r w:rsidR="00F73A02" w:rsidRPr="00BB6BE7">
        <w:rPr>
          <w:sz w:val="28"/>
          <w:szCs w:val="28"/>
        </w:rPr>
        <w:t>.</w:t>
      </w:r>
    </w:p>
    <w:p w:rsidR="001E2A41" w:rsidRDefault="004722FD" w:rsidP="004377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</w:t>
      </w:r>
      <w:r w:rsidR="001E2A41" w:rsidRPr="00B0265C">
        <w:rPr>
          <w:sz w:val="28"/>
          <w:szCs w:val="28"/>
        </w:rPr>
        <w:t>лекарственной форм</w:t>
      </w:r>
      <w:r>
        <w:rPr>
          <w:sz w:val="28"/>
          <w:szCs w:val="28"/>
        </w:rPr>
        <w:t>ы</w:t>
      </w:r>
      <w:r w:rsidR="00B27161" w:rsidRPr="00B0265C">
        <w:rPr>
          <w:sz w:val="28"/>
          <w:szCs w:val="28"/>
        </w:rPr>
        <w:t xml:space="preserve"> </w:t>
      </w:r>
      <w:proofErr w:type="spellStart"/>
      <w:r w:rsidR="007B6125">
        <w:rPr>
          <w:sz w:val="28"/>
          <w:szCs w:val="28"/>
        </w:rPr>
        <w:t>энтеросорбенты</w:t>
      </w:r>
      <w:proofErr w:type="spellEnd"/>
      <w:r w:rsidR="007B6125">
        <w:rPr>
          <w:sz w:val="28"/>
          <w:szCs w:val="28"/>
        </w:rPr>
        <w:t xml:space="preserve"> </w:t>
      </w:r>
      <w:r w:rsidR="00B27161" w:rsidRPr="00B0265C">
        <w:rPr>
          <w:sz w:val="28"/>
          <w:szCs w:val="28"/>
        </w:rPr>
        <w:t>раз</w:t>
      </w:r>
      <w:r w:rsidR="00E90488">
        <w:rPr>
          <w:sz w:val="28"/>
          <w:szCs w:val="28"/>
        </w:rPr>
        <w:t xml:space="preserve">деляют </w:t>
      </w:r>
      <w:r w:rsidR="002D4628">
        <w:rPr>
          <w:sz w:val="28"/>
          <w:szCs w:val="28"/>
        </w:rPr>
        <w:t>на</w:t>
      </w:r>
      <w:r w:rsidR="00E90488">
        <w:rPr>
          <w:sz w:val="28"/>
          <w:szCs w:val="28"/>
        </w:rPr>
        <w:t xml:space="preserve"> </w:t>
      </w:r>
      <w:r w:rsidR="001E2A41" w:rsidRPr="00B0265C">
        <w:rPr>
          <w:sz w:val="28"/>
          <w:szCs w:val="28"/>
        </w:rPr>
        <w:t>таблетки</w:t>
      </w:r>
      <w:r w:rsidR="00207CD5" w:rsidRPr="00B0265C">
        <w:rPr>
          <w:sz w:val="28"/>
          <w:szCs w:val="28"/>
        </w:rPr>
        <w:t xml:space="preserve">, </w:t>
      </w:r>
      <w:r w:rsidR="001E2A41" w:rsidRPr="00B0265C">
        <w:rPr>
          <w:sz w:val="28"/>
          <w:szCs w:val="28"/>
        </w:rPr>
        <w:t>капсулы</w:t>
      </w:r>
      <w:r w:rsidR="00E90488">
        <w:rPr>
          <w:sz w:val="28"/>
          <w:szCs w:val="28"/>
        </w:rPr>
        <w:t>,</w:t>
      </w:r>
      <w:r w:rsidR="001E2A41" w:rsidRPr="00B0265C">
        <w:rPr>
          <w:sz w:val="28"/>
          <w:szCs w:val="28"/>
        </w:rPr>
        <w:t xml:space="preserve"> гранулы</w:t>
      </w:r>
      <w:r w:rsidR="00207CD5" w:rsidRPr="00B0265C">
        <w:rPr>
          <w:sz w:val="28"/>
          <w:szCs w:val="28"/>
        </w:rPr>
        <w:t xml:space="preserve">, </w:t>
      </w:r>
      <w:r w:rsidR="001E2A41" w:rsidRPr="00B0265C">
        <w:rPr>
          <w:sz w:val="28"/>
          <w:szCs w:val="28"/>
        </w:rPr>
        <w:t>порошки</w:t>
      </w:r>
      <w:r w:rsidR="00207CD5" w:rsidRPr="00B0265C">
        <w:rPr>
          <w:sz w:val="28"/>
          <w:szCs w:val="28"/>
        </w:rPr>
        <w:t>,</w:t>
      </w:r>
      <w:r w:rsidR="00E90488">
        <w:rPr>
          <w:sz w:val="28"/>
          <w:szCs w:val="28"/>
        </w:rPr>
        <w:t xml:space="preserve"> пасты, гели </w:t>
      </w:r>
      <w:r w:rsidR="001E2A41" w:rsidRPr="00B0265C">
        <w:rPr>
          <w:sz w:val="28"/>
          <w:szCs w:val="28"/>
        </w:rPr>
        <w:t>для приема внутрь</w:t>
      </w:r>
      <w:r w:rsidR="00437797">
        <w:rPr>
          <w:sz w:val="28"/>
          <w:szCs w:val="28"/>
        </w:rPr>
        <w:t xml:space="preserve">, </w:t>
      </w:r>
      <w:r w:rsidR="001E2A41" w:rsidRPr="00B0265C">
        <w:rPr>
          <w:sz w:val="28"/>
          <w:szCs w:val="28"/>
        </w:rPr>
        <w:t>взвеси (суспензии)</w:t>
      </w:r>
      <w:r w:rsidR="00207CD5" w:rsidRPr="00B0265C">
        <w:rPr>
          <w:sz w:val="28"/>
          <w:szCs w:val="28"/>
        </w:rPr>
        <w:t xml:space="preserve">, </w:t>
      </w:r>
      <w:r w:rsidR="001E2A41" w:rsidRPr="00B0265C">
        <w:rPr>
          <w:sz w:val="28"/>
          <w:szCs w:val="28"/>
        </w:rPr>
        <w:t>коллоид</w:t>
      </w:r>
      <w:r w:rsidR="00273435" w:rsidRPr="00B0265C">
        <w:rPr>
          <w:sz w:val="28"/>
          <w:szCs w:val="28"/>
        </w:rPr>
        <w:t>ные растворы</w:t>
      </w:r>
      <w:r w:rsidR="00207CD5" w:rsidRPr="00B0265C">
        <w:rPr>
          <w:sz w:val="28"/>
          <w:szCs w:val="28"/>
        </w:rPr>
        <w:t>.</w:t>
      </w:r>
    </w:p>
    <w:p w:rsidR="00B0265C" w:rsidRDefault="00B0265C" w:rsidP="0040142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722FD">
        <w:rPr>
          <w:sz w:val="28"/>
          <w:szCs w:val="28"/>
        </w:rPr>
        <w:t xml:space="preserve">В зависимости от </w:t>
      </w:r>
      <w:r w:rsidR="006D59C2" w:rsidRPr="00B0265C">
        <w:rPr>
          <w:sz w:val="28"/>
          <w:szCs w:val="28"/>
        </w:rPr>
        <w:t>механизм</w:t>
      </w:r>
      <w:r w:rsidR="004722FD">
        <w:rPr>
          <w:sz w:val="28"/>
          <w:szCs w:val="28"/>
        </w:rPr>
        <w:t>ов</w:t>
      </w:r>
      <w:r w:rsidR="006D59C2" w:rsidRPr="00B0265C">
        <w:rPr>
          <w:sz w:val="28"/>
          <w:szCs w:val="28"/>
        </w:rPr>
        <w:t xml:space="preserve"> сорбции </w:t>
      </w:r>
      <w:proofErr w:type="spellStart"/>
      <w:r w:rsidR="00161A55">
        <w:rPr>
          <w:sz w:val="28"/>
          <w:szCs w:val="28"/>
        </w:rPr>
        <w:t>энтеросорбенты</w:t>
      </w:r>
      <w:proofErr w:type="spellEnd"/>
      <w:r w:rsidR="00161A55">
        <w:rPr>
          <w:sz w:val="28"/>
          <w:szCs w:val="28"/>
        </w:rPr>
        <w:t xml:space="preserve"> делят на </w:t>
      </w:r>
      <w:r w:rsidR="006D59C2" w:rsidRPr="00B0265C">
        <w:rPr>
          <w:sz w:val="28"/>
          <w:szCs w:val="28"/>
        </w:rPr>
        <w:t>адсорбенты, абсорбенты, ионообменные материалы, сорбенты с катали</w:t>
      </w:r>
      <w:r w:rsidR="004722FD">
        <w:rPr>
          <w:sz w:val="28"/>
          <w:szCs w:val="28"/>
        </w:rPr>
        <w:t>ти</w:t>
      </w:r>
      <w:r w:rsidR="006D59C2" w:rsidRPr="00B0265C">
        <w:rPr>
          <w:sz w:val="28"/>
          <w:szCs w:val="28"/>
        </w:rPr>
        <w:t xml:space="preserve">ческими свойствами, сорбенты с </w:t>
      </w:r>
      <w:r w:rsidR="004722FD">
        <w:rPr>
          <w:sz w:val="28"/>
          <w:szCs w:val="28"/>
        </w:rPr>
        <w:t xml:space="preserve">комплексным </w:t>
      </w:r>
      <w:r w:rsidR="006D59C2" w:rsidRPr="00B0265C">
        <w:rPr>
          <w:sz w:val="28"/>
          <w:szCs w:val="28"/>
        </w:rPr>
        <w:t>механизм</w:t>
      </w:r>
      <w:r w:rsidR="004722FD">
        <w:rPr>
          <w:sz w:val="28"/>
          <w:szCs w:val="28"/>
        </w:rPr>
        <w:t>ом действия</w:t>
      </w:r>
      <w:r w:rsidR="006D59C2" w:rsidRPr="00B0265C">
        <w:rPr>
          <w:sz w:val="28"/>
          <w:szCs w:val="28"/>
        </w:rPr>
        <w:t>.</w:t>
      </w:r>
    </w:p>
    <w:p w:rsidR="006D59C2" w:rsidRDefault="00B26D37" w:rsidP="004377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селективности </w:t>
      </w:r>
      <w:r w:rsidR="002D4628">
        <w:rPr>
          <w:sz w:val="28"/>
          <w:szCs w:val="28"/>
        </w:rPr>
        <w:t>различают</w:t>
      </w:r>
      <w:r>
        <w:rPr>
          <w:sz w:val="28"/>
          <w:szCs w:val="28"/>
        </w:rPr>
        <w:t xml:space="preserve"> </w:t>
      </w:r>
      <w:r w:rsidR="006D59C2" w:rsidRPr="00B0265C">
        <w:rPr>
          <w:sz w:val="28"/>
          <w:szCs w:val="28"/>
        </w:rPr>
        <w:t>селективные</w:t>
      </w:r>
      <w:r w:rsidR="007B6125">
        <w:rPr>
          <w:sz w:val="28"/>
          <w:szCs w:val="28"/>
        </w:rPr>
        <w:t xml:space="preserve"> (ги</w:t>
      </w:r>
      <w:r w:rsidR="007B6125" w:rsidRPr="00014DB3">
        <w:rPr>
          <w:sz w:val="28"/>
          <w:szCs w:val="28"/>
        </w:rPr>
        <w:t>дрогел</w:t>
      </w:r>
      <w:r w:rsidR="007B6125">
        <w:rPr>
          <w:sz w:val="28"/>
          <w:szCs w:val="28"/>
        </w:rPr>
        <w:t xml:space="preserve">и </w:t>
      </w:r>
      <w:proofErr w:type="spellStart"/>
      <w:r w:rsidR="007B6125">
        <w:rPr>
          <w:sz w:val="28"/>
          <w:szCs w:val="28"/>
        </w:rPr>
        <w:t>метилкремниевой</w:t>
      </w:r>
      <w:proofErr w:type="spellEnd"/>
      <w:r w:rsidR="007B6125">
        <w:rPr>
          <w:sz w:val="28"/>
          <w:szCs w:val="28"/>
        </w:rPr>
        <w:t xml:space="preserve"> кисло</w:t>
      </w:r>
      <w:bookmarkStart w:id="0" w:name="_GoBack"/>
      <w:bookmarkEnd w:id="0"/>
      <w:r w:rsidR="007B6125">
        <w:rPr>
          <w:sz w:val="28"/>
          <w:szCs w:val="28"/>
        </w:rPr>
        <w:t>ты)</w:t>
      </w:r>
      <w:r w:rsidR="006D59C2" w:rsidRPr="00B0265C">
        <w:rPr>
          <w:sz w:val="28"/>
          <w:szCs w:val="28"/>
        </w:rPr>
        <w:t>, мон</w:t>
      </w:r>
      <w:proofErr w:type="gramStart"/>
      <w:r w:rsidR="006D59C2" w:rsidRPr="00B0265C">
        <w:rPr>
          <w:sz w:val="28"/>
          <w:szCs w:val="28"/>
        </w:rPr>
        <w:t>о</w:t>
      </w:r>
      <w:r w:rsidR="000B5A0A">
        <w:rPr>
          <w:sz w:val="28"/>
          <w:szCs w:val="28"/>
        </w:rPr>
        <w:t>-</w:t>
      </w:r>
      <w:proofErr w:type="gramEnd"/>
      <w:r w:rsidR="006D59C2" w:rsidRPr="00B0265C">
        <w:rPr>
          <w:sz w:val="28"/>
          <w:szCs w:val="28"/>
        </w:rPr>
        <w:t xml:space="preserve">, </w:t>
      </w:r>
      <w:proofErr w:type="spellStart"/>
      <w:r w:rsidR="006D59C2" w:rsidRPr="00B0265C">
        <w:rPr>
          <w:sz w:val="28"/>
          <w:szCs w:val="28"/>
        </w:rPr>
        <w:t>би</w:t>
      </w:r>
      <w:proofErr w:type="spellEnd"/>
      <w:r w:rsidR="000B5A0A">
        <w:rPr>
          <w:sz w:val="28"/>
          <w:szCs w:val="28"/>
        </w:rPr>
        <w:t>-</w:t>
      </w:r>
      <w:r w:rsidR="006D59C2" w:rsidRPr="00B0265C">
        <w:rPr>
          <w:sz w:val="28"/>
          <w:szCs w:val="28"/>
        </w:rPr>
        <w:t>, полифункциональные, неселективные (угли активированные, природные препараты</w:t>
      </w:r>
      <w:r>
        <w:rPr>
          <w:sz w:val="28"/>
          <w:szCs w:val="28"/>
        </w:rPr>
        <w:t xml:space="preserve"> </w:t>
      </w:r>
      <w:r w:rsidR="007D6EB9">
        <w:rPr>
          <w:sz w:val="28"/>
          <w:szCs w:val="28"/>
        </w:rPr>
        <w:t>–</w:t>
      </w:r>
      <w:r w:rsidR="006D59C2" w:rsidRPr="00B0265C">
        <w:rPr>
          <w:sz w:val="28"/>
          <w:szCs w:val="28"/>
        </w:rPr>
        <w:t xml:space="preserve"> лигнин, хитин, целлюлоза)</w:t>
      </w:r>
      <w:r w:rsidR="002D4628">
        <w:rPr>
          <w:sz w:val="28"/>
          <w:szCs w:val="28"/>
        </w:rPr>
        <w:t xml:space="preserve"> </w:t>
      </w:r>
      <w:proofErr w:type="spellStart"/>
      <w:r w:rsidR="002D4628">
        <w:rPr>
          <w:sz w:val="28"/>
          <w:szCs w:val="28"/>
        </w:rPr>
        <w:t>энтеросорбенты</w:t>
      </w:r>
      <w:proofErr w:type="spellEnd"/>
      <w:r w:rsidR="006D59C2" w:rsidRPr="00B0265C">
        <w:rPr>
          <w:sz w:val="28"/>
          <w:szCs w:val="28"/>
        </w:rPr>
        <w:t>.</w:t>
      </w:r>
    </w:p>
    <w:p w:rsidR="00437797" w:rsidRDefault="008D1B13" w:rsidP="0043779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0265C">
        <w:rPr>
          <w:sz w:val="28"/>
          <w:szCs w:val="28"/>
        </w:rPr>
        <w:t xml:space="preserve">Выбор </w:t>
      </w:r>
      <w:r w:rsidR="00947DB5">
        <w:rPr>
          <w:sz w:val="28"/>
          <w:szCs w:val="28"/>
        </w:rPr>
        <w:t xml:space="preserve"> реактива </w:t>
      </w:r>
      <w:r w:rsidRPr="00B0265C">
        <w:rPr>
          <w:sz w:val="28"/>
          <w:szCs w:val="28"/>
        </w:rPr>
        <w:t>зависит от физико-химических свойств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энтеросорбента</w:t>
      </w:r>
      <w:proofErr w:type="spellEnd"/>
      <w:r>
        <w:rPr>
          <w:sz w:val="28"/>
          <w:szCs w:val="28"/>
        </w:rPr>
        <w:t>.</w:t>
      </w:r>
      <w:r w:rsidR="00B0265C">
        <w:rPr>
          <w:sz w:val="28"/>
          <w:szCs w:val="28"/>
        </w:rPr>
        <w:t xml:space="preserve"> </w:t>
      </w:r>
      <w:r w:rsidRPr="007165BD">
        <w:rPr>
          <w:sz w:val="28"/>
          <w:szCs w:val="28"/>
        </w:rPr>
        <w:t xml:space="preserve">Если не указано иначе, в качестве </w:t>
      </w:r>
      <w:r w:rsidR="00CC71F8">
        <w:rPr>
          <w:sz w:val="28"/>
          <w:szCs w:val="28"/>
        </w:rPr>
        <w:t xml:space="preserve">реактивов </w:t>
      </w:r>
      <w:r w:rsidR="00E90488">
        <w:rPr>
          <w:sz w:val="28"/>
          <w:szCs w:val="28"/>
        </w:rPr>
        <w:t xml:space="preserve">используют </w:t>
      </w:r>
      <w:r w:rsidRPr="007165BD">
        <w:rPr>
          <w:sz w:val="28"/>
          <w:szCs w:val="28"/>
        </w:rPr>
        <w:t>красители</w:t>
      </w:r>
      <w:r w:rsidR="00437797">
        <w:rPr>
          <w:sz w:val="28"/>
          <w:szCs w:val="28"/>
        </w:rPr>
        <w:t xml:space="preserve"> (</w:t>
      </w:r>
      <w:r w:rsidRPr="007165BD">
        <w:rPr>
          <w:sz w:val="28"/>
          <w:szCs w:val="28"/>
        </w:rPr>
        <w:t>мети</w:t>
      </w:r>
      <w:r w:rsidR="00E90488">
        <w:rPr>
          <w:sz w:val="28"/>
          <w:szCs w:val="28"/>
        </w:rPr>
        <w:t xml:space="preserve">леновый синий, </w:t>
      </w:r>
      <w:proofErr w:type="spellStart"/>
      <w:r w:rsidR="00E90488">
        <w:rPr>
          <w:sz w:val="28"/>
          <w:szCs w:val="28"/>
        </w:rPr>
        <w:t>конго</w:t>
      </w:r>
      <w:proofErr w:type="spellEnd"/>
      <w:r w:rsidR="00E90488">
        <w:rPr>
          <w:sz w:val="28"/>
          <w:szCs w:val="28"/>
        </w:rPr>
        <w:t xml:space="preserve"> красный, </w:t>
      </w:r>
      <w:r w:rsidRPr="007165BD">
        <w:rPr>
          <w:sz w:val="28"/>
          <w:szCs w:val="28"/>
        </w:rPr>
        <w:t>метиловый оранжевый</w:t>
      </w:r>
      <w:r w:rsidR="00437797">
        <w:rPr>
          <w:sz w:val="28"/>
          <w:szCs w:val="28"/>
        </w:rPr>
        <w:t>)</w:t>
      </w:r>
      <w:r w:rsidR="007165BD" w:rsidRPr="007165BD">
        <w:rPr>
          <w:sz w:val="28"/>
          <w:szCs w:val="28"/>
        </w:rPr>
        <w:t xml:space="preserve">, </w:t>
      </w:r>
      <w:r w:rsidR="00437797" w:rsidRPr="007165BD">
        <w:rPr>
          <w:sz w:val="28"/>
          <w:szCs w:val="28"/>
        </w:rPr>
        <w:t xml:space="preserve">желатин с </w:t>
      </w:r>
      <w:proofErr w:type="spellStart"/>
      <w:r w:rsidR="00437797" w:rsidRPr="007165BD">
        <w:rPr>
          <w:sz w:val="28"/>
          <w:szCs w:val="28"/>
        </w:rPr>
        <w:t>биуретовым</w:t>
      </w:r>
      <w:proofErr w:type="spellEnd"/>
      <w:r w:rsidR="00437797" w:rsidRPr="007165BD">
        <w:rPr>
          <w:sz w:val="28"/>
          <w:szCs w:val="28"/>
        </w:rPr>
        <w:t xml:space="preserve"> реактивом</w:t>
      </w:r>
      <w:r w:rsidR="00437797">
        <w:rPr>
          <w:sz w:val="28"/>
          <w:szCs w:val="28"/>
        </w:rPr>
        <w:t xml:space="preserve">, </w:t>
      </w:r>
      <w:r w:rsidR="00401421">
        <w:rPr>
          <w:sz w:val="28"/>
          <w:szCs w:val="28"/>
        </w:rPr>
        <w:t xml:space="preserve">бензол, </w:t>
      </w:r>
      <w:proofErr w:type="spellStart"/>
      <w:r w:rsidR="007165BD" w:rsidRPr="007165BD">
        <w:rPr>
          <w:sz w:val="28"/>
          <w:szCs w:val="28"/>
        </w:rPr>
        <w:t>феназон</w:t>
      </w:r>
      <w:proofErr w:type="spellEnd"/>
      <w:r w:rsidR="00437797">
        <w:rPr>
          <w:sz w:val="28"/>
          <w:szCs w:val="28"/>
        </w:rPr>
        <w:t>.</w:t>
      </w:r>
    </w:p>
    <w:p w:rsidR="00437797" w:rsidRDefault="001F753D" w:rsidP="0043779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2CE">
        <w:rPr>
          <w:sz w:val="28"/>
          <w:szCs w:val="28"/>
        </w:rPr>
        <w:t xml:space="preserve">Для </w:t>
      </w:r>
      <w:r w:rsidR="005D2877">
        <w:rPr>
          <w:sz w:val="28"/>
          <w:szCs w:val="28"/>
        </w:rPr>
        <w:t xml:space="preserve">определения </w:t>
      </w:r>
      <w:r w:rsidR="007B03B6">
        <w:rPr>
          <w:sz w:val="28"/>
          <w:szCs w:val="28"/>
        </w:rPr>
        <w:t>а</w:t>
      </w:r>
      <w:r w:rsidR="007B03B6" w:rsidRPr="006978F6">
        <w:rPr>
          <w:sz w:val="28"/>
          <w:szCs w:val="28"/>
        </w:rPr>
        <w:t>дсорб</w:t>
      </w:r>
      <w:r w:rsidR="007B03B6">
        <w:rPr>
          <w:sz w:val="28"/>
          <w:szCs w:val="28"/>
        </w:rPr>
        <w:t>ционной активности</w:t>
      </w:r>
      <w:r w:rsidR="005D2877">
        <w:rPr>
          <w:sz w:val="28"/>
          <w:szCs w:val="28"/>
        </w:rPr>
        <w:t xml:space="preserve"> </w:t>
      </w:r>
      <w:r w:rsidR="007B03B6">
        <w:rPr>
          <w:sz w:val="28"/>
          <w:szCs w:val="28"/>
        </w:rPr>
        <w:t xml:space="preserve"> </w:t>
      </w:r>
      <w:proofErr w:type="spellStart"/>
      <w:r w:rsidR="00D52550">
        <w:rPr>
          <w:sz w:val="28"/>
          <w:szCs w:val="28"/>
        </w:rPr>
        <w:t>энтеросор</w:t>
      </w:r>
      <w:r w:rsidR="00437797">
        <w:rPr>
          <w:sz w:val="28"/>
          <w:szCs w:val="28"/>
        </w:rPr>
        <w:t>бентов</w:t>
      </w:r>
      <w:proofErr w:type="spellEnd"/>
      <w:r w:rsidR="00437797">
        <w:rPr>
          <w:sz w:val="28"/>
          <w:szCs w:val="28"/>
        </w:rPr>
        <w:t xml:space="preserve"> </w:t>
      </w:r>
      <w:r w:rsidR="007B03B6">
        <w:rPr>
          <w:sz w:val="28"/>
          <w:szCs w:val="28"/>
        </w:rPr>
        <w:t xml:space="preserve">используют </w:t>
      </w:r>
      <w:r w:rsidR="0003336B">
        <w:rPr>
          <w:sz w:val="28"/>
          <w:szCs w:val="28"/>
        </w:rPr>
        <w:t>следующие методы:</w:t>
      </w:r>
    </w:p>
    <w:p w:rsidR="00437797" w:rsidRDefault="00437797" w:rsidP="00437797">
      <w:pPr>
        <w:numPr>
          <w:ilvl w:val="0"/>
          <w:numId w:val="8"/>
        </w:numPr>
        <w:shd w:val="clear" w:color="auto" w:fill="FFFFFF"/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142E" w:rsidRPr="008D1B13">
        <w:rPr>
          <w:sz w:val="28"/>
          <w:szCs w:val="28"/>
        </w:rPr>
        <w:t>пектрофотометрический метод</w:t>
      </w:r>
      <w:r w:rsidR="002D4628">
        <w:rPr>
          <w:sz w:val="28"/>
          <w:szCs w:val="28"/>
        </w:rPr>
        <w:t>,</w:t>
      </w:r>
      <w:r w:rsidR="00F27359" w:rsidRPr="008D1B13">
        <w:rPr>
          <w:sz w:val="28"/>
          <w:szCs w:val="28"/>
        </w:rPr>
        <w:t xml:space="preserve"> </w:t>
      </w:r>
      <w:r w:rsidR="00B26D37">
        <w:rPr>
          <w:sz w:val="28"/>
          <w:szCs w:val="28"/>
        </w:rPr>
        <w:t>а</w:t>
      </w:r>
      <w:r>
        <w:rPr>
          <w:sz w:val="28"/>
          <w:szCs w:val="28"/>
        </w:rPr>
        <w:t xml:space="preserve">дсорбционную активность </w:t>
      </w:r>
      <w:proofErr w:type="spellStart"/>
      <w:r w:rsidR="00836A0B">
        <w:rPr>
          <w:sz w:val="28"/>
          <w:szCs w:val="28"/>
        </w:rPr>
        <w:t>энтеросорбента</w:t>
      </w:r>
      <w:proofErr w:type="spellEnd"/>
      <w:r w:rsidR="00836A0B">
        <w:rPr>
          <w:sz w:val="28"/>
          <w:szCs w:val="28"/>
        </w:rPr>
        <w:t xml:space="preserve"> определяют по разнице </w:t>
      </w:r>
      <w:r w:rsidR="00274C53">
        <w:rPr>
          <w:sz w:val="28"/>
          <w:szCs w:val="28"/>
        </w:rPr>
        <w:t xml:space="preserve">значений </w:t>
      </w:r>
      <w:r w:rsidR="00836A0B">
        <w:rPr>
          <w:sz w:val="28"/>
          <w:szCs w:val="28"/>
        </w:rPr>
        <w:t>оптическ</w:t>
      </w:r>
      <w:r w:rsidR="00F27359">
        <w:rPr>
          <w:sz w:val="28"/>
          <w:szCs w:val="28"/>
        </w:rPr>
        <w:t>их</w:t>
      </w:r>
      <w:r w:rsidR="00836A0B">
        <w:rPr>
          <w:sz w:val="28"/>
          <w:szCs w:val="28"/>
        </w:rPr>
        <w:t xml:space="preserve"> плотност</w:t>
      </w:r>
      <w:r w:rsidR="00F27359">
        <w:rPr>
          <w:sz w:val="28"/>
          <w:szCs w:val="28"/>
        </w:rPr>
        <w:t>ей</w:t>
      </w:r>
      <w:r w:rsidR="00836A0B">
        <w:rPr>
          <w:sz w:val="28"/>
          <w:szCs w:val="28"/>
        </w:rPr>
        <w:t xml:space="preserve"> раствора </w:t>
      </w:r>
      <w:r w:rsidR="004722FD">
        <w:rPr>
          <w:sz w:val="28"/>
          <w:szCs w:val="28"/>
        </w:rPr>
        <w:t xml:space="preserve">реактива </w:t>
      </w:r>
      <w:r w:rsidR="00B164DF">
        <w:rPr>
          <w:sz w:val="28"/>
          <w:szCs w:val="28"/>
        </w:rPr>
        <w:t xml:space="preserve">после </w:t>
      </w:r>
      <w:r w:rsidR="00836A0B">
        <w:rPr>
          <w:sz w:val="28"/>
          <w:szCs w:val="28"/>
        </w:rPr>
        <w:t xml:space="preserve">контакта </w:t>
      </w:r>
      <w:r w:rsidR="00F27359">
        <w:rPr>
          <w:sz w:val="28"/>
          <w:szCs w:val="28"/>
        </w:rPr>
        <w:t>и</w:t>
      </w:r>
      <w:r w:rsidR="00836A0B">
        <w:rPr>
          <w:sz w:val="28"/>
          <w:szCs w:val="28"/>
        </w:rPr>
        <w:t xml:space="preserve"> </w:t>
      </w:r>
      <w:r w:rsidR="00B164DF">
        <w:rPr>
          <w:sz w:val="28"/>
          <w:szCs w:val="28"/>
        </w:rPr>
        <w:t>до</w:t>
      </w:r>
      <w:r w:rsidR="00B164DF" w:rsidDel="00B164DF">
        <w:rPr>
          <w:sz w:val="28"/>
          <w:szCs w:val="28"/>
        </w:rPr>
        <w:t xml:space="preserve"> </w:t>
      </w:r>
      <w:r w:rsidR="00836A0B">
        <w:rPr>
          <w:sz w:val="28"/>
          <w:szCs w:val="28"/>
        </w:rPr>
        <w:t xml:space="preserve">контакта с </w:t>
      </w:r>
      <w:proofErr w:type="spellStart"/>
      <w:r w:rsidR="00B164DF">
        <w:rPr>
          <w:sz w:val="28"/>
          <w:szCs w:val="28"/>
        </w:rPr>
        <w:t>энтеросорбентом</w:t>
      </w:r>
      <w:proofErr w:type="spellEnd"/>
      <w:r w:rsidR="00B164DF">
        <w:rPr>
          <w:sz w:val="28"/>
          <w:szCs w:val="28"/>
        </w:rPr>
        <w:t xml:space="preserve"> </w:t>
      </w:r>
      <w:r w:rsidR="00836A0B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определенного времени;</w:t>
      </w:r>
    </w:p>
    <w:p w:rsidR="0020408D" w:rsidRPr="0020408D" w:rsidRDefault="00437797" w:rsidP="0020408D">
      <w:pPr>
        <w:numPr>
          <w:ilvl w:val="0"/>
          <w:numId w:val="8"/>
        </w:numPr>
        <w:shd w:val="clear" w:color="auto" w:fill="FFFFFF"/>
        <w:spacing w:line="360" w:lineRule="auto"/>
        <w:ind w:left="142" w:firstLine="0"/>
        <w:jc w:val="both"/>
        <w:rPr>
          <w:sz w:val="28"/>
          <w:szCs w:val="28"/>
        </w:rPr>
      </w:pPr>
      <w:proofErr w:type="spellStart"/>
      <w:r w:rsidRPr="0020408D">
        <w:rPr>
          <w:sz w:val="28"/>
          <w:szCs w:val="28"/>
        </w:rPr>
        <w:t>т</w:t>
      </w:r>
      <w:r w:rsidR="0082142E" w:rsidRPr="0020408D">
        <w:rPr>
          <w:sz w:val="28"/>
          <w:szCs w:val="28"/>
        </w:rPr>
        <w:t>итриметрический</w:t>
      </w:r>
      <w:proofErr w:type="spellEnd"/>
      <w:r w:rsidR="0082142E" w:rsidRPr="0020408D">
        <w:rPr>
          <w:sz w:val="28"/>
          <w:szCs w:val="28"/>
        </w:rPr>
        <w:t xml:space="preserve"> метод</w:t>
      </w:r>
      <w:r w:rsidR="002D4628">
        <w:rPr>
          <w:sz w:val="28"/>
          <w:szCs w:val="28"/>
        </w:rPr>
        <w:t>,</w:t>
      </w:r>
      <w:r w:rsidR="00B26D37" w:rsidRPr="0020408D">
        <w:rPr>
          <w:sz w:val="28"/>
          <w:szCs w:val="28"/>
        </w:rPr>
        <w:t xml:space="preserve"> о</w:t>
      </w:r>
      <w:r w:rsidR="00836A0B" w:rsidRPr="0020408D">
        <w:rPr>
          <w:sz w:val="28"/>
          <w:szCs w:val="28"/>
        </w:rPr>
        <w:t xml:space="preserve">пределение основано на </w:t>
      </w:r>
      <w:r w:rsidR="00B26D37" w:rsidRPr="0020408D">
        <w:rPr>
          <w:sz w:val="28"/>
          <w:szCs w:val="28"/>
        </w:rPr>
        <w:t>титровании</w:t>
      </w:r>
      <w:r w:rsidR="009B6BAF" w:rsidRPr="0020408D">
        <w:rPr>
          <w:sz w:val="28"/>
          <w:szCs w:val="28"/>
        </w:rPr>
        <w:t xml:space="preserve"> избытка</w:t>
      </w:r>
      <w:r w:rsidR="004722FD" w:rsidRPr="0020408D">
        <w:rPr>
          <w:sz w:val="28"/>
          <w:szCs w:val="28"/>
        </w:rPr>
        <w:t xml:space="preserve"> реактива</w:t>
      </w:r>
      <w:r w:rsidR="00207CD5" w:rsidRPr="0020408D">
        <w:rPr>
          <w:sz w:val="28"/>
          <w:szCs w:val="28"/>
        </w:rPr>
        <w:t xml:space="preserve"> </w:t>
      </w:r>
      <w:r w:rsidR="003576BD" w:rsidRPr="0020408D">
        <w:rPr>
          <w:sz w:val="28"/>
          <w:szCs w:val="28"/>
        </w:rPr>
        <w:t>(</w:t>
      </w:r>
      <w:proofErr w:type="spellStart"/>
      <w:r w:rsidR="00E90488">
        <w:rPr>
          <w:sz w:val="28"/>
          <w:szCs w:val="28"/>
        </w:rPr>
        <w:t>неадсорбированное</w:t>
      </w:r>
      <w:proofErr w:type="spellEnd"/>
      <w:r w:rsidR="00E90488">
        <w:rPr>
          <w:sz w:val="28"/>
          <w:szCs w:val="28"/>
        </w:rPr>
        <w:t xml:space="preserve"> </w:t>
      </w:r>
      <w:r w:rsidR="009B6BAF" w:rsidRPr="0020408D">
        <w:rPr>
          <w:sz w:val="28"/>
          <w:szCs w:val="28"/>
        </w:rPr>
        <w:t>количество)</w:t>
      </w:r>
      <w:r w:rsidR="00B164DF" w:rsidRPr="0020408D">
        <w:rPr>
          <w:sz w:val="28"/>
          <w:szCs w:val="28"/>
        </w:rPr>
        <w:t>, оставшегося после контакта с препаратом</w:t>
      </w:r>
      <w:r w:rsidR="00A57E23" w:rsidRPr="0020408D">
        <w:rPr>
          <w:sz w:val="28"/>
          <w:szCs w:val="28"/>
        </w:rPr>
        <w:t>, например,</w:t>
      </w:r>
      <w:r w:rsidR="00161A55" w:rsidRPr="0020408D">
        <w:rPr>
          <w:sz w:val="28"/>
          <w:szCs w:val="28"/>
        </w:rPr>
        <w:t xml:space="preserve"> й</w:t>
      </w:r>
      <w:r w:rsidR="009B6BAF" w:rsidRPr="0020408D">
        <w:rPr>
          <w:sz w:val="28"/>
          <w:szCs w:val="28"/>
        </w:rPr>
        <w:t>одометрическое титрование</w:t>
      </w:r>
      <w:r w:rsidR="0020408D" w:rsidRPr="0020408D">
        <w:rPr>
          <w:sz w:val="28"/>
          <w:szCs w:val="28"/>
        </w:rPr>
        <w:t xml:space="preserve"> </w:t>
      </w:r>
      <w:r w:rsidR="00161A55" w:rsidRPr="0020408D">
        <w:rPr>
          <w:sz w:val="28"/>
          <w:szCs w:val="28"/>
        </w:rPr>
        <w:t>(</w:t>
      </w:r>
      <w:r w:rsidR="009B6BAF" w:rsidRPr="0020408D">
        <w:rPr>
          <w:sz w:val="28"/>
          <w:szCs w:val="28"/>
        </w:rPr>
        <w:t>избыт</w:t>
      </w:r>
      <w:r w:rsidR="00161A55" w:rsidRPr="0020408D">
        <w:rPr>
          <w:sz w:val="28"/>
          <w:szCs w:val="28"/>
        </w:rPr>
        <w:t>о</w:t>
      </w:r>
      <w:r w:rsidR="009B6BAF" w:rsidRPr="0020408D">
        <w:rPr>
          <w:sz w:val="28"/>
          <w:szCs w:val="28"/>
        </w:rPr>
        <w:t>к</w:t>
      </w:r>
      <w:r w:rsidR="00161A55" w:rsidRPr="0020408D">
        <w:rPr>
          <w:sz w:val="28"/>
          <w:szCs w:val="28"/>
        </w:rPr>
        <w:t xml:space="preserve"> </w:t>
      </w:r>
      <w:r w:rsidR="009B6BAF" w:rsidRPr="0020408D">
        <w:rPr>
          <w:sz w:val="28"/>
          <w:szCs w:val="28"/>
        </w:rPr>
        <w:t>метиленового синего</w:t>
      </w:r>
      <w:r w:rsidR="0023440B" w:rsidRPr="0020408D">
        <w:rPr>
          <w:sz w:val="28"/>
          <w:szCs w:val="28"/>
        </w:rPr>
        <w:t>)</w:t>
      </w:r>
      <w:r w:rsidR="00691B5D" w:rsidRPr="00691B5D">
        <w:rPr>
          <w:sz w:val="28"/>
          <w:szCs w:val="28"/>
        </w:rPr>
        <w:t>,</w:t>
      </w:r>
      <w:r w:rsidR="0023440B" w:rsidRPr="0020408D">
        <w:rPr>
          <w:sz w:val="28"/>
          <w:szCs w:val="28"/>
        </w:rPr>
        <w:t xml:space="preserve"> </w:t>
      </w:r>
      <w:proofErr w:type="spellStart"/>
      <w:r w:rsidR="00D1092C" w:rsidRPr="0020408D">
        <w:rPr>
          <w:sz w:val="28"/>
          <w:szCs w:val="28"/>
        </w:rPr>
        <w:t>бромат-бромидное</w:t>
      </w:r>
      <w:proofErr w:type="spellEnd"/>
      <w:r w:rsidR="00D1092C" w:rsidRPr="0020408D">
        <w:rPr>
          <w:sz w:val="28"/>
          <w:szCs w:val="28"/>
        </w:rPr>
        <w:t xml:space="preserve"> титрование</w:t>
      </w:r>
      <w:r w:rsidR="009B6BAF" w:rsidRPr="0020408D">
        <w:rPr>
          <w:sz w:val="28"/>
          <w:szCs w:val="28"/>
        </w:rPr>
        <w:t xml:space="preserve"> </w:t>
      </w:r>
      <w:r w:rsidR="0023440B" w:rsidRPr="0020408D">
        <w:rPr>
          <w:sz w:val="28"/>
          <w:szCs w:val="28"/>
        </w:rPr>
        <w:t>(</w:t>
      </w:r>
      <w:r w:rsidR="009B6BAF" w:rsidRPr="0020408D">
        <w:rPr>
          <w:sz w:val="28"/>
          <w:szCs w:val="28"/>
        </w:rPr>
        <w:t>избыт</w:t>
      </w:r>
      <w:r w:rsidR="0023440B" w:rsidRPr="0020408D">
        <w:rPr>
          <w:sz w:val="28"/>
          <w:szCs w:val="28"/>
        </w:rPr>
        <w:t>о</w:t>
      </w:r>
      <w:r w:rsidR="009B6BAF" w:rsidRPr="0020408D">
        <w:rPr>
          <w:sz w:val="28"/>
          <w:szCs w:val="28"/>
        </w:rPr>
        <w:t>к</w:t>
      </w:r>
      <w:r w:rsidR="0023440B" w:rsidRPr="0020408D">
        <w:rPr>
          <w:sz w:val="28"/>
          <w:szCs w:val="28"/>
        </w:rPr>
        <w:t xml:space="preserve"> </w:t>
      </w:r>
      <w:proofErr w:type="spellStart"/>
      <w:r w:rsidRPr="0020408D">
        <w:rPr>
          <w:sz w:val="28"/>
          <w:szCs w:val="28"/>
        </w:rPr>
        <w:t>феназона</w:t>
      </w:r>
      <w:proofErr w:type="spellEnd"/>
      <w:r w:rsidRPr="0020408D">
        <w:rPr>
          <w:sz w:val="28"/>
          <w:szCs w:val="28"/>
        </w:rPr>
        <w:t>);</w:t>
      </w:r>
    </w:p>
    <w:p w:rsidR="00D264D4" w:rsidRPr="0020408D" w:rsidRDefault="00437797" w:rsidP="0020408D">
      <w:pPr>
        <w:numPr>
          <w:ilvl w:val="0"/>
          <w:numId w:val="8"/>
        </w:numPr>
        <w:shd w:val="clear" w:color="auto" w:fill="FFFFFF"/>
        <w:spacing w:line="360" w:lineRule="auto"/>
        <w:ind w:left="142" w:firstLine="0"/>
        <w:jc w:val="both"/>
        <w:rPr>
          <w:sz w:val="28"/>
          <w:szCs w:val="28"/>
        </w:rPr>
      </w:pPr>
      <w:r w:rsidRPr="0020408D">
        <w:rPr>
          <w:sz w:val="28"/>
          <w:szCs w:val="28"/>
        </w:rPr>
        <w:t>г</w:t>
      </w:r>
      <w:r w:rsidR="00401421" w:rsidRPr="0020408D">
        <w:rPr>
          <w:sz w:val="28"/>
          <w:szCs w:val="28"/>
        </w:rPr>
        <w:t>равиметрический метод</w:t>
      </w:r>
      <w:r w:rsidR="002D4628">
        <w:rPr>
          <w:sz w:val="28"/>
          <w:szCs w:val="28"/>
        </w:rPr>
        <w:t>,</w:t>
      </w:r>
      <w:r w:rsidR="00B26D37" w:rsidRPr="0020408D">
        <w:rPr>
          <w:sz w:val="28"/>
          <w:szCs w:val="28"/>
        </w:rPr>
        <w:t xml:space="preserve"> о</w:t>
      </w:r>
      <w:r w:rsidR="00401421" w:rsidRPr="0020408D">
        <w:rPr>
          <w:sz w:val="28"/>
          <w:szCs w:val="28"/>
        </w:rPr>
        <w:t xml:space="preserve">пределение основано на поглощении </w:t>
      </w:r>
      <w:r w:rsidR="0023440B" w:rsidRPr="0020408D">
        <w:rPr>
          <w:sz w:val="28"/>
          <w:szCs w:val="28"/>
        </w:rPr>
        <w:t>лекарственным средством</w:t>
      </w:r>
      <w:r w:rsidR="00401421" w:rsidRPr="0020408D">
        <w:rPr>
          <w:sz w:val="28"/>
          <w:szCs w:val="28"/>
        </w:rPr>
        <w:t xml:space="preserve"> паров бензола</w:t>
      </w:r>
      <w:r w:rsidR="002D7A8C" w:rsidRPr="0020408D">
        <w:rPr>
          <w:sz w:val="28"/>
          <w:szCs w:val="28"/>
        </w:rPr>
        <w:t xml:space="preserve"> в течение определенного времени. </w:t>
      </w:r>
      <w:r w:rsidR="00D1092C" w:rsidRPr="0020408D">
        <w:rPr>
          <w:sz w:val="28"/>
          <w:szCs w:val="28"/>
        </w:rPr>
        <w:t xml:space="preserve">Расчет адсорбционной активности (сорбционный объем пор) проводится по разности массы сорбента после и до взаимодействия с парами бензола с учетом плотности бензола. </w:t>
      </w:r>
    </w:p>
    <w:p w:rsidR="00147027" w:rsidRDefault="007B03B6" w:rsidP="00147027">
      <w:pPr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0B3D" w:rsidRPr="009D52CE">
        <w:rPr>
          <w:sz w:val="28"/>
          <w:szCs w:val="28"/>
        </w:rPr>
        <w:t xml:space="preserve"> фармакопейно</w:t>
      </w:r>
      <w:r>
        <w:rPr>
          <w:sz w:val="28"/>
          <w:szCs w:val="28"/>
        </w:rPr>
        <w:t xml:space="preserve">й статье на </w:t>
      </w:r>
      <w:r w:rsidR="00147027">
        <w:rPr>
          <w:sz w:val="28"/>
          <w:szCs w:val="28"/>
        </w:rPr>
        <w:t>лекарственное средство из группы</w:t>
      </w:r>
      <w:r w:rsidR="004103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энтеросорбент</w:t>
      </w:r>
      <w:r w:rsidR="00147027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</w:t>
      </w:r>
      <w:r w:rsidR="00147027">
        <w:rPr>
          <w:sz w:val="28"/>
          <w:szCs w:val="28"/>
        </w:rPr>
        <w:t>для</w:t>
      </w:r>
      <w:r w:rsidR="00F26A8A">
        <w:rPr>
          <w:sz w:val="28"/>
          <w:szCs w:val="28"/>
        </w:rPr>
        <w:t xml:space="preserve"> определени</w:t>
      </w:r>
      <w:r w:rsidR="00147027">
        <w:rPr>
          <w:sz w:val="28"/>
          <w:szCs w:val="28"/>
        </w:rPr>
        <w:t>я</w:t>
      </w:r>
      <w:r w:rsidR="00F26A8A">
        <w:rPr>
          <w:sz w:val="28"/>
          <w:szCs w:val="28"/>
        </w:rPr>
        <w:t xml:space="preserve"> адсорбционной активности </w:t>
      </w:r>
      <w:r w:rsidR="002F0B3D" w:rsidRPr="009D52CE">
        <w:rPr>
          <w:sz w:val="28"/>
          <w:szCs w:val="28"/>
        </w:rPr>
        <w:t>должн</w:t>
      </w:r>
      <w:r w:rsidR="002D4628">
        <w:rPr>
          <w:sz w:val="28"/>
          <w:szCs w:val="28"/>
        </w:rPr>
        <w:t>ы</w:t>
      </w:r>
      <w:r w:rsidR="002F0B3D" w:rsidRPr="009D52CE">
        <w:rPr>
          <w:sz w:val="28"/>
          <w:szCs w:val="28"/>
        </w:rPr>
        <w:t xml:space="preserve"> быть указан</w:t>
      </w:r>
      <w:r w:rsidR="002D4628">
        <w:rPr>
          <w:sz w:val="28"/>
          <w:szCs w:val="28"/>
        </w:rPr>
        <w:t>ы</w:t>
      </w:r>
      <w:r w:rsidR="002F0B3D" w:rsidRPr="009D52CE">
        <w:rPr>
          <w:sz w:val="28"/>
          <w:szCs w:val="28"/>
        </w:rPr>
        <w:t>:</w:t>
      </w:r>
      <w:r w:rsidR="0023440B" w:rsidRPr="0023440B">
        <w:rPr>
          <w:sz w:val="28"/>
          <w:szCs w:val="28"/>
        </w:rPr>
        <w:t xml:space="preserve"> </w:t>
      </w:r>
    </w:p>
    <w:p w:rsidR="00147027" w:rsidRDefault="007C2873" w:rsidP="00147027">
      <w:pPr>
        <w:numPr>
          <w:ilvl w:val="0"/>
          <w:numId w:val="9"/>
        </w:numPr>
        <w:spacing w:line="360" w:lineRule="auto"/>
        <w:ind w:left="426" w:right="-143"/>
        <w:jc w:val="both"/>
        <w:rPr>
          <w:sz w:val="28"/>
          <w:szCs w:val="28"/>
        </w:rPr>
      </w:pPr>
      <w:r w:rsidRPr="007C2873">
        <w:rPr>
          <w:sz w:val="28"/>
          <w:szCs w:val="28"/>
        </w:rPr>
        <w:t>м</w:t>
      </w:r>
      <w:r w:rsidR="002F0B3D" w:rsidRPr="007C2873">
        <w:rPr>
          <w:sz w:val="28"/>
          <w:szCs w:val="28"/>
        </w:rPr>
        <w:t>етод;</w:t>
      </w:r>
    </w:p>
    <w:p w:rsidR="00147027" w:rsidRDefault="0023440B" w:rsidP="00147027">
      <w:pPr>
        <w:numPr>
          <w:ilvl w:val="0"/>
          <w:numId w:val="9"/>
        </w:numPr>
        <w:spacing w:line="360" w:lineRule="auto"/>
        <w:ind w:left="426" w:right="-143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пределы адсорбционной активности, которые в соответствии с анализируемой лекарственной формой могут быть выражены в: мг/</w:t>
      </w:r>
      <w:proofErr w:type="spellStart"/>
      <w:r>
        <w:rPr>
          <w:sz w:val="28"/>
          <w:szCs w:val="28"/>
        </w:rPr>
        <w:t>табл</w:t>
      </w:r>
      <w:proofErr w:type="spellEnd"/>
      <w:r>
        <w:rPr>
          <w:sz w:val="28"/>
          <w:szCs w:val="28"/>
        </w:rPr>
        <w:t>, мг/</w:t>
      </w:r>
      <w:proofErr w:type="spellStart"/>
      <w:r>
        <w:rPr>
          <w:sz w:val="28"/>
          <w:szCs w:val="28"/>
        </w:rPr>
        <w:t>капс</w:t>
      </w:r>
      <w:proofErr w:type="spellEnd"/>
      <w:r>
        <w:rPr>
          <w:sz w:val="28"/>
          <w:szCs w:val="28"/>
        </w:rPr>
        <w:t xml:space="preserve">, мг/г, мкг/мл, </w:t>
      </w:r>
      <w:proofErr w:type="spellStart"/>
      <w:r>
        <w:rPr>
          <w:sz w:val="28"/>
          <w:szCs w:val="28"/>
        </w:rPr>
        <w:t>мкмоль</w:t>
      </w:r>
      <w:proofErr w:type="spellEnd"/>
      <w:r>
        <w:rPr>
          <w:sz w:val="28"/>
          <w:szCs w:val="28"/>
        </w:rPr>
        <w:t>/г, см</w:t>
      </w:r>
      <w:r w:rsidRPr="002D7A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</w:t>
      </w:r>
      <w:r w:rsidR="00622B6D">
        <w:rPr>
          <w:sz w:val="28"/>
          <w:szCs w:val="28"/>
        </w:rPr>
        <w:t>;</w:t>
      </w:r>
    </w:p>
    <w:p w:rsidR="00B0043E" w:rsidRPr="007C2873" w:rsidRDefault="007C2873" w:rsidP="00147027">
      <w:pPr>
        <w:numPr>
          <w:ilvl w:val="0"/>
          <w:numId w:val="9"/>
        </w:numPr>
        <w:spacing w:line="360" w:lineRule="auto"/>
        <w:ind w:left="426" w:right="-14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043E" w:rsidRPr="007C2873">
        <w:rPr>
          <w:sz w:val="28"/>
          <w:szCs w:val="28"/>
        </w:rPr>
        <w:t xml:space="preserve">авеска </w:t>
      </w:r>
      <w:r w:rsidR="0023440B">
        <w:rPr>
          <w:sz w:val="28"/>
          <w:szCs w:val="28"/>
        </w:rPr>
        <w:t>лекарственного средства</w:t>
      </w:r>
      <w:r w:rsidR="00B0043E" w:rsidRPr="007C2873">
        <w:rPr>
          <w:sz w:val="28"/>
          <w:szCs w:val="28"/>
        </w:rPr>
        <w:t xml:space="preserve"> </w:t>
      </w:r>
      <w:r w:rsidRPr="007C2873">
        <w:rPr>
          <w:sz w:val="28"/>
          <w:szCs w:val="28"/>
        </w:rPr>
        <w:t>(мг)</w:t>
      </w:r>
      <w:r>
        <w:rPr>
          <w:sz w:val="28"/>
          <w:szCs w:val="28"/>
        </w:rPr>
        <w:t>;</w:t>
      </w:r>
    </w:p>
    <w:p w:rsidR="0082142E" w:rsidRDefault="004722FD" w:rsidP="00147027">
      <w:pPr>
        <w:pStyle w:val="a4"/>
        <w:numPr>
          <w:ilvl w:val="0"/>
          <w:numId w:val="9"/>
        </w:numPr>
        <w:spacing w:line="360" w:lineRule="auto"/>
        <w:ind w:left="426" w:right="-143"/>
        <w:rPr>
          <w:sz w:val="28"/>
          <w:szCs w:val="28"/>
        </w:rPr>
      </w:pPr>
      <w:r>
        <w:rPr>
          <w:sz w:val="28"/>
          <w:szCs w:val="28"/>
        </w:rPr>
        <w:t xml:space="preserve"> реактив</w:t>
      </w:r>
      <w:r w:rsidR="00207CD5">
        <w:rPr>
          <w:sz w:val="28"/>
          <w:szCs w:val="28"/>
        </w:rPr>
        <w:t>;</w:t>
      </w:r>
      <w:r w:rsidR="007C2873">
        <w:rPr>
          <w:sz w:val="28"/>
          <w:szCs w:val="28"/>
        </w:rPr>
        <w:t xml:space="preserve"> </w:t>
      </w:r>
    </w:p>
    <w:p w:rsidR="004B4CC0" w:rsidRDefault="0023440B" w:rsidP="00147027">
      <w:pPr>
        <w:pStyle w:val="a4"/>
        <w:numPr>
          <w:ilvl w:val="0"/>
          <w:numId w:val="9"/>
        </w:numPr>
        <w:spacing w:line="360" w:lineRule="auto"/>
        <w:ind w:left="426" w:right="-143"/>
        <w:rPr>
          <w:sz w:val="28"/>
          <w:szCs w:val="28"/>
        </w:rPr>
      </w:pPr>
      <w:r>
        <w:rPr>
          <w:sz w:val="28"/>
          <w:szCs w:val="28"/>
        </w:rPr>
        <w:t xml:space="preserve">методика приготовления раствора </w:t>
      </w:r>
      <w:r w:rsidR="004722FD">
        <w:rPr>
          <w:sz w:val="28"/>
          <w:szCs w:val="28"/>
        </w:rPr>
        <w:t xml:space="preserve"> реактива </w:t>
      </w:r>
      <w:r>
        <w:rPr>
          <w:sz w:val="28"/>
          <w:szCs w:val="28"/>
        </w:rPr>
        <w:t>(с указанием используемого растворителя)</w:t>
      </w:r>
      <w:r w:rsidR="00207CD5">
        <w:rPr>
          <w:sz w:val="28"/>
          <w:szCs w:val="28"/>
        </w:rPr>
        <w:t>;</w:t>
      </w:r>
    </w:p>
    <w:p w:rsidR="0023440B" w:rsidRDefault="0023440B" w:rsidP="00147027">
      <w:pPr>
        <w:pStyle w:val="a4"/>
        <w:numPr>
          <w:ilvl w:val="0"/>
          <w:numId w:val="9"/>
        </w:numPr>
        <w:spacing w:line="360" w:lineRule="auto"/>
        <w:ind w:left="426" w:right="-143"/>
        <w:rPr>
          <w:sz w:val="28"/>
          <w:szCs w:val="28"/>
        </w:rPr>
      </w:pPr>
      <w:r>
        <w:rPr>
          <w:sz w:val="28"/>
          <w:szCs w:val="28"/>
        </w:rPr>
        <w:t>методика проведения испытания (с указанием прибора для встряхивания, времени и числа колебаний в минуту, аналитической длины волны при спектрофотометрическом определении, условий центрифугирования с указанием числа оборотов в минуту и времени центрифугирования или фильтрование с указанием типа фильтра);</w:t>
      </w:r>
    </w:p>
    <w:p w:rsidR="00F26A8A" w:rsidRDefault="001E2A41" w:rsidP="00147027">
      <w:pPr>
        <w:pStyle w:val="a4"/>
        <w:numPr>
          <w:ilvl w:val="0"/>
          <w:numId w:val="9"/>
        </w:numPr>
        <w:spacing w:line="360" w:lineRule="auto"/>
        <w:ind w:left="426" w:right="-143"/>
        <w:rPr>
          <w:sz w:val="28"/>
          <w:szCs w:val="28"/>
        </w:rPr>
      </w:pPr>
      <w:r>
        <w:rPr>
          <w:sz w:val="28"/>
          <w:szCs w:val="28"/>
        </w:rPr>
        <w:t>условия определения при титриметрическ</w:t>
      </w:r>
      <w:r w:rsidR="00101BB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2D7A8C">
        <w:rPr>
          <w:sz w:val="28"/>
          <w:szCs w:val="28"/>
        </w:rPr>
        <w:t xml:space="preserve"> и гравиметрическом </w:t>
      </w:r>
      <w:r>
        <w:rPr>
          <w:sz w:val="28"/>
          <w:szCs w:val="28"/>
        </w:rPr>
        <w:t>методах</w:t>
      </w:r>
      <w:r w:rsidR="00F26A8A">
        <w:rPr>
          <w:sz w:val="28"/>
          <w:szCs w:val="28"/>
        </w:rPr>
        <w:t>;</w:t>
      </w:r>
    </w:p>
    <w:p w:rsidR="00F26A8A" w:rsidRDefault="00147027" w:rsidP="00147027">
      <w:pPr>
        <w:pStyle w:val="a4"/>
        <w:numPr>
          <w:ilvl w:val="0"/>
          <w:numId w:val="9"/>
        </w:numPr>
        <w:spacing w:line="360" w:lineRule="auto"/>
        <w:ind w:left="426" w:right="-143"/>
        <w:rPr>
          <w:sz w:val="28"/>
          <w:szCs w:val="28"/>
        </w:rPr>
      </w:pPr>
      <w:r>
        <w:rPr>
          <w:sz w:val="28"/>
          <w:szCs w:val="28"/>
        </w:rPr>
        <w:t>расчетные формулы.</w:t>
      </w:r>
    </w:p>
    <w:sectPr w:rsidR="00F26A8A" w:rsidSect="00E90488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09" w:rsidRDefault="002F3909" w:rsidP="00E85CFB">
      <w:r>
        <w:separator/>
      </w:r>
    </w:p>
  </w:endnote>
  <w:endnote w:type="continuationSeparator" w:id="0">
    <w:p w:rsidR="002F3909" w:rsidRDefault="002F3909" w:rsidP="00E8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58" w:rsidRDefault="00404A90" w:rsidP="00E85C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509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0958" w:rsidRDefault="00D50958" w:rsidP="006B60B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87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55DCC" w:rsidRPr="00D101A9" w:rsidRDefault="00404A90" w:rsidP="00D101A9">
        <w:pPr>
          <w:pStyle w:val="a6"/>
          <w:jc w:val="center"/>
          <w:rPr>
            <w:sz w:val="28"/>
            <w:szCs w:val="28"/>
          </w:rPr>
        </w:pPr>
        <w:r w:rsidRPr="00155DCC">
          <w:rPr>
            <w:sz w:val="28"/>
            <w:szCs w:val="28"/>
          </w:rPr>
          <w:fldChar w:fldCharType="begin"/>
        </w:r>
        <w:r w:rsidR="00155DCC" w:rsidRPr="00155DCC">
          <w:rPr>
            <w:sz w:val="28"/>
            <w:szCs w:val="28"/>
          </w:rPr>
          <w:instrText xml:space="preserve"> PAGE   \* MERGEFORMAT </w:instrText>
        </w:r>
        <w:r w:rsidRPr="00155DCC">
          <w:rPr>
            <w:sz w:val="28"/>
            <w:szCs w:val="28"/>
          </w:rPr>
          <w:fldChar w:fldCharType="separate"/>
        </w:r>
        <w:r w:rsidR="005C3165">
          <w:rPr>
            <w:noProof/>
            <w:sz w:val="28"/>
            <w:szCs w:val="28"/>
          </w:rPr>
          <w:t>4</w:t>
        </w:r>
        <w:r w:rsidRPr="00155DC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09" w:rsidRDefault="002F3909" w:rsidP="00E85CFB">
      <w:r>
        <w:separator/>
      </w:r>
    </w:p>
  </w:footnote>
  <w:footnote w:type="continuationSeparator" w:id="0">
    <w:p w:rsidR="002F3909" w:rsidRDefault="002F3909" w:rsidP="00E85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FF"/>
    <w:multiLevelType w:val="hybridMultilevel"/>
    <w:tmpl w:val="C8A2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2000"/>
    <w:multiLevelType w:val="hybridMultilevel"/>
    <w:tmpl w:val="B40A78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0A10"/>
    <w:multiLevelType w:val="hybridMultilevel"/>
    <w:tmpl w:val="626C2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330AB7"/>
    <w:multiLevelType w:val="hybridMultilevel"/>
    <w:tmpl w:val="302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91179"/>
    <w:multiLevelType w:val="hybridMultilevel"/>
    <w:tmpl w:val="0A42E1BC"/>
    <w:lvl w:ilvl="0" w:tplc="58788D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507A8F"/>
    <w:multiLevelType w:val="multilevel"/>
    <w:tmpl w:val="FDD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35394"/>
    <w:multiLevelType w:val="hybridMultilevel"/>
    <w:tmpl w:val="3ED0FE7C"/>
    <w:lvl w:ilvl="0" w:tplc="5878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D94B7F"/>
    <w:multiLevelType w:val="hybridMultilevel"/>
    <w:tmpl w:val="5B844290"/>
    <w:lvl w:ilvl="0" w:tplc="45CAC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CD1E01"/>
    <w:multiLevelType w:val="hybridMultilevel"/>
    <w:tmpl w:val="732C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704"/>
    <w:rsid w:val="00014DB3"/>
    <w:rsid w:val="00032273"/>
    <w:rsid w:val="0003336B"/>
    <w:rsid w:val="00074308"/>
    <w:rsid w:val="0009424D"/>
    <w:rsid w:val="000A1F0F"/>
    <w:rsid w:val="000A7AC4"/>
    <w:rsid w:val="000B5A0A"/>
    <w:rsid w:val="000B6CD5"/>
    <w:rsid w:val="000C4F40"/>
    <w:rsid w:val="000E0D3D"/>
    <w:rsid w:val="000F03E7"/>
    <w:rsid w:val="000F3090"/>
    <w:rsid w:val="001005F0"/>
    <w:rsid w:val="00101599"/>
    <w:rsid w:val="00101BBE"/>
    <w:rsid w:val="00113570"/>
    <w:rsid w:val="0011568D"/>
    <w:rsid w:val="00124328"/>
    <w:rsid w:val="00130900"/>
    <w:rsid w:val="001357A5"/>
    <w:rsid w:val="001373DD"/>
    <w:rsid w:val="00147027"/>
    <w:rsid w:val="00153609"/>
    <w:rsid w:val="00155DCC"/>
    <w:rsid w:val="00161A55"/>
    <w:rsid w:val="00167CC4"/>
    <w:rsid w:val="00184C47"/>
    <w:rsid w:val="00190680"/>
    <w:rsid w:val="00196E30"/>
    <w:rsid w:val="001B1F72"/>
    <w:rsid w:val="001E2A41"/>
    <w:rsid w:val="001E73BF"/>
    <w:rsid w:val="001F753D"/>
    <w:rsid w:val="0020408D"/>
    <w:rsid w:val="00204FE6"/>
    <w:rsid w:val="00207CD5"/>
    <w:rsid w:val="0023440B"/>
    <w:rsid w:val="00234B7B"/>
    <w:rsid w:val="00273435"/>
    <w:rsid w:val="00274C53"/>
    <w:rsid w:val="00281E86"/>
    <w:rsid w:val="002A5FD7"/>
    <w:rsid w:val="002D4628"/>
    <w:rsid w:val="002D4CC5"/>
    <w:rsid w:val="002D7A8C"/>
    <w:rsid w:val="002E7003"/>
    <w:rsid w:val="002F0B3D"/>
    <w:rsid w:val="002F3909"/>
    <w:rsid w:val="00302972"/>
    <w:rsid w:val="00307533"/>
    <w:rsid w:val="00312074"/>
    <w:rsid w:val="00355D8D"/>
    <w:rsid w:val="003576BD"/>
    <w:rsid w:val="0037220E"/>
    <w:rsid w:val="00374E96"/>
    <w:rsid w:val="0039132B"/>
    <w:rsid w:val="00394410"/>
    <w:rsid w:val="003A0274"/>
    <w:rsid w:val="003B1EE9"/>
    <w:rsid w:val="003B7246"/>
    <w:rsid w:val="003C634D"/>
    <w:rsid w:val="00401421"/>
    <w:rsid w:val="004016D6"/>
    <w:rsid w:val="00404A90"/>
    <w:rsid w:val="00410337"/>
    <w:rsid w:val="00437797"/>
    <w:rsid w:val="00440A6E"/>
    <w:rsid w:val="00466151"/>
    <w:rsid w:val="004722FD"/>
    <w:rsid w:val="00480502"/>
    <w:rsid w:val="00484658"/>
    <w:rsid w:val="00491C05"/>
    <w:rsid w:val="004A0FC8"/>
    <w:rsid w:val="004A1E62"/>
    <w:rsid w:val="004B4B04"/>
    <w:rsid w:val="004B4CC0"/>
    <w:rsid w:val="004C04AA"/>
    <w:rsid w:val="004D256E"/>
    <w:rsid w:val="00517CC2"/>
    <w:rsid w:val="0052010E"/>
    <w:rsid w:val="00531055"/>
    <w:rsid w:val="005354BD"/>
    <w:rsid w:val="005432DF"/>
    <w:rsid w:val="00551476"/>
    <w:rsid w:val="00557480"/>
    <w:rsid w:val="005614D6"/>
    <w:rsid w:val="00563995"/>
    <w:rsid w:val="00586871"/>
    <w:rsid w:val="00597EB4"/>
    <w:rsid w:val="005A79CA"/>
    <w:rsid w:val="005B1113"/>
    <w:rsid w:val="005B4655"/>
    <w:rsid w:val="005C3165"/>
    <w:rsid w:val="005D2877"/>
    <w:rsid w:val="005D292E"/>
    <w:rsid w:val="005D2F94"/>
    <w:rsid w:val="00605733"/>
    <w:rsid w:val="006067FC"/>
    <w:rsid w:val="00616AA2"/>
    <w:rsid w:val="00620CAE"/>
    <w:rsid w:val="00622B6D"/>
    <w:rsid w:val="00633123"/>
    <w:rsid w:val="00636CB3"/>
    <w:rsid w:val="00645B4A"/>
    <w:rsid w:val="00656F8B"/>
    <w:rsid w:val="00674AB7"/>
    <w:rsid w:val="006812BB"/>
    <w:rsid w:val="006903DB"/>
    <w:rsid w:val="00691B5D"/>
    <w:rsid w:val="0069339B"/>
    <w:rsid w:val="006978F6"/>
    <w:rsid w:val="006B60BD"/>
    <w:rsid w:val="006C2698"/>
    <w:rsid w:val="006D59C2"/>
    <w:rsid w:val="006D6704"/>
    <w:rsid w:val="006F4533"/>
    <w:rsid w:val="0070351C"/>
    <w:rsid w:val="00714F90"/>
    <w:rsid w:val="007165BD"/>
    <w:rsid w:val="0072405D"/>
    <w:rsid w:val="007829A3"/>
    <w:rsid w:val="00783906"/>
    <w:rsid w:val="00793130"/>
    <w:rsid w:val="00794B90"/>
    <w:rsid w:val="007B03B6"/>
    <w:rsid w:val="007B6125"/>
    <w:rsid w:val="007C2873"/>
    <w:rsid w:val="007D150C"/>
    <w:rsid w:val="007D241F"/>
    <w:rsid w:val="007D29BA"/>
    <w:rsid w:val="007D6EB9"/>
    <w:rsid w:val="007E53A6"/>
    <w:rsid w:val="007E79FD"/>
    <w:rsid w:val="00813D65"/>
    <w:rsid w:val="0082142E"/>
    <w:rsid w:val="00836A0B"/>
    <w:rsid w:val="00840630"/>
    <w:rsid w:val="00851112"/>
    <w:rsid w:val="008A118E"/>
    <w:rsid w:val="008A42D0"/>
    <w:rsid w:val="008A6EC4"/>
    <w:rsid w:val="008B52EE"/>
    <w:rsid w:val="008B5D68"/>
    <w:rsid w:val="008C3C4A"/>
    <w:rsid w:val="008D1B13"/>
    <w:rsid w:val="008D4C88"/>
    <w:rsid w:val="008E1D6A"/>
    <w:rsid w:val="008E3553"/>
    <w:rsid w:val="00900C9C"/>
    <w:rsid w:val="00901F17"/>
    <w:rsid w:val="00910933"/>
    <w:rsid w:val="00915B9A"/>
    <w:rsid w:val="00930869"/>
    <w:rsid w:val="00947DB5"/>
    <w:rsid w:val="00951C4B"/>
    <w:rsid w:val="00954BC1"/>
    <w:rsid w:val="00963DE2"/>
    <w:rsid w:val="00987869"/>
    <w:rsid w:val="00991849"/>
    <w:rsid w:val="009B6BAF"/>
    <w:rsid w:val="009C6E62"/>
    <w:rsid w:val="009E538F"/>
    <w:rsid w:val="009F0637"/>
    <w:rsid w:val="009F6159"/>
    <w:rsid w:val="009F6355"/>
    <w:rsid w:val="009F69C8"/>
    <w:rsid w:val="00A14331"/>
    <w:rsid w:val="00A143D1"/>
    <w:rsid w:val="00A234D6"/>
    <w:rsid w:val="00A260A1"/>
    <w:rsid w:val="00A30AAC"/>
    <w:rsid w:val="00A3121A"/>
    <w:rsid w:val="00A3213B"/>
    <w:rsid w:val="00A3427B"/>
    <w:rsid w:val="00A57E23"/>
    <w:rsid w:val="00A63B0D"/>
    <w:rsid w:val="00A72A06"/>
    <w:rsid w:val="00A9409B"/>
    <w:rsid w:val="00AA005A"/>
    <w:rsid w:val="00AB046C"/>
    <w:rsid w:val="00AB68C4"/>
    <w:rsid w:val="00AD765F"/>
    <w:rsid w:val="00AE2FFD"/>
    <w:rsid w:val="00B0043E"/>
    <w:rsid w:val="00B0265C"/>
    <w:rsid w:val="00B13AFE"/>
    <w:rsid w:val="00B164DF"/>
    <w:rsid w:val="00B26D37"/>
    <w:rsid w:val="00B27161"/>
    <w:rsid w:val="00B31F8C"/>
    <w:rsid w:val="00B663CB"/>
    <w:rsid w:val="00B73EAD"/>
    <w:rsid w:val="00BB6BE7"/>
    <w:rsid w:val="00BD0795"/>
    <w:rsid w:val="00BD3385"/>
    <w:rsid w:val="00BE00A0"/>
    <w:rsid w:val="00BE513C"/>
    <w:rsid w:val="00C203F6"/>
    <w:rsid w:val="00C43548"/>
    <w:rsid w:val="00C5163A"/>
    <w:rsid w:val="00C63BC2"/>
    <w:rsid w:val="00C87333"/>
    <w:rsid w:val="00C92252"/>
    <w:rsid w:val="00CB4D97"/>
    <w:rsid w:val="00CC71F8"/>
    <w:rsid w:val="00CF038A"/>
    <w:rsid w:val="00D03D3E"/>
    <w:rsid w:val="00D07120"/>
    <w:rsid w:val="00D101A9"/>
    <w:rsid w:val="00D1092C"/>
    <w:rsid w:val="00D2598D"/>
    <w:rsid w:val="00D264D4"/>
    <w:rsid w:val="00D2769E"/>
    <w:rsid w:val="00D50958"/>
    <w:rsid w:val="00D52550"/>
    <w:rsid w:val="00D55593"/>
    <w:rsid w:val="00D62591"/>
    <w:rsid w:val="00DA4A71"/>
    <w:rsid w:val="00DB51D4"/>
    <w:rsid w:val="00E047A2"/>
    <w:rsid w:val="00E41088"/>
    <w:rsid w:val="00E41171"/>
    <w:rsid w:val="00E43388"/>
    <w:rsid w:val="00E62C3F"/>
    <w:rsid w:val="00E644D3"/>
    <w:rsid w:val="00E66DBF"/>
    <w:rsid w:val="00E743E2"/>
    <w:rsid w:val="00E85CFB"/>
    <w:rsid w:val="00E90488"/>
    <w:rsid w:val="00EB396E"/>
    <w:rsid w:val="00EE0C51"/>
    <w:rsid w:val="00EE0DF1"/>
    <w:rsid w:val="00EF4828"/>
    <w:rsid w:val="00F1273E"/>
    <w:rsid w:val="00F1610B"/>
    <w:rsid w:val="00F26A8A"/>
    <w:rsid w:val="00F27359"/>
    <w:rsid w:val="00F413F0"/>
    <w:rsid w:val="00F67482"/>
    <w:rsid w:val="00F73A02"/>
    <w:rsid w:val="00F94E3B"/>
    <w:rsid w:val="00FB3CA2"/>
    <w:rsid w:val="00FE2793"/>
    <w:rsid w:val="00FE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C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78F6"/>
    <w:pPr>
      <w:keepNext/>
      <w:ind w:right="-108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6978F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6978F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6978F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670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rsid w:val="006D6704"/>
    <w:pPr>
      <w:ind w:right="-1050"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D6704"/>
    <w:rPr>
      <w:sz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6B60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60BD"/>
  </w:style>
  <w:style w:type="character" w:customStyle="1" w:styleId="10">
    <w:name w:val="Заголовок 1 Знак"/>
    <w:basedOn w:val="a0"/>
    <w:link w:val="1"/>
    <w:rsid w:val="006978F6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6978F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978F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978F6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6978F6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6978F6"/>
    <w:rPr>
      <w:b/>
      <w:sz w:val="24"/>
    </w:rPr>
  </w:style>
  <w:style w:type="paragraph" w:styleId="ab">
    <w:name w:val="Body Text"/>
    <w:basedOn w:val="a"/>
    <w:link w:val="ac"/>
    <w:rsid w:val="00130900"/>
    <w:pPr>
      <w:spacing w:after="120"/>
    </w:pPr>
  </w:style>
  <w:style w:type="character" w:customStyle="1" w:styleId="ac">
    <w:name w:val="Основной текст Знак"/>
    <w:basedOn w:val="a0"/>
    <w:link w:val="ab"/>
    <w:rsid w:val="00130900"/>
    <w:rPr>
      <w:sz w:val="24"/>
      <w:szCs w:val="24"/>
    </w:rPr>
  </w:style>
  <w:style w:type="paragraph" w:styleId="ad">
    <w:name w:val="Plain Text"/>
    <w:basedOn w:val="a"/>
    <w:link w:val="ae"/>
    <w:rsid w:val="0013090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30900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1E7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CF038A"/>
    <w:rPr>
      <w:color w:val="808080"/>
    </w:rPr>
  </w:style>
  <w:style w:type="paragraph" w:styleId="af1">
    <w:name w:val="Balloon Text"/>
    <w:basedOn w:val="a"/>
    <w:link w:val="af2"/>
    <w:rsid w:val="00CF03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F038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F03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F038A"/>
    <w:rPr>
      <w:sz w:val="24"/>
      <w:szCs w:val="24"/>
    </w:rPr>
  </w:style>
  <w:style w:type="character" w:styleId="af5">
    <w:name w:val="Hyperlink"/>
    <w:basedOn w:val="a0"/>
    <w:uiPriority w:val="99"/>
    <w:unhideWhenUsed/>
    <w:rsid w:val="008C3C4A"/>
    <w:rPr>
      <w:color w:val="0000FF"/>
      <w:u w:val="single"/>
    </w:rPr>
  </w:style>
  <w:style w:type="paragraph" w:customStyle="1" w:styleId="simpletext1">
    <w:name w:val="simple_text1"/>
    <w:basedOn w:val="a"/>
    <w:rsid w:val="00014DB3"/>
    <w:pPr>
      <w:spacing w:before="100" w:beforeAutospacing="1" w:after="100" w:afterAutospacing="1" w:line="315" w:lineRule="atLeast"/>
    </w:pPr>
    <w:rPr>
      <w:color w:val="000000"/>
    </w:rPr>
  </w:style>
  <w:style w:type="character" w:customStyle="1" w:styleId="sub">
    <w:name w:val="sub"/>
    <w:basedOn w:val="a0"/>
    <w:rsid w:val="00014DB3"/>
  </w:style>
  <w:style w:type="character" w:styleId="af6">
    <w:name w:val="annotation reference"/>
    <w:basedOn w:val="a0"/>
    <w:semiHidden/>
    <w:rsid w:val="000B5A0A"/>
    <w:rPr>
      <w:sz w:val="16"/>
      <w:szCs w:val="16"/>
    </w:rPr>
  </w:style>
  <w:style w:type="paragraph" w:styleId="af7">
    <w:name w:val="annotation text"/>
    <w:basedOn w:val="a"/>
    <w:semiHidden/>
    <w:rsid w:val="000B5A0A"/>
    <w:rPr>
      <w:sz w:val="20"/>
      <w:szCs w:val="20"/>
    </w:rPr>
  </w:style>
  <w:style w:type="paragraph" w:styleId="af8">
    <w:name w:val="annotation subject"/>
    <w:basedOn w:val="af7"/>
    <w:next w:val="af7"/>
    <w:semiHidden/>
    <w:rsid w:val="000B5A0A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155D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589">
      <w:bodyDiv w:val="1"/>
      <w:marLeft w:val="0"/>
      <w:marRight w:val="0"/>
      <w:marTop w:val="375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703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Энтеросорбенты (ЭС) – это лекарственные средства, способные адсорбировать в пищеварительном тракте различные токсичные вещества и микроорганизмы эндо- и экзогенного происхождения, не вступая с ними в химическую реакцию</vt:lpstr>
    </vt:vector>
  </TitlesOfParts>
  <Company>NCESMP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Энтеросорбенты (ЭС) – это лекарственные средства, способные адсорбировать в пищеварительном тракте различные токсичные вещества и микроорганизмы эндо- и экзогенного происхождения, не вступая с ними в химическую реакцию</dc:title>
  <dc:creator>Gernikova</dc:creator>
  <cp:lastModifiedBy>mochikina</cp:lastModifiedBy>
  <cp:revision>9</cp:revision>
  <cp:lastPrinted>2014-06-25T07:03:00Z</cp:lastPrinted>
  <dcterms:created xsi:type="dcterms:W3CDTF">2014-12-25T08:35:00Z</dcterms:created>
  <dcterms:modified xsi:type="dcterms:W3CDTF">2015-03-31T11:59:00Z</dcterms:modified>
</cp:coreProperties>
</file>