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056" w:rsidRPr="00811336" w:rsidRDefault="00344056" w:rsidP="00344056">
      <w:pPr>
        <w:pStyle w:val="a6"/>
        <w:jc w:val="center"/>
        <w:rPr>
          <w:b/>
          <w:spacing w:val="-20"/>
          <w:szCs w:val="28"/>
        </w:rPr>
      </w:pPr>
      <w:r w:rsidRPr="00811336">
        <w:rPr>
          <w:b/>
          <w:spacing w:val="-20"/>
          <w:szCs w:val="28"/>
        </w:rPr>
        <w:t>МИНИСТЕРСТВО ЗДРАВООХРАНЕНИЯ РОССИЙСКОЙ ФЕДЕРАЦИИ</w:t>
      </w:r>
    </w:p>
    <w:p w:rsidR="00344056" w:rsidRPr="00D54992" w:rsidRDefault="00344056" w:rsidP="00344056">
      <w:pPr>
        <w:pStyle w:val="3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snapToGrid w:val="0"/>
          <w:sz w:val="28"/>
          <w:szCs w:val="28"/>
        </w:rPr>
      </w:pPr>
    </w:p>
    <w:p w:rsidR="00811336" w:rsidRPr="00D54992" w:rsidRDefault="00811336" w:rsidP="00344056">
      <w:pPr>
        <w:pStyle w:val="3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snapToGrid w:val="0"/>
          <w:sz w:val="28"/>
          <w:szCs w:val="28"/>
        </w:rPr>
      </w:pPr>
    </w:p>
    <w:p w:rsidR="00344056" w:rsidRPr="0044724B" w:rsidRDefault="00344056" w:rsidP="00344056">
      <w:pPr>
        <w:pStyle w:val="3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snapToGrid w:val="0"/>
          <w:sz w:val="32"/>
        </w:rPr>
      </w:pPr>
      <w:r>
        <w:rPr>
          <w:rFonts w:ascii="Times New Roman" w:hAnsi="Times New Roman"/>
          <w:b/>
          <w:snapToGrid w:val="0"/>
          <w:sz w:val="32"/>
        </w:rPr>
        <w:t>ОБЩАЯ ФАРМАКОПЕЙНАЯ СТАТЬЯ</w:t>
      </w:r>
    </w:p>
    <w:p w:rsidR="00344056" w:rsidRPr="00FD7E14" w:rsidRDefault="00344056" w:rsidP="00344056">
      <w:pPr>
        <w:shd w:val="clear" w:color="auto" w:fill="FFFFFF"/>
        <w:tabs>
          <w:tab w:val="left" w:pos="5387"/>
        </w:tabs>
        <w:rPr>
          <w:sz w:val="28"/>
          <w:szCs w:val="28"/>
        </w:rPr>
      </w:pPr>
      <w:r w:rsidRPr="00FD7E14">
        <w:rPr>
          <w:b/>
          <w:bCs/>
          <w:sz w:val="28"/>
          <w:szCs w:val="28"/>
        </w:rPr>
        <w:t>Иммуноглобулины</w:t>
      </w:r>
      <w:r w:rsidRPr="00FD7E14">
        <w:rPr>
          <w:b/>
          <w:bCs/>
          <w:sz w:val="28"/>
          <w:szCs w:val="28"/>
        </w:rPr>
        <w:tab/>
        <w:t>ОФС</w:t>
      </w:r>
    </w:p>
    <w:p w:rsidR="00344056" w:rsidRPr="00FD7E14" w:rsidRDefault="00344056" w:rsidP="00344056">
      <w:pPr>
        <w:shd w:val="clear" w:color="auto" w:fill="FFFFFF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</w:t>
      </w:r>
      <w:r w:rsidRPr="00FD7E14">
        <w:rPr>
          <w:b/>
          <w:bCs/>
          <w:sz w:val="28"/>
          <w:szCs w:val="28"/>
        </w:rPr>
        <w:t xml:space="preserve"> сыворотки (антитела)</w:t>
      </w:r>
    </w:p>
    <w:p w:rsidR="00344056" w:rsidRPr="00FD7E14" w:rsidRDefault="00344056" w:rsidP="00344056">
      <w:pPr>
        <w:pBdr>
          <w:bottom w:val="single" w:sz="4" w:space="1" w:color="auto"/>
        </w:pBdr>
        <w:shd w:val="clear" w:color="auto" w:fill="FFFFFF"/>
        <w:tabs>
          <w:tab w:val="left" w:pos="5387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</w:t>
      </w:r>
      <w:r w:rsidRPr="00FD7E14">
        <w:rPr>
          <w:b/>
          <w:bCs/>
          <w:sz w:val="28"/>
          <w:szCs w:val="28"/>
        </w:rPr>
        <w:t>етерологичные</w:t>
      </w:r>
      <w:proofErr w:type="gramStart"/>
      <w:r w:rsidRPr="00FD7E14">
        <w:rPr>
          <w:b/>
          <w:bCs/>
          <w:sz w:val="28"/>
          <w:szCs w:val="28"/>
        </w:rPr>
        <w:tab/>
      </w:r>
      <w:r w:rsidRPr="00811336">
        <w:rPr>
          <w:bCs/>
          <w:sz w:val="28"/>
          <w:szCs w:val="28"/>
        </w:rPr>
        <w:t>В</w:t>
      </w:r>
      <w:proofErr w:type="gramEnd"/>
      <w:r w:rsidRPr="00811336">
        <w:rPr>
          <w:bCs/>
          <w:sz w:val="28"/>
          <w:szCs w:val="28"/>
        </w:rPr>
        <w:t>водится впервые</w:t>
      </w:r>
    </w:p>
    <w:p w:rsidR="00344056" w:rsidRDefault="00344056" w:rsidP="00344056">
      <w:pPr>
        <w:spacing w:line="360" w:lineRule="auto"/>
        <w:ind w:firstLine="709"/>
        <w:jc w:val="both"/>
        <w:rPr>
          <w:sz w:val="28"/>
          <w:szCs w:val="28"/>
        </w:rPr>
      </w:pPr>
    </w:p>
    <w:p w:rsidR="00344056" w:rsidRDefault="00E05D85" w:rsidP="0034405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Настоящая общая фармакопейная статья распространяется на иммуноглобулины </w:t>
      </w:r>
      <w:r w:rsidR="00344056">
        <w:rPr>
          <w:sz w:val="28"/>
          <w:szCs w:val="28"/>
        </w:rPr>
        <w:t>и сыворотки (антитела) гетерологичные (далее – сыворотки)</w:t>
      </w:r>
      <w:r>
        <w:rPr>
          <w:sz w:val="28"/>
          <w:szCs w:val="28"/>
        </w:rPr>
        <w:t>, которые</w:t>
      </w:r>
      <w:r w:rsidR="00344056">
        <w:rPr>
          <w:sz w:val="28"/>
          <w:szCs w:val="28"/>
        </w:rPr>
        <w:t xml:space="preserve"> представляют собой лекарственные средства, содержащие очищенные иммуноглобулины или их фрагменты, полученные из сыворотки или плазмы </w:t>
      </w:r>
      <w:r w:rsidR="00CE7B93" w:rsidRPr="00EA0873">
        <w:rPr>
          <w:sz w:val="28"/>
          <w:szCs w:val="28"/>
        </w:rPr>
        <w:t xml:space="preserve">крови </w:t>
      </w:r>
      <w:r w:rsidR="00344056" w:rsidRPr="00EA0873">
        <w:rPr>
          <w:sz w:val="28"/>
          <w:szCs w:val="28"/>
        </w:rPr>
        <w:t>ж</w:t>
      </w:r>
      <w:r w:rsidR="00344056">
        <w:rPr>
          <w:sz w:val="28"/>
          <w:szCs w:val="28"/>
        </w:rPr>
        <w:t>ивотных различных видов, иммунизированных соответствующими антигенами. Сыворотки содержат специфические антитела, нейтрализующие или связывающие антигены, использованные для иммунизации животных. В качестве антигенов могут служить микробные или другие токсины, бактерии, вирусы, яды (змей, пауков, скорпионов), некоторые ткани человека.</w:t>
      </w:r>
    </w:p>
    <w:p w:rsidR="00344056" w:rsidRPr="00987BF0" w:rsidRDefault="00344056" w:rsidP="00344056">
      <w:pPr>
        <w:spacing w:line="360" w:lineRule="auto"/>
        <w:ind w:firstLine="709"/>
        <w:jc w:val="both"/>
        <w:rPr>
          <w:b/>
        </w:rPr>
      </w:pPr>
      <w:r>
        <w:rPr>
          <w:sz w:val="28"/>
          <w:szCs w:val="28"/>
        </w:rPr>
        <w:t>Сыворотки могут содержать антитела к одному (</w:t>
      </w:r>
      <w:proofErr w:type="spellStart"/>
      <w:r>
        <w:rPr>
          <w:sz w:val="28"/>
          <w:szCs w:val="28"/>
        </w:rPr>
        <w:t>моновалентные</w:t>
      </w:r>
      <w:proofErr w:type="spellEnd"/>
      <w:r>
        <w:rPr>
          <w:sz w:val="28"/>
          <w:szCs w:val="28"/>
        </w:rPr>
        <w:t xml:space="preserve"> сыворотки) или нескольким (поливалентные сыворотки) антигенам. Поливалентные сыворотки получают иммунизацией животного несколькими видами антигенов или объединением нескольких </w:t>
      </w:r>
      <w:proofErr w:type="spellStart"/>
      <w:r>
        <w:rPr>
          <w:sz w:val="28"/>
          <w:szCs w:val="28"/>
        </w:rPr>
        <w:t>моновалентных</w:t>
      </w:r>
      <w:proofErr w:type="spellEnd"/>
      <w:r>
        <w:rPr>
          <w:sz w:val="28"/>
          <w:szCs w:val="28"/>
        </w:rPr>
        <w:t xml:space="preserve"> сывороток. Сыворотки выпускают в виде жидких или </w:t>
      </w:r>
      <w:proofErr w:type="spellStart"/>
      <w:r>
        <w:rPr>
          <w:sz w:val="28"/>
          <w:szCs w:val="28"/>
        </w:rPr>
        <w:t>лиофилизированных</w:t>
      </w:r>
      <w:proofErr w:type="spellEnd"/>
      <w:r>
        <w:rPr>
          <w:sz w:val="28"/>
          <w:szCs w:val="28"/>
        </w:rPr>
        <w:t xml:space="preserve"> препаратов, предназначенных для введения внутримышечно, подкожно, внутривенно, </w:t>
      </w:r>
      <w:r w:rsidR="00AA16F5" w:rsidRPr="00EA0873">
        <w:rPr>
          <w:sz w:val="28"/>
          <w:szCs w:val="28"/>
        </w:rPr>
        <w:t xml:space="preserve">а также </w:t>
      </w:r>
      <w:r w:rsidRPr="00EA0873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спинномозговой канал. </w:t>
      </w:r>
    </w:p>
    <w:p w:rsidR="00344056" w:rsidRPr="00FD7E14" w:rsidRDefault="00344056" w:rsidP="00693A77">
      <w:pPr>
        <w:spacing w:before="240" w:line="360" w:lineRule="auto"/>
        <w:ind w:firstLine="709"/>
        <w:jc w:val="center"/>
        <w:rPr>
          <w:sz w:val="28"/>
          <w:szCs w:val="28"/>
        </w:rPr>
      </w:pPr>
      <w:r w:rsidRPr="00FD7E14">
        <w:rPr>
          <w:sz w:val="28"/>
          <w:szCs w:val="28"/>
        </w:rPr>
        <w:t>ПРОИЗВОДСТВО</w:t>
      </w:r>
    </w:p>
    <w:p w:rsidR="00344056" w:rsidRPr="00BE2C29" w:rsidRDefault="00344056" w:rsidP="00344056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Требования к животным-продуцентам</w:t>
      </w:r>
    </w:p>
    <w:p w:rsidR="00344056" w:rsidRDefault="00344056" w:rsidP="0034405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Животные, используемые для приготовления сывороток, должны быть абсолютно здоровыми и свободными от </w:t>
      </w:r>
      <w:r w:rsidR="002E47F6">
        <w:rPr>
          <w:sz w:val="28"/>
          <w:szCs w:val="28"/>
        </w:rPr>
        <w:t xml:space="preserve">гельминтов и </w:t>
      </w:r>
      <w:r>
        <w:rPr>
          <w:sz w:val="28"/>
          <w:szCs w:val="28"/>
        </w:rPr>
        <w:t xml:space="preserve">инфекционных агентов, перечисленных в утвержденном перечне заболеваний, в том числе, </w:t>
      </w:r>
      <w:r w:rsidR="002E47F6">
        <w:rPr>
          <w:sz w:val="28"/>
          <w:szCs w:val="28"/>
        </w:rPr>
        <w:lastRenderedPageBreak/>
        <w:t xml:space="preserve">от </w:t>
      </w:r>
      <w:r>
        <w:rPr>
          <w:sz w:val="28"/>
          <w:szCs w:val="28"/>
        </w:rPr>
        <w:t>возбудителей заболеваний, специфичных для мес</w:t>
      </w:r>
      <w:r w:rsidR="002E47F6">
        <w:rPr>
          <w:sz w:val="28"/>
          <w:szCs w:val="28"/>
        </w:rPr>
        <w:t>т разведения животных</w:t>
      </w:r>
      <w:r>
        <w:rPr>
          <w:sz w:val="28"/>
          <w:szCs w:val="28"/>
        </w:rPr>
        <w:t>. В качестве животных-продуцентов не допускается использование крупного рогатого скота из районов, в которых обнаружено заболевание губчатой энцефалопатией.</w:t>
      </w:r>
    </w:p>
    <w:p w:rsidR="00344056" w:rsidRDefault="00344056" w:rsidP="0034405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Животные, получавшие антибиотики, могут быть использованы для получения сыворотки только после периода времени, необходимого для полного </w:t>
      </w:r>
      <w:r w:rsidRPr="00EA0873">
        <w:rPr>
          <w:sz w:val="28"/>
          <w:szCs w:val="28"/>
        </w:rPr>
        <w:t xml:space="preserve">выведения антибиотика из организма. </w:t>
      </w:r>
      <w:r w:rsidR="002E47F6" w:rsidRPr="00EA0873">
        <w:rPr>
          <w:sz w:val="28"/>
          <w:szCs w:val="28"/>
        </w:rPr>
        <w:t>Антибиотики п</w:t>
      </w:r>
      <w:r w:rsidRPr="00EA0873">
        <w:rPr>
          <w:sz w:val="28"/>
          <w:szCs w:val="28"/>
        </w:rPr>
        <w:t>енициллинов</w:t>
      </w:r>
      <w:r w:rsidR="002E47F6" w:rsidRPr="00EA0873">
        <w:rPr>
          <w:sz w:val="28"/>
          <w:szCs w:val="28"/>
        </w:rPr>
        <w:t>ого ряда</w:t>
      </w:r>
      <w:r w:rsidRPr="00EA0873">
        <w:rPr>
          <w:sz w:val="28"/>
          <w:szCs w:val="28"/>
        </w:rPr>
        <w:t xml:space="preserve"> не должны применяться для лечения </w:t>
      </w:r>
      <w:r w:rsidR="002E47F6" w:rsidRPr="00EA0873">
        <w:rPr>
          <w:sz w:val="28"/>
          <w:szCs w:val="28"/>
        </w:rPr>
        <w:t>животных-</w:t>
      </w:r>
      <w:r w:rsidRPr="00EA0873">
        <w:rPr>
          <w:sz w:val="28"/>
          <w:szCs w:val="28"/>
        </w:rPr>
        <w:t>продуцентов.</w:t>
      </w:r>
    </w:p>
    <w:p w:rsidR="00344056" w:rsidRDefault="00344056" w:rsidP="0034405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Животные-продуценты при поступлении должны пройти карантин, а лошади и крупный рогатый скот (дополнительно) </w:t>
      </w:r>
      <w:r w:rsidR="00460504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вакцинацию столбнячным анатоксином. </w:t>
      </w:r>
    </w:p>
    <w:p w:rsidR="00344056" w:rsidRPr="007A6C99" w:rsidRDefault="00344056" w:rsidP="00344056">
      <w:pPr>
        <w:spacing w:line="360" w:lineRule="auto"/>
        <w:ind w:firstLine="709"/>
        <w:jc w:val="both"/>
        <w:rPr>
          <w:sz w:val="28"/>
          <w:szCs w:val="28"/>
        </w:rPr>
      </w:pPr>
      <w:r w:rsidRPr="00EA0873">
        <w:rPr>
          <w:i/>
          <w:sz w:val="28"/>
          <w:szCs w:val="28"/>
        </w:rPr>
        <w:t>Иммунизация</w:t>
      </w:r>
      <w:r w:rsidR="00460504" w:rsidRPr="00EA0873">
        <w:rPr>
          <w:i/>
          <w:sz w:val="28"/>
          <w:szCs w:val="28"/>
        </w:rPr>
        <w:t xml:space="preserve"> животных</w:t>
      </w:r>
    </w:p>
    <w:p w:rsidR="00344056" w:rsidRPr="00FA4C4E" w:rsidRDefault="00344056" w:rsidP="0034405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иммунизации животных антиген может быть введен с адъювантом.</w:t>
      </w:r>
      <w:r w:rsidRPr="00BA600B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Во время цикла иммунизации проводят постоянный контроль здоровья животных и регулярное определение выработки специфических антител. Если у животных проявляются патологические процессы, не характерные для применяемого антигена, использование всех животных в группе приостанавливают до тех пор, пока не будет установлено, что это не повлияет на безопасность и эффективность конечного продукта.</w:t>
      </w:r>
      <w:r w:rsidRPr="004B5397">
        <w:rPr>
          <w:sz w:val="28"/>
          <w:szCs w:val="28"/>
        </w:rPr>
        <w:t xml:space="preserve"> </w:t>
      </w:r>
      <w:r>
        <w:rPr>
          <w:sz w:val="28"/>
          <w:szCs w:val="28"/>
        </w:rPr>
        <w:t>При иммунизации животных-продуцентов живыми микроорганизмами между последней иммунизацией и кровопусканием</w:t>
      </w:r>
      <w:r w:rsidRPr="00D7446F">
        <w:rPr>
          <w:sz w:val="28"/>
          <w:szCs w:val="28"/>
        </w:rPr>
        <w:t xml:space="preserve"> </w:t>
      </w:r>
      <w:r>
        <w:rPr>
          <w:sz w:val="28"/>
          <w:szCs w:val="28"/>
        </w:rPr>
        <w:t>должен быть выдержан период времени, достаточный для элиминации введенных микроорганизмов.</w:t>
      </w:r>
      <w:r w:rsidRPr="00FA4C4E">
        <w:rPr>
          <w:sz w:val="28"/>
          <w:szCs w:val="28"/>
        </w:rPr>
        <w:t xml:space="preserve"> </w:t>
      </w:r>
    </w:p>
    <w:p w:rsidR="00344056" w:rsidRDefault="00344056" w:rsidP="00344056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EC3966">
        <w:rPr>
          <w:i/>
          <w:sz w:val="28"/>
          <w:szCs w:val="28"/>
        </w:rPr>
        <w:t>Сбор крови или плазмы</w:t>
      </w:r>
    </w:p>
    <w:p w:rsidR="00344056" w:rsidRDefault="00344056" w:rsidP="0034405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Сбор крови или плазмы проводят путем венепункции или </w:t>
      </w:r>
      <w:proofErr w:type="spellStart"/>
      <w:r>
        <w:rPr>
          <w:sz w:val="28"/>
          <w:szCs w:val="28"/>
        </w:rPr>
        <w:t>плазмафереза</w:t>
      </w:r>
      <w:proofErr w:type="spellEnd"/>
      <w:r>
        <w:rPr>
          <w:sz w:val="28"/>
          <w:szCs w:val="28"/>
        </w:rPr>
        <w:t xml:space="preserve"> в условиях асептики. Место для сбора крови или плазмы должно быть изолировано от места содержания животных. Допускается объединение плазмы, полученной от нескольких животных. Полученная плазма должна быть стерильной. </w:t>
      </w:r>
    </w:p>
    <w:p w:rsidR="00344056" w:rsidRDefault="00344056" w:rsidP="00344056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C43B74">
        <w:rPr>
          <w:i/>
          <w:sz w:val="28"/>
          <w:szCs w:val="28"/>
        </w:rPr>
        <w:t>Получение иммуноглобулинов</w:t>
      </w:r>
      <w:r>
        <w:rPr>
          <w:i/>
          <w:sz w:val="28"/>
          <w:szCs w:val="28"/>
        </w:rPr>
        <w:t xml:space="preserve"> или их фрагментов</w:t>
      </w:r>
    </w:p>
    <w:p w:rsidR="00344056" w:rsidRPr="00EA15BB" w:rsidRDefault="00344056" w:rsidP="0034405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Иммуноглобулины или их фрагменты получают методами солевого фракционирования и ферментной обработки, </w:t>
      </w:r>
      <w:r w:rsidRPr="0020656E">
        <w:rPr>
          <w:sz w:val="28"/>
          <w:szCs w:val="28"/>
        </w:rPr>
        <w:t>с использованием различных методов очистки от балластных белков и примесей</w:t>
      </w:r>
      <w:r>
        <w:rPr>
          <w:sz w:val="28"/>
          <w:szCs w:val="28"/>
        </w:rPr>
        <w:t xml:space="preserve"> (хроматографии, мембранной фильтрации, ферментации и </w:t>
      </w:r>
      <w:proofErr w:type="gramStart"/>
      <w:r>
        <w:rPr>
          <w:sz w:val="28"/>
          <w:szCs w:val="28"/>
        </w:rPr>
        <w:t>других</w:t>
      </w:r>
      <w:proofErr w:type="gramEnd"/>
      <w:r>
        <w:rPr>
          <w:sz w:val="28"/>
          <w:szCs w:val="28"/>
        </w:rPr>
        <w:t xml:space="preserve"> соответствующих химических и физических методов), обеспечивающих получение продукта, свободного от контаминации, агрегатов и фрагментов сывороточных белков, влияющих на безоп</w:t>
      </w:r>
      <w:r w:rsidR="00460504">
        <w:rPr>
          <w:sz w:val="28"/>
          <w:szCs w:val="28"/>
        </w:rPr>
        <w:t xml:space="preserve">асность и качество. </w:t>
      </w:r>
      <w:r>
        <w:rPr>
          <w:sz w:val="28"/>
          <w:szCs w:val="28"/>
        </w:rPr>
        <w:t>Технологический проц</w:t>
      </w:r>
      <w:r w:rsidR="00460504">
        <w:rPr>
          <w:sz w:val="28"/>
          <w:szCs w:val="28"/>
        </w:rPr>
        <w:t xml:space="preserve">есс получения иммуноглобулинов или </w:t>
      </w:r>
      <w:r>
        <w:rPr>
          <w:sz w:val="28"/>
          <w:szCs w:val="28"/>
        </w:rPr>
        <w:t xml:space="preserve">их фрагментов должен быть </w:t>
      </w:r>
      <w:proofErr w:type="spellStart"/>
      <w:r>
        <w:rPr>
          <w:sz w:val="28"/>
          <w:szCs w:val="28"/>
        </w:rPr>
        <w:t>валидирован</w:t>
      </w:r>
      <w:proofErr w:type="spellEnd"/>
      <w:r>
        <w:rPr>
          <w:sz w:val="28"/>
          <w:szCs w:val="28"/>
        </w:rPr>
        <w:t xml:space="preserve">. Для продуктов, представленных фрагментами иммуноглобулина, </w:t>
      </w:r>
      <w:r w:rsidRPr="0020656E">
        <w:rPr>
          <w:sz w:val="28"/>
          <w:szCs w:val="28"/>
        </w:rPr>
        <w:t xml:space="preserve">для гарантии регламентированной </w:t>
      </w:r>
      <w:r w:rsidRPr="00E21872">
        <w:rPr>
          <w:sz w:val="28"/>
          <w:szCs w:val="28"/>
        </w:rPr>
        <w:t>фрагментации указывают</w:t>
      </w:r>
      <w:r w:rsidRPr="0020656E">
        <w:rPr>
          <w:sz w:val="28"/>
          <w:szCs w:val="28"/>
        </w:rPr>
        <w:t xml:space="preserve"> методы, подтверждающие правильность установленных нормативных требований.</w:t>
      </w:r>
      <w:r>
        <w:rPr>
          <w:sz w:val="28"/>
          <w:szCs w:val="28"/>
        </w:rPr>
        <w:t xml:space="preserve"> </w:t>
      </w:r>
    </w:p>
    <w:p w:rsidR="00344056" w:rsidRPr="00E90625" w:rsidRDefault="00344056" w:rsidP="00693A77">
      <w:pPr>
        <w:spacing w:before="240"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ИСПЫТАНИЯ</w:t>
      </w:r>
    </w:p>
    <w:p w:rsidR="00344056" w:rsidRPr="00B76EDE" w:rsidRDefault="00344056" w:rsidP="00344056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EDE">
        <w:rPr>
          <w:rFonts w:ascii="Times New Roman" w:hAnsi="Times New Roman" w:cs="Times New Roman"/>
          <w:b/>
          <w:sz w:val="28"/>
          <w:szCs w:val="28"/>
        </w:rPr>
        <w:t xml:space="preserve">Описание. </w:t>
      </w:r>
      <w:r w:rsidRPr="00B76EDE">
        <w:rPr>
          <w:rFonts w:ascii="Times New Roman" w:hAnsi="Times New Roman" w:cs="Times New Roman"/>
          <w:sz w:val="28"/>
          <w:szCs w:val="28"/>
        </w:rPr>
        <w:t xml:space="preserve">Жидкий препарат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76E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бесцветный или</w:t>
      </w:r>
      <w:r w:rsidRPr="00B76E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B76EDE">
        <w:rPr>
          <w:rFonts w:ascii="Times New Roman" w:hAnsi="Times New Roman" w:cs="Times New Roman"/>
          <w:sz w:val="28"/>
          <w:szCs w:val="28"/>
        </w:rPr>
        <w:t>желт</w:t>
      </w:r>
      <w:r>
        <w:rPr>
          <w:rFonts w:ascii="Times New Roman" w:hAnsi="Times New Roman" w:cs="Times New Roman"/>
          <w:sz w:val="28"/>
          <w:szCs w:val="28"/>
        </w:rPr>
        <w:t xml:space="preserve">оватым оттенком, </w:t>
      </w:r>
      <w:r w:rsidRPr="00B76EDE">
        <w:rPr>
          <w:rFonts w:ascii="Times New Roman" w:hAnsi="Times New Roman" w:cs="Times New Roman"/>
          <w:sz w:val="28"/>
          <w:szCs w:val="28"/>
        </w:rPr>
        <w:t>прозрачн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B76EDE">
        <w:rPr>
          <w:rFonts w:ascii="Times New Roman" w:hAnsi="Times New Roman" w:cs="Times New Roman"/>
          <w:sz w:val="28"/>
          <w:szCs w:val="28"/>
        </w:rPr>
        <w:t xml:space="preserve"> или слабо </w:t>
      </w:r>
      <w:proofErr w:type="spellStart"/>
      <w:r w:rsidRPr="00B76EDE">
        <w:rPr>
          <w:rFonts w:ascii="Times New Roman" w:hAnsi="Times New Roman" w:cs="Times New Roman"/>
          <w:sz w:val="28"/>
          <w:szCs w:val="28"/>
        </w:rPr>
        <w:t>опалесцирующ</w:t>
      </w:r>
      <w:r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B76E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раствор</w:t>
      </w:r>
      <w:r w:rsidRPr="00B76EDE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B76EDE">
        <w:rPr>
          <w:rFonts w:ascii="Times New Roman" w:hAnsi="Times New Roman" w:cs="Times New Roman"/>
          <w:sz w:val="28"/>
          <w:szCs w:val="28"/>
        </w:rPr>
        <w:t>лиофилизированный</w:t>
      </w:r>
      <w:proofErr w:type="spellEnd"/>
      <w:r w:rsidRPr="00B76EDE">
        <w:rPr>
          <w:rFonts w:ascii="Times New Roman" w:hAnsi="Times New Roman" w:cs="Times New Roman"/>
          <w:sz w:val="28"/>
          <w:szCs w:val="28"/>
        </w:rPr>
        <w:t xml:space="preserve"> препарат </w:t>
      </w:r>
      <w:r w:rsidR="00212B8C">
        <w:rPr>
          <w:rFonts w:ascii="Times New Roman" w:hAnsi="Times New Roman" w:cs="Times New Roman"/>
          <w:sz w:val="28"/>
          <w:szCs w:val="28"/>
        </w:rPr>
        <w:t>–</w:t>
      </w:r>
      <w:r w:rsidR="00212B8C" w:rsidRPr="00B76EDE">
        <w:rPr>
          <w:rFonts w:ascii="Times New Roman" w:hAnsi="Times New Roman" w:cs="Times New Roman"/>
          <w:sz w:val="28"/>
          <w:szCs w:val="28"/>
        </w:rPr>
        <w:t xml:space="preserve"> </w:t>
      </w:r>
      <w:r w:rsidRPr="00B76EDE">
        <w:rPr>
          <w:rFonts w:ascii="Times New Roman" w:hAnsi="Times New Roman" w:cs="Times New Roman"/>
          <w:sz w:val="28"/>
          <w:szCs w:val="28"/>
        </w:rPr>
        <w:t>белый или слегка желтый порошок или аморфная</w:t>
      </w:r>
      <w:r>
        <w:rPr>
          <w:rFonts w:ascii="Times New Roman" w:hAnsi="Times New Roman" w:cs="Times New Roman"/>
          <w:sz w:val="28"/>
          <w:szCs w:val="28"/>
        </w:rPr>
        <w:t>, гигроскопическая</w:t>
      </w:r>
      <w:r w:rsidRPr="00B76EDE">
        <w:rPr>
          <w:rFonts w:ascii="Times New Roman" w:hAnsi="Times New Roman" w:cs="Times New Roman"/>
          <w:sz w:val="28"/>
          <w:szCs w:val="28"/>
        </w:rPr>
        <w:t xml:space="preserve"> масса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4056" w:rsidRDefault="00344056" w:rsidP="00344056">
      <w:pPr>
        <w:spacing w:line="360" w:lineRule="auto"/>
        <w:ind w:firstLine="709"/>
        <w:jc w:val="both"/>
        <w:rPr>
          <w:color w:val="000000"/>
          <w:spacing w:val="-2"/>
          <w:sz w:val="28"/>
          <w:szCs w:val="28"/>
        </w:rPr>
      </w:pPr>
      <w:r w:rsidRPr="00CC7E3F">
        <w:rPr>
          <w:b/>
          <w:sz w:val="28"/>
          <w:szCs w:val="28"/>
        </w:rPr>
        <w:t xml:space="preserve">Подлинность. </w:t>
      </w:r>
      <w:r w:rsidRPr="00CC7E3F">
        <w:rPr>
          <w:sz w:val="28"/>
          <w:szCs w:val="28"/>
        </w:rPr>
        <w:t xml:space="preserve">Подлинность подтверждают </w:t>
      </w:r>
      <w:r>
        <w:rPr>
          <w:sz w:val="28"/>
          <w:szCs w:val="28"/>
        </w:rPr>
        <w:t>иммунологическими методами (иммунный электрофорез, метод иммунодиффузии в геле и др.).</w:t>
      </w:r>
      <w:r w:rsidRPr="00CC7E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подтверждения подлинности может использоваться метод количественного определение активности. </w:t>
      </w:r>
    </w:p>
    <w:p w:rsidR="00344056" w:rsidRPr="007F247B" w:rsidRDefault="00344056" w:rsidP="00344056">
      <w:pPr>
        <w:spacing w:line="360" w:lineRule="auto"/>
        <w:ind w:firstLine="709"/>
        <w:jc w:val="both"/>
        <w:rPr>
          <w:sz w:val="28"/>
          <w:szCs w:val="28"/>
        </w:rPr>
      </w:pPr>
      <w:r w:rsidRPr="009C005C">
        <w:rPr>
          <w:b/>
          <w:sz w:val="28"/>
          <w:szCs w:val="28"/>
        </w:rPr>
        <w:t>Прозрачность</w:t>
      </w:r>
      <w:r>
        <w:rPr>
          <w:b/>
          <w:sz w:val="28"/>
          <w:szCs w:val="28"/>
        </w:rPr>
        <w:t>.</w:t>
      </w:r>
      <w:r w:rsidRPr="009C005C">
        <w:rPr>
          <w:sz w:val="28"/>
          <w:szCs w:val="28"/>
        </w:rPr>
        <w:t xml:space="preserve"> </w:t>
      </w:r>
      <w:r w:rsidR="006D337F">
        <w:rPr>
          <w:sz w:val="28"/>
          <w:szCs w:val="28"/>
        </w:rPr>
        <w:t>Прозрачный или слегка</w:t>
      </w:r>
      <w:r>
        <w:rPr>
          <w:sz w:val="28"/>
          <w:szCs w:val="28"/>
        </w:rPr>
        <w:t xml:space="preserve"> </w:t>
      </w:r>
      <w:proofErr w:type="spellStart"/>
      <w:r w:rsidRPr="00B76EDE">
        <w:rPr>
          <w:sz w:val="28"/>
          <w:szCs w:val="28"/>
        </w:rPr>
        <w:t>опалесцирующи</w:t>
      </w:r>
      <w:r w:rsidR="006D337F">
        <w:rPr>
          <w:sz w:val="28"/>
          <w:szCs w:val="28"/>
        </w:rPr>
        <w:t>й</w:t>
      </w:r>
      <w:proofErr w:type="spellEnd"/>
      <w:r w:rsidR="006D337F">
        <w:rPr>
          <w:sz w:val="28"/>
          <w:szCs w:val="28"/>
        </w:rPr>
        <w:t xml:space="preserve"> </w:t>
      </w:r>
      <w:r w:rsidRPr="00B76EDE">
        <w:rPr>
          <w:sz w:val="28"/>
          <w:szCs w:val="28"/>
        </w:rPr>
        <w:t>раствор</w:t>
      </w:r>
      <w:r>
        <w:rPr>
          <w:sz w:val="28"/>
          <w:szCs w:val="28"/>
        </w:rPr>
        <w:t>,</w:t>
      </w:r>
      <w:r w:rsidRPr="00B76EDE">
        <w:rPr>
          <w:sz w:val="28"/>
          <w:szCs w:val="28"/>
        </w:rPr>
        <w:t xml:space="preserve"> </w:t>
      </w:r>
      <w:r w:rsidRPr="006C40B7">
        <w:rPr>
          <w:sz w:val="28"/>
          <w:szCs w:val="28"/>
        </w:rPr>
        <w:t>если нет других указаний в фармакопейной статье</w:t>
      </w:r>
      <w:r>
        <w:rPr>
          <w:sz w:val="28"/>
          <w:szCs w:val="28"/>
        </w:rPr>
        <w:t xml:space="preserve"> или нормативной документации.</w:t>
      </w:r>
      <w:r w:rsidRPr="00B76EDE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B76EDE">
        <w:rPr>
          <w:sz w:val="28"/>
          <w:szCs w:val="28"/>
        </w:rPr>
        <w:t>казывают метод определения.</w:t>
      </w:r>
      <w:r>
        <w:rPr>
          <w:sz w:val="28"/>
          <w:szCs w:val="28"/>
        </w:rPr>
        <w:t xml:space="preserve"> Определение проводят в соответствии с </w:t>
      </w:r>
      <w:r w:rsidRPr="00555993">
        <w:rPr>
          <w:sz w:val="28"/>
          <w:szCs w:val="28"/>
        </w:rPr>
        <w:t xml:space="preserve">ОФС </w:t>
      </w:r>
      <w:r>
        <w:rPr>
          <w:sz w:val="28"/>
          <w:szCs w:val="28"/>
        </w:rPr>
        <w:t>«Прозрачность и степень мутности жидкостей»</w:t>
      </w:r>
      <w:r>
        <w:rPr>
          <w:i/>
          <w:sz w:val="28"/>
          <w:szCs w:val="28"/>
        </w:rPr>
        <w:t xml:space="preserve">.  </w:t>
      </w:r>
    </w:p>
    <w:p w:rsidR="00344056" w:rsidRDefault="00344056" w:rsidP="0034405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9C005C">
        <w:rPr>
          <w:b/>
          <w:sz w:val="28"/>
          <w:szCs w:val="28"/>
        </w:rPr>
        <w:t>Цветность</w:t>
      </w:r>
      <w:r>
        <w:rPr>
          <w:b/>
          <w:sz w:val="28"/>
          <w:szCs w:val="28"/>
        </w:rPr>
        <w:t>.</w:t>
      </w:r>
      <w:r w:rsidRPr="009C00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Бесцветный или с </w:t>
      </w:r>
      <w:r w:rsidRPr="00B76EDE">
        <w:rPr>
          <w:sz w:val="28"/>
          <w:szCs w:val="28"/>
        </w:rPr>
        <w:t>желт</w:t>
      </w:r>
      <w:r>
        <w:rPr>
          <w:sz w:val="28"/>
          <w:szCs w:val="28"/>
        </w:rPr>
        <w:t xml:space="preserve">оватым оттенком </w:t>
      </w:r>
      <w:r w:rsidRPr="00681CC8">
        <w:rPr>
          <w:sz w:val="28"/>
          <w:szCs w:val="28"/>
        </w:rPr>
        <w:t>раствор</w:t>
      </w:r>
      <w:r>
        <w:rPr>
          <w:sz w:val="28"/>
          <w:szCs w:val="28"/>
        </w:rPr>
        <w:t>.</w:t>
      </w:r>
      <w:r w:rsidRPr="004F0079">
        <w:rPr>
          <w:sz w:val="28"/>
          <w:szCs w:val="28"/>
        </w:rPr>
        <w:t xml:space="preserve"> </w:t>
      </w:r>
      <w:r>
        <w:rPr>
          <w:sz w:val="28"/>
          <w:szCs w:val="28"/>
        </w:rPr>
        <w:t>Испытание проводят в соответствии с ОФС «Степень окраски жидкостей».</w:t>
      </w:r>
    </w:p>
    <w:p w:rsidR="00344056" w:rsidRDefault="00344056" w:rsidP="00344056">
      <w:pPr>
        <w:spacing w:line="360" w:lineRule="auto"/>
        <w:ind w:firstLine="709"/>
        <w:jc w:val="both"/>
        <w:rPr>
          <w:sz w:val="28"/>
          <w:szCs w:val="28"/>
        </w:rPr>
      </w:pPr>
      <w:r w:rsidRPr="00373CC2">
        <w:rPr>
          <w:b/>
          <w:sz w:val="28"/>
          <w:szCs w:val="28"/>
        </w:rPr>
        <w:t>Потеря в массе при высушивании</w:t>
      </w:r>
      <w:r>
        <w:rPr>
          <w:b/>
          <w:sz w:val="28"/>
          <w:szCs w:val="28"/>
        </w:rPr>
        <w:t xml:space="preserve">. </w:t>
      </w:r>
      <w:r w:rsidR="00C1068D" w:rsidRPr="00E90625">
        <w:rPr>
          <w:sz w:val="28"/>
          <w:szCs w:val="28"/>
        </w:rPr>
        <w:t xml:space="preserve">Для </w:t>
      </w:r>
      <w:proofErr w:type="spellStart"/>
      <w:r w:rsidRPr="00E90625">
        <w:rPr>
          <w:sz w:val="28"/>
          <w:szCs w:val="28"/>
        </w:rPr>
        <w:t>лиофилизированных</w:t>
      </w:r>
      <w:proofErr w:type="spellEnd"/>
      <w:r w:rsidRPr="00E90625">
        <w:rPr>
          <w:sz w:val="28"/>
          <w:szCs w:val="28"/>
        </w:rPr>
        <w:t xml:space="preserve"> препаратов</w:t>
      </w:r>
      <w:r w:rsidR="00C1068D" w:rsidRPr="00C1068D">
        <w:rPr>
          <w:sz w:val="28"/>
          <w:szCs w:val="28"/>
        </w:rPr>
        <w:t xml:space="preserve"> </w:t>
      </w:r>
      <w:r w:rsidR="006D337F">
        <w:rPr>
          <w:sz w:val="28"/>
          <w:szCs w:val="28"/>
        </w:rPr>
        <w:t>не более 3</w:t>
      </w:r>
      <w:r w:rsidR="00C1068D" w:rsidRPr="00E90625">
        <w:rPr>
          <w:sz w:val="28"/>
          <w:szCs w:val="28"/>
        </w:rPr>
        <w:t>%</w:t>
      </w:r>
      <w:r w:rsidRPr="00E9062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7332C">
        <w:rPr>
          <w:sz w:val="28"/>
          <w:szCs w:val="28"/>
        </w:rPr>
        <w:t>Определение проводят гравиметрическим методом в соответствии с ОФС «Потеря в массе при высушивании».</w:t>
      </w:r>
    </w:p>
    <w:p w:rsidR="00344056" w:rsidRDefault="00344056" w:rsidP="0034405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Время растворения. </w:t>
      </w:r>
      <w:r>
        <w:rPr>
          <w:sz w:val="28"/>
          <w:szCs w:val="28"/>
        </w:rPr>
        <w:t>Не более 20 мин</w:t>
      </w:r>
      <w:r w:rsidRPr="00862371">
        <w:rPr>
          <w:i/>
          <w:sz w:val="28"/>
          <w:szCs w:val="28"/>
        </w:rPr>
        <w:t xml:space="preserve"> </w:t>
      </w:r>
      <w:r w:rsidRPr="007705B7">
        <w:rPr>
          <w:sz w:val="28"/>
          <w:szCs w:val="28"/>
        </w:rPr>
        <w:t xml:space="preserve">для </w:t>
      </w:r>
      <w:proofErr w:type="spellStart"/>
      <w:r w:rsidRPr="007705B7">
        <w:rPr>
          <w:sz w:val="28"/>
          <w:szCs w:val="28"/>
        </w:rPr>
        <w:t>лиофилизированных</w:t>
      </w:r>
      <w:proofErr w:type="spellEnd"/>
      <w:r w:rsidRPr="007705B7">
        <w:rPr>
          <w:sz w:val="28"/>
          <w:szCs w:val="28"/>
        </w:rPr>
        <w:t xml:space="preserve"> препаратов</w:t>
      </w:r>
      <w:r>
        <w:rPr>
          <w:sz w:val="28"/>
          <w:szCs w:val="28"/>
        </w:rPr>
        <w:t xml:space="preserve">. Методику определения указывают в нормативной документации. </w:t>
      </w:r>
    </w:p>
    <w:p w:rsidR="00344056" w:rsidRDefault="00344056" w:rsidP="00344056">
      <w:pPr>
        <w:pStyle w:val="a6"/>
        <w:ind w:firstLine="709"/>
        <w:jc w:val="both"/>
        <w:rPr>
          <w:szCs w:val="28"/>
        </w:rPr>
      </w:pPr>
      <w:proofErr w:type="spellStart"/>
      <w:r>
        <w:rPr>
          <w:b/>
          <w:szCs w:val="28"/>
        </w:rPr>
        <w:t>рН</w:t>
      </w:r>
      <w:proofErr w:type="spellEnd"/>
      <w:r>
        <w:rPr>
          <w:b/>
          <w:szCs w:val="28"/>
        </w:rPr>
        <w:t>.</w:t>
      </w:r>
      <w:r>
        <w:rPr>
          <w:szCs w:val="28"/>
        </w:rPr>
        <w:t xml:space="preserve"> От 5,0 до 7,2. Определение проводят потенциометрическим методом в соответствии с ОФС «</w:t>
      </w:r>
      <w:r>
        <w:t>Ионометрия</w:t>
      </w:r>
      <w:r>
        <w:rPr>
          <w:szCs w:val="28"/>
        </w:rPr>
        <w:t xml:space="preserve">». </w:t>
      </w:r>
    </w:p>
    <w:p w:rsidR="00344056" w:rsidRDefault="00344056" w:rsidP="00344056">
      <w:pPr>
        <w:spacing w:line="360" w:lineRule="auto"/>
        <w:ind w:firstLine="709"/>
        <w:jc w:val="both"/>
        <w:rPr>
          <w:sz w:val="28"/>
          <w:szCs w:val="28"/>
        </w:rPr>
      </w:pPr>
      <w:r w:rsidRPr="00A4239A">
        <w:rPr>
          <w:b/>
          <w:sz w:val="28"/>
          <w:szCs w:val="28"/>
        </w:rPr>
        <w:t>Извлекаемый объем</w:t>
      </w:r>
      <w:r>
        <w:rPr>
          <w:b/>
          <w:sz w:val="28"/>
          <w:szCs w:val="28"/>
        </w:rPr>
        <w:t xml:space="preserve">. </w:t>
      </w:r>
      <w:r w:rsidRPr="004B44F6">
        <w:rPr>
          <w:sz w:val="28"/>
          <w:szCs w:val="28"/>
        </w:rPr>
        <w:t>До</w:t>
      </w:r>
      <w:r>
        <w:rPr>
          <w:sz w:val="28"/>
          <w:szCs w:val="28"/>
        </w:rPr>
        <w:t xml:space="preserve">лжен быть не менее </w:t>
      </w:r>
      <w:proofErr w:type="gramStart"/>
      <w:r>
        <w:rPr>
          <w:sz w:val="28"/>
          <w:szCs w:val="28"/>
        </w:rPr>
        <w:t>номинального</w:t>
      </w:r>
      <w:proofErr w:type="gramEnd"/>
      <w:r>
        <w:rPr>
          <w:sz w:val="28"/>
          <w:szCs w:val="28"/>
        </w:rPr>
        <w:t xml:space="preserve">. </w:t>
      </w:r>
      <w:r w:rsidRPr="001C1676">
        <w:rPr>
          <w:sz w:val="28"/>
          <w:szCs w:val="28"/>
        </w:rPr>
        <w:t xml:space="preserve">Определение проводят </w:t>
      </w:r>
      <w:r>
        <w:rPr>
          <w:sz w:val="28"/>
          <w:szCs w:val="28"/>
        </w:rPr>
        <w:t>в соответствии</w:t>
      </w:r>
      <w:r w:rsidRPr="001C1676">
        <w:rPr>
          <w:sz w:val="28"/>
          <w:szCs w:val="28"/>
        </w:rPr>
        <w:t xml:space="preserve"> </w:t>
      </w:r>
      <w:r>
        <w:rPr>
          <w:sz w:val="28"/>
          <w:szCs w:val="28"/>
        </w:rPr>
        <w:t>с ОФС «Извлекаемый объем для лекарственных форм для парентерального применения».</w:t>
      </w:r>
      <w:r w:rsidRPr="001C1676"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</w:t>
      </w:r>
    </w:p>
    <w:p w:rsidR="00344056" w:rsidRPr="001A33A0" w:rsidRDefault="00344056" w:rsidP="00344056">
      <w:pPr>
        <w:spacing w:line="360" w:lineRule="auto"/>
        <w:ind w:firstLine="709"/>
        <w:jc w:val="both"/>
        <w:rPr>
          <w:sz w:val="28"/>
          <w:szCs w:val="28"/>
        </w:rPr>
      </w:pPr>
      <w:r w:rsidRPr="00E57319">
        <w:rPr>
          <w:b/>
          <w:sz w:val="28"/>
          <w:szCs w:val="28"/>
        </w:rPr>
        <w:t>Осмоляльность</w:t>
      </w:r>
      <w:r>
        <w:rPr>
          <w:b/>
          <w:sz w:val="28"/>
          <w:szCs w:val="28"/>
        </w:rPr>
        <w:t>.</w:t>
      </w:r>
      <w:r w:rsidRPr="00E57319">
        <w:rPr>
          <w:b/>
          <w:sz w:val="28"/>
          <w:szCs w:val="28"/>
        </w:rPr>
        <w:t xml:space="preserve"> </w:t>
      </w:r>
      <w:r w:rsidRPr="0087332C">
        <w:rPr>
          <w:sz w:val="28"/>
          <w:szCs w:val="28"/>
        </w:rPr>
        <w:t xml:space="preserve">Не более 240 </w:t>
      </w:r>
      <w:proofErr w:type="spellStart"/>
      <w:r w:rsidRPr="0087332C">
        <w:rPr>
          <w:sz w:val="28"/>
          <w:szCs w:val="28"/>
        </w:rPr>
        <w:t>мОсмол</w:t>
      </w:r>
      <w:proofErr w:type="spellEnd"/>
      <w:r w:rsidRPr="0087332C">
        <w:rPr>
          <w:sz w:val="28"/>
          <w:szCs w:val="28"/>
        </w:rPr>
        <w:t>/кг. Определение проводят в соответствии с ОФС «</w:t>
      </w:r>
      <w:proofErr w:type="spellStart"/>
      <w:r w:rsidRPr="0087332C">
        <w:rPr>
          <w:sz w:val="28"/>
          <w:szCs w:val="28"/>
        </w:rPr>
        <w:t>Осмолярность</w:t>
      </w:r>
      <w:proofErr w:type="spellEnd"/>
      <w:r w:rsidRPr="0087332C">
        <w:rPr>
          <w:sz w:val="28"/>
          <w:szCs w:val="28"/>
        </w:rPr>
        <w:t>»  в препаратах, предназначенных для внутривенного введения с указанием растворителя и его объема.</w:t>
      </w:r>
    </w:p>
    <w:p w:rsidR="00344056" w:rsidRPr="00445E77" w:rsidRDefault="00344056" w:rsidP="00344056">
      <w:pPr>
        <w:spacing w:line="360" w:lineRule="auto"/>
        <w:ind w:firstLine="709"/>
        <w:jc w:val="both"/>
        <w:rPr>
          <w:sz w:val="28"/>
          <w:szCs w:val="28"/>
        </w:rPr>
      </w:pPr>
      <w:r w:rsidRPr="00AF63B3">
        <w:rPr>
          <w:b/>
          <w:sz w:val="28"/>
          <w:szCs w:val="28"/>
        </w:rPr>
        <w:t>Содержание белка</w:t>
      </w:r>
      <w:r>
        <w:rPr>
          <w:b/>
          <w:sz w:val="28"/>
          <w:szCs w:val="28"/>
        </w:rPr>
        <w:t xml:space="preserve">. </w:t>
      </w:r>
      <w:r w:rsidRPr="0087332C">
        <w:rPr>
          <w:sz w:val="28"/>
          <w:szCs w:val="28"/>
        </w:rPr>
        <w:t>Нормативные</w:t>
      </w:r>
      <w:r>
        <w:rPr>
          <w:sz w:val="28"/>
          <w:szCs w:val="28"/>
        </w:rPr>
        <w:t xml:space="preserve"> требования указывают в нормативной документации. </w:t>
      </w:r>
      <w:r w:rsidRPr="0087332C">
        <w:rPr>
          <w:sz w:val="28"/>
          <w:szCs w:val="28"/>
        </w:rPr>
        <w:t>Определение проводят колориметрическим методом с биуретовым реактивом в соответствии с ОФС «Определение белка».</w:t>
      </w:r>
      <w:r>
        <w:rPr>
          <w:sz w:val="28"/>
          <w:szCs w:val="28"/>
        </w:rPr>
        <w:t xml:space="preserve"> </w:t>
      </w:r>
    </w:p>
    <w:p w:rsidR="00344056" w:rsidRPr="00AF63B3" w:rsidRDefault="00344056" w:rsidP="00344056">
      <w:pPr>
        <w:spacing w:line="360" w:lineRule="auto"/>
        <w:ind w:firstLine="709"/>
        <w:jc w:val="both"/>
        <w:rPr>
          <w:sz w:val="28"/>
          <w:szCs w:val="28"/>
        </w:rPr>
      </w:pPr>
      <w:r w:rsidRPr="00AF63B3">
        <w:rPr>
          <w:b/>
          <w:sz w:val="28"/>
          <w:szCs w:val="28"/>
        </w:rPr>
        <w:t>Стерильность</w:t>
      </w:r>
      <w:r>
        <w:rPr>
          <w:b/>
          <w:sz w:val="28"/>
          <w:szCs w:val="28"/>
        </w:rPr>
        <w:t xml:space="preserve">. </w:t>
      </w:r>
      <w:r w:rsidRPr="008968FF">
        <w:rPr>
          <w:sz w:val="28"/>
          <w:szCs w:val="28"/>
        </w:rPr>
        <w:t xml:space="preserve">Должен быть </w:t>
      </w:r>
      <w:r w:rsidRPr="00EA0873">
        <w:rPr>
          <w:sz w:val="28"/>
          <w:szCs w:val="28"/>
        </w:rPr>
        <w:t>стерил</w:t>
      </w:r>
      <w:r w:rsidR="006D337F" w:rsidRPr="00EA0873">
        <w:rPr>
          <w:sz w:val="28"/>
          <w:szCs w:val="28"/>
        </w:rPr>
        <w:t>ьным</w:t>
      </w:r>
      <w:r w:rsidRPr="00EA0873">
        <w:rPr>
          <w:sz w:val="28"/>
          <w:szCs w:val="28"/>
        </w:rPr>
        <w:t>.</w:t>
      </w:r>
      <w:r w:rsidRPr="008968FF">
        <w:rPr>
          <w:sz w:val="28"/>
          <w:szCs w:val="28"/>
        </w:rPr>
        <w:t xml:space="preserve"> Определение проводят в соответствии с ОФС «Стерильность». </w:t>
      </w:r>
    </w:p>
    <w:p w:rsidR="00344056" w:rsidRDefault="00344056" w:rsidP="0034405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Пирогенность. </w:t>
      </w:r>
      <w:r w:rsidRPr="008968FF">
        <w:rPr>
          <w:sz w:val="28"/>
          <w:szCs w:val="28"/>
        </w:rPr>
        <w:t xml:space="preserve">Должен быть </w:t>
      </w:r>
      <w:proofErr w:type="spellStart"/>
      <w:r w:rsidRPr="008968FF">
        <w:rPr>
          <w:sz w:val="28"/>
          <w:szCs w:val="28"/>
        </w:rPr>
        <w:t>апирогенным</w:t>
      </w:r>
      <w:proofErr w:type="spellEnd"/>
      <w:r w:rsidRPr="008968FF">
        <w:rPr>
          <w:sz w:val="28"/>
          <w:szCs w:val="28"/>
        </w:rPr>
        <w:t>. Определение проводят в соответствии с ОФС «Пирогенность».</w:t>
      </w:r>
      <w:r>
        <w:rPr>
          <w:sz w:val="28"/>
          <w:szCs w:val="28"/>
        </w:rPr>
        <w:t xml:space="preserve"> Указывают </w:t>
      </w:r>
      <w:r w:rsidR="009F3E15">
        <w:rPr>
          <w:sz w:val="28"/>
          <w:szCs w:val="28"/>
        </w:rPr>
        <w:t xml:space="preserve">тест-дозу, </w:t>
      </w:r>
      <w:r>
        <w:rPr>
          <w:sz w:val="28"/>
          <w:szCs w:val="28"/>
        </w:rPr>
        <w:t xml:space="preserve">допустимые пределы изменений температуры </w:t>
      </w:r>
      <w:r w:rsidRPr="008968FF">
        <w:rPr>
          <w:sz w:val="28"/>
          <w:szCs w:val="28"/>
        </w:rPr>
        <w:t>у</w:t>
      </w:r>
      <w:r w:rsidR="009F3E15">
        <w:rPr>
          <w:sz w:val="28"/>
          <w:szCs w:val="28"/>
        </w:rPr>
        <w:t xml:space="preserve"> животных</w:t>
      </w:r>
      <w:r>
        <w:rPr>
          <w:sz w:val="28"/>
          <w:szCs w:val="28"/>
        </w:rPr>
        <w:t xml:space="preserve">. Вводят 1 мл препарата на </w:t>
      </w:r>
      <w:smartTag w:uri="urn:schemas-microsoft-com:office:smarttags" w:element="metricconverter">
        <w:smartTagPr>
          <w:attr w:name="ProductID" w:val="1 кг"/>
        </w:smartTagPr>
        <w:r>
          <w:rPr>
            <w:sz w:val="28"/>
            <w:szCs w:val="28"/>
          </w:rPr>
          <w:t>1 кг</w:t>
        </w:r>
      </w:smartTag>
      <w:r>
        <w:rPr>
          <w:sz w:val="28"/>
          <w:szCs w:val="28"/>
        </w:rPr>
        <w:t xml:space="preserve"> массы кролика. Для </w:t>
      </w:r>
      <w:proofErr w:type="spellStart"/>
      <w:r>
        <w:rPr>
          <w:sz w:val="28"/>
          <w:szCs w:val="28"/>
        </w:rPr>
        <w:t>лиофилизированных</w:t>
      </w:r>
      <w:proofErr w:type="spellEnd"/>
      <w:r>
        <w:rPr>
          <w:sz w:val="28"/>
          <w:szCs w:val="28"/>
        </w:rPr>
        <w:t xml:space="preserve"> препаратов указывают растворитель и его объем.</w:t>
      </w:r>
    </w:p>
    <w:p w:rsidR="00344056" w:rsidRDefault="00344056" w:rsidP="00344056">
      <w:pPr>
        <w:spacing w:line="360" w:lineRule="auto"/>
        <w:ind w:firstLine="709"/>
        <w:jc w:val="both"/>
        <w:rPr>
          <w:sz w:val="28"/>
          <w:szCs w:val="28"/>
        </w:rPr>
      </w:pPr>
      <w:r w:rsidRPr="00F24562">
        <w:rPr>
          <w:b/>
          <w:sz w:val="28"/>
          <w:szCs w:val="28"/>
        </w:rPr>
        <w:t>Бактериальные эндотоксины</w:t>
      </w:r>
      <w:r>
        <w:rPr>
          <w:sz w:val="28"/>
          <w:szCs w:val="28"/>
        </w:rPr>
        <w:t xml:space="preserve">. </w:t>
      </w:r>
      <w:r w:rsidRPr="008968FF">
        <w:rPr>
          <w:sz w:val="28"/>
          <w:szCs w:val="28"/>
        </w:rPr>
        <w:t>Нормативные требования</w:t>
      </w:r>
      <w:r>
        <w:rPr>
          <w:sz w:val="28"/>
          <w:szCs w:val="28"/>
        </w:rPr>
        <w:t xml:space="preserve">, требования к </w:t>
      </w:r>
      <w:proofErr w:type="spellStart"/>
      <w:r>
        <w:rPr>
          <w:sz w:val="28"/>
          <w:szCs w:val="28"/>
        </w:rPr>
        <w:t>пробоподготовке</w:t>
      </w:r>
      <w:proofErr w:type="spellEnd"/>
      <w:r>
        <w:rPr>
          <w:sz w:val="28"/>
          <w:szCs w:val="28"/>
        </w:rPr>
        <w:t xml:space="preserve"> препарата, </w:t>
      </w:r>
      <w:proofErr w:type="spellStart"/>
      <w:proofErr w:type="gramStart"/>
      <w:r>
        <w:rPr>
          <w:sz w:val="28"/>
          <w:szCs w:val="28"/>
        </w:rPr>
        <w:t>тест-дозе</w:t>
      </w:r>
      <w:proofErr w:type="spellEnd"/>
      <w:proofErr w:type="gramEnd"/>
      <w:r>
        <w:rPr>
          <w:sz w:val="28"/>
          <w:szCs w:val="28"/>
        </w:rPr>
        <w:t xml:space="preserve"> в весовых, объемных или других единицах </w:t>
      </w:r>
      <w:r w:rsidRPr="008968FF">
        <w:rPr>
          <w:sz w:val="28"/>
          <w:szCs w:val="28"/>
        </w:rPr>
        <w:t xml:space="preserve">указывают в </w:t>
      </w:r>
      <w:r>
        <w:rPr>
          <w:sz w:val="28"/>
          <w:szCs w:val="28"/>
        </w:rPr>
        <w:t xml:space="preserve">нормативной документации. Испытание проводят в соответствии с ОФС «Бактериальные эндотоксины». </w:t>
      </w:r>
    </w:p>
    <w:p w:rsidR="00344056" w:rsidRDefault="00344056" w:rsidP="00344056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F24562">
        <w:rPr>
          <w:b/>
          <w:sz w:val="28"/>
          <w:szCs w:val="28"/>
        </w:rPr>
        <w:t>Аномальная токсичность</w:t>
      </w:r>
      <w:r>
        <w:rPr>
          <w:b/>
          <w:sz w:val="28"/>
          <w:szCs w:val="28"/>
        </w:rPr>
        <w:t xml:space="preserve">. </w:t>
      </w:r>
      <w:r w:rsidRPr="008968FF">
        <w:rPr>
          <w:sz w:val="28"/>
          <w:szCs w:val="28"/>
        </w:rPr>
        <w:t xml:space="preserve">Должен быть </w:t>
      </w:r>
      <w:r w:rsidR="008D70F2">
        <w:rPr>
          <w:sz w:val="28"/>
          <w:szCs w:val="28"/>
        </w:rPr>
        <w:t>нетоксичным</w:t>
      </w:r>
      <w:r>
        <w:rPr>
          <w:b/>
          <w:sz w:val="28"/>
          <w:szCs w:val="28"/>
        </w:rPr>
        <w:t xml:space="preserve">. </w:t>
      </w:r>
      <w:r w:rsidRPr="00F24562">
        <w:rPr>
          <w:sz w:val="28"/>
          <w:szCs w:val="28"/>
        </w:rPr>
        <w:t xml:space="preserve">Определение проводят в соответствии с ОФС </w:t>
      </w:r>
      <w:r>
        <w:rPr>
          <w:sz w:val="28"/>
          <w:szCs w:val="28"/>
        </w:rPr>
        <w:t>«</w:t>
      </w:r>
      <w:r w:rsidRPr="00F24562">
        <w:rPr>
          <w:sz w:val="28"/>
          <w:szCs w:val="28"/>
        </w:rPr>
        <w:t>Аномальная токсичность</w:t>
      </w:r>
      <w:r>
        <w:rPr>
          <w:sz w:val="28"/>
          <w:szCs w:val="28"/>
        </w:rPr>
        <w:t>».</w:t>
      </w:r>
      <w:r w:rsidRPr="00F245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Указывают </w:t>
      </w:r>
      <w:proofErr w:type="spellStart"/>
      <w:proofErr w:type="gramStart"/>
      <w:r>
        <w:rPr>
          <w:sz w:val="28"/>
          <w:szCs w:val="28"/>
        </w:rPr>
        <w:t>тест-дозы</w:t>
      </w:r>
      <w:proofErr w:type="spellEnd"/>
      <w:proofErr w:type="gramEnd"/>
      <w:r>
        <w:rPr>
          <w:sz w:val="28"/>
          <w:szCs w:val="28"/>
        </w:rPr>
        <w:t xml:space="preserve">, способ введения и время наблюдения. </w:t>
      </w:r>
    </w:p>
    <w:p w:rsidR="00344056" w:rsidRDefault="00344056" w:rsidP="00344056">
      <w:pPr>
        <w:spacing w:line="360" w:lineRule="auto"/>
        <w:ind w:firstLine="709"/>
        <w:jc w:val="both"/>
        <w:rPr>
          <w:sz w:val="28"/>
          <w:szCs w:val="28"/>
        </w:rPr>
      </w:pPr>
      <w:r w:rsidRPr="00F24562">
        <w:rPr>
          <w:b/>
          <w:sz w:val="28"/>
          <w:szCs w:val="28"/>
        </w:rPr>
        <w:t>Специфическая активность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 xml:space="preserve">Указывают требования к показателю специфической активности и описывают метод ее количественного </w:t>
      </w:r>
      <w:r>
        <w:rPr>
          <w:sz w:val="28"/>
          <w:szCs w:val="28"/>
        </w:rPr>
        <w:lastRenderedPageBreak/>
        <w:t xml:space="preserve">определения. Специфическую активность жидких препаратов выражают в количестве антител в единице объема. Для </w:t>
      </w:r>
      <w:proofErr w:type="spellStart"/>
      <w:r>
        <w:rPr>
          <w:sz w:val="28"/>
          <w:szCs w:val="28"/>
        </w:rPr>
        <w:t>лиофилизированных</w:t>
      </w:r>
      <w:proofErr w:type="spellEnd"/>
      <w:r>
        <w:rPr>
          <w:sz w:val="28"/>
          <w:szCs w:val="28"/>
        </w:rPr>
        <w:t xml:space="preserve"> препаратов указывают активность </w:t>
      </w:r>
      <w:r w:rsidR="009F3E15">
        <w:rPr>
          <w:sz w:val="28"/>
          <w:szCs w:val="28"/>
        </w:rPr>
        <w:t>содержимого</w:t>
      </w:r>
      <w:r>
        <w:rPr>
          <w:sz w:val="28"/>
          <w:szCs w:val="28"/>
        </w:rPr>
        <w:t xml:space="preserve"> первичной упаковк</w:t>
      </w:r>
      <w:r w:rsidR="009F3E15">
        <w:rPr>
          <w:sz w:val="28"/>
          <w:szCs w:val="28"/>
        </w:rPr>
        <w:t>и</w:t>
      </w:r>
      <w:r>
        <w:rPr>
          <w:sz w:val="28"/>
          <w:szCs w:val="28"/>
        </w:rPr>
        <w:t xml:space="preserve"> или активность, приходящуюся на единицу объема после растворения в определенном объеме растворителя. Количественное содержание антител выражают в Международных единицах </w:t>
      </w:r>
      <w:r w:rsidRPr="008968FF">
        <w:rPr>
          <w:sz w:val="28"/>
          <w:szCs w:val="28"/>
        </w:rPr>
        <w:t>(МЕ)</w:t>
      </w:r>
      <w:r>
        <w:rPr>
          <w:sz w:val="28"/>
          <w:szCs w:val="28"/>
        </w:rPr>
        <w:t>. Описание метода включает требования к животным (</w:t>
      </w:r>
      <w:r w:rsidR="009F3E15">
        <w:rPr>
          <w:sz w:val="28"/>
          <w:szCs w:val="28"/>
        </w:rPr>
        <w:t xml:space="preserve">вид, </w:t>
      </w:r>
      <w:r>
        <w:rPr>
          <w:sz w:val="28"/>
          <w:szCs w:val="28"/>
        </w:rPr>
        <w:t xml:space="preserve">линия, масса, пол, количество); описание схемы и метода введения препарата, указание на использование стандартных образцов (при необходимости), величины используемых доз; требование к реагентам, </w:t>
      </w:r>
      <w:proofErr w:type="spellStart"/>
      <w:proofErr w:type="gramStart"/>
      <w:r>
        <w:rPr>
          <w:sz w:val="28"/>
          <w:szCs w:val="28"/>
        </w:rPr>
        <w:t>тест-токсинам</w:t>
      </w:r>
      <w:proofErr w:type="spellEnd"/>
      <w:proofErr w:type="gramEnd"/>
      <w:r>
        <w:rPr>
          <w:sz w:val="28"/>
          <w:szCs w:val="28"/>
        </w:rPr>
        <w:t xml:space="preserve"> и вирусам, их дозам; сроки наблюдения</w:t>
      </w:r>
      <w:r w:rsidRPr="00671D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учитываемые показатели, методы расчета и статистической обработки результатов (при необходимости). </w:t>
      </w:r>
    </w:p>
    <w:p w:rsidR="00344056" w:rsidRPr="00671D80" w:rsidRDefault="00344056" w:rsidP="0034405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опреде</w:t>
      </w:r>
      <w:r w:rsidR="00367EC1">
        <w:rPr>
          <w:sz w:val="28"/>
          <w:szCs w:val="28"/>
        </w:rPr>
        <w:t xml:space="preserve">лении специфической активности </w:t>
      </w:r>
      <w:r>
        <w:rPr>
          <w:sz w:val="28"/>
          <w:szCs w:val="28"/>
        </w:rPr>
        <w:t xml:space="preserve">методами </w:t>
      </w:r>
      <w:r w:rsidRPr="00396025">
        <w:rPr>
          <w:i/>
          <w:sz w:val="28"/>
          <w:szCs w:val="28"/>
          <w:lang w:val="en-US"/>
        </w:rPr>
        <w:t>in</w:t>
      </w:r>
      <w:r w:rsidRPr="00396025">
        <w:rPr>
          <w:i/>
          <w:sz w:val="28"/>
          <w:szCs w:val="28"/>
        </w:rPr>
        <w:t xml:space="preserve"> </w:t>
      </w:r>
      <w:r w:rsidRPr="00396025">
        <w:rPr>
          <w:i/>
          <w:sz w:val="28"/>
          <w:szCs w:val="28"/>
          <w:lang w:val="en-US"/>
        </w:rPr>
        <w:t>vitro</w:t>
      </w:r>
      <w:r>
        <w:rPr>
          <w:sz w:val="28"/>
          <w:szCs w:val="28"/>
        </w:rPr>
        <w:t xml:space="preserve"> приводят описание методики, требования к реагентам, учитываемые показатели.</w:t>
      </w:r>
    </w:p>
    <w:p w:rsidR="00344056" w:rsidRDefault="00344056" w:rsidP="00367EC1">
      <w:pPr>
        <w:spacing w:line="360" w:lineRule="auto"/>
        <w:ind w:firstLine="709"/>
        <w:jc w:val="both"/>
        <w:rPr>
          <w:sz w:val="28"/>
          <w:szCs w:val="28"/>
        </w:rPr>
      </w:pPr>
      <w:r w:rsidRPr="00F24562">
        <w:rPr>
          <w:b/>
          <w:sz w:val="28"/>
          <w:szCs w:val="28"/>
        </w:rPr>
        <w:t>Удельная активность</w:t>
      </w:r>
      <w:r>
        <w:rPr>
          <w:sz w:val="28"/>
          <w:szCs w:val="28"/>
        </w:rPr>
        <w:t xml:space="preserve"> (если предусмотрено). </w:t>
      </w:r>
      <w:r w:rsidR="00CE5081">
        <w:rPr>
          <w:sz w:val="28"/>
          <w:szCs w:val="28"/>
        </w:rPr>
        <w:t>Т</w:t>
      </w:r>
      <w:r w:rsidRPr="00396025">
        <w:rPr>
          <w:sz w:val="28"/>
          <w:szCs w:val="28"/>
        </w:rPr>
        <w:t xml:space="preserve">ребования указывают в </w:t>
      </w:r>
      <w:r w:rsidR="00C61689">
        <w:rPr>
          <w:sz w:val="28"/>
          <w:szCs w:val="28"/>
        </w:rPr>
        <w:t xml:space="preserve">фармакопейной статье или </w:t>
      </w:r>
      <w:r>
        <w:rPr>
          <w:sz w:val="28"/>
          <w:szCs w:val="28"/>
        </w:rPr>
        <w:t>нормативной документации</w:t>
      </w:r>
      <w:r w:rsidR="009F3E15">
        <w:rPr>
          <w:sz w:val="28"/>
          <w:szCs w:val="28"/>
        </w:rPr>
        <w:t>.</w:t>
      </w:r>
      <w:r w:rsidR="00367EC1">
        <w:rPr>
          <w:sz w:val="28"/>
          <w:szCs w:val="28"/>
        </w:rPr>
        <w:t xml:space="preserve"> </w:t>
      </w:r>
      <w:r>
        <w:rPr>
          <w:sz w:val="28"/>
          <w:szCs w:val="28"/>
        </w:rPr>
        <w:t>Удельная активность выражается в количестве единиц активности (например, МЕ), на</w:t>
      </w:r>
      <w:r w:rsidRPr="00396025">
        <w:rPr>
          <w:sz w:val="28"/>
          <w:szCs w:val="28"/>
        </w:rPr>
        <w:t xml:space="preserve"> у</w:t>
      </w:r>
      <w:r w:rsidR="00367EC1">
        <w:rPr>
          <w:sz w:val="28"/>
          <w:szCs w:val="28"/>
        </w:rPr>
        <w:t xml:space="preserve">становленное количество </w:t>
      </w:r>
      <w:r w:rsidR="00367EC1" w:rsidRPr="00EA0873">
        <w:rPr>
          <w:sz w:val="28"/>
          <w:szCs w:val="28"/>
        </w:rPr>
        <w:t>белка.</w:t>
      </w:r>
      <w:r w:rsidRPr="00EA0873">
        <w:rPr>
          <w:sz w:val="28"/>
          <w:szCs w:val="28"/>
        </w:rPr>
        <w:t xml:space="preserve"> </w:t>
      </w:r>
      <w:r w:rsidR="00367EC1" w:rsidRPr="00EA0873">
        <w:rPr>
          <w:sz w:val="28"/>
          <w:szCs w:val="28"/>
        </w:rPr>
        <w:t>П</w:t>
      </w:r>
      <w:r w:rsidRPr="00EA0873">
        <w:rPr>
          <w:sz w:val="28"/>
          <w:szCs w:val="28"/>
        </w:rPr>
        <w:t xml:space="preserve">оказатель определяют по </w:t>
      </w:r>
      <w:r w:rsidR="00367EC1" w:rsidRPr="00EA0873">
        <w:rPr>
          <w:sz w:val="28"/>
          <w:szCs w:val="28"/>
        </w:rPr>
        <w:t>формуле</w:t>
      </w:r>
      <w:r w:rsidRPr="00396025">
        <w:rPr>
          <w:sz w:val="28"/>
          <w:szCs w:val="28"/>
        </w:rPr>
        <w:t xml:space="preserve"> путем деления активности, приходящейся на единицу объема, на количество белка, находящегося в том же объеме</w:t>
      </w:r>
      <w:r>
        <w:rPr>
          <w:sz w:val="28"/>
          <w:szCs w:val="28"/>
        </w:rPr>
        <w:t xml:space="preserve">. </w:t>
      </w:r>
    </w:p>
    <w:p w:rsidR="00344056" w:rsidRPr="004552B6" w:rsidRDefault="00344056" w:rsidP="00367EC1">
      <w:pPr>
        <w:spacing w:line="360" w:lineRule="auto"/>
        <w:ind w:firstLine="709"/>
        <w:jc w:val="both"/>
        <w:rPr>
          <w:sz w:val="28"/>
          <w:szCs w:val="28"/>
        </w:rPr>
      </w:pPr>
      <w:r w:rsidRPr="00F24562">
        <w:rPr>
          <w:b/>
          <w:sz w:val="28"/>
          <w:szCs w:val="28"/>
        </w:rPr>
        <w:t>Вещества, вносимые в препарат</w:t>
      </w:r>
      <w:r>
        <w:rPr>
          <w:b/>
          <w:sz w:val="28"/>
          <w:szCs w:val="28"/>
        </w:rPr>
        <w:t xml:space="preserve">. </w:t>
      </w:r>
      <w:r w:rsidRPr="00B323AB">
        <w:rPr>
          <w:sz w:val="28"/>
          <w:szCs w:val="28"/>
        </w:rPr>
        <w:t xml:space="preserve">Если </w:t>
      </w:r>
      <w:r>
        <w:rPr>
          <w:sz w:val="28"/>
          <w:szCs w:val="28"/>
        </w:rPr>
        <w:t>препарат</w:t>
      </w:r>
      <w:r w:rsidRPr="00B323AB">
        <w:rPr>
          <w:sz w:val="28"/>
          <w:szCs w:val="28"/>
        </w:rPr>
        <w:t xml:space="preserve"> содержит </w:t>
      </w:r>
      <w:r w:rsidRPr="009F3E15">
        <w:rPr>
          <w:sz w:val="28"/>
          <w:szCs w:val="28"/>
        </w:rPr>
        <w:t xml:space="preserve">консерванты, стабилизаторы или наполнители, указывают их допустимое количество в единице объема (для жидких препаратов) или </w:t>
      </w:r>
      <w:r w:rsidR="009F3E15">
        <w:rPr>
          <w:sz w:val="28"/>
          <w:szCs w:val="28"/>
        </w:rPr>
        <w:t>содержимого</w:t>
      </w:r>
      <w:r w:rsidRPr="009F3E15">
        <w:rPr>
          <w:sz w:val="28"/>
          <w:szCs w:val="28"/>
        </w:rPr>
        <w:t xml:space="preserve"> первичной упаковк</w:t>
      </w:r>
      <w:r w:rsidR="009F3E15">
        <w:rPr>
          <w:sz w:val="28"/>
          <w:szCs w:val="28"/>
        </w:rPr>
        <w:t>и</w:t>
      </w:r>
      <w:r w:rsidRPr="009F3E15">
        <w:rPr>
          <w:sz w:val="28"/>
          <w:szCs w:val="28"/>
        </w:rPr>
        <w:t xml:space="preserve"> (для </w:t>
      </w:r>
      <w:proofErr w:type="spellStart"/>
      <w:r w:rsidRPr="009F3E15">
        <w:rPr>
          <w:sz w:val="28"/>
          <w:szCs w:val="28"/>
        </w:rPr>
        <w:t>лиофилизированных</w:t>
      </w:r>
      <w:proofErr w:type="spellEnd"/>
      <w:r w:rsidRPr="009F3E15">
        <w:rPr>
          <w:sz w:val="28"/>
          <w:szCs w:val="28"/>
        </w:rPr>
        <w:t xml:space="preserve"> препаратов) и методы определения. Количество консерванта не должно быть меньше установленного эффективного минимума и не превышать заявленную величину более чем на 15%.</w:t>
      </w:r>
      <w:r>
        <w:rPr>
          <w:sz w:val="28"/>
          <w:szCs w:val="28"/>
        </w:rPr>
        <w:t xml:space="preserve"> </w:t>
      </w:r>
    </w:p>
    <w:p w:rsidR="00344056" w:rsidRDefault="00344056" w:rsidP="00344056">
      <w:pPr>
        <w:spacing w:line="360" w:lineRule="auto"/>
        <w:ind w:firstLine="709"/>
        <w:jc w:val="both"/>
        <w:rPr>
          <w:sz w:val="28"/>
          <w:szCs w:val="28"/>
        </w:rPr>
      </w:pPr>
      <w:r w:rsidRPr="00AD36F2">
        <w:rPr>
          <w:b/>
          <w:sz w:val="28"/>
          <w:szCs w:val="28"/>
        </w:rPr>
        <w:lastRenderedPageBreak/>
        <w:t>Стабилизатор</w:t>
      </w:r>
      <w:r>
        <w:rPr>
          <w:sz w:val="28"/>
          <w:szCs w:val="28"/>
        </w:rPr>
        <w:t xml:space="preserve">. Количество стабилизатора должно быть не меньше 80% и не больше 120% от заявленной величины. Содержание стабилизатора определяют с помощью подходящего физико-химического метода. </w:t>
      </w:r>
    </w:p>
    <w:p w:rsidR="00344056" w:rsidRDefault="00344056" w:rsidP="00344056">
      <w:pPr>
        <w:spacing w:line="360" w:lineRule="auto"/>
        <w:ind w:firstLine="709"/>
        <w:jc w:val="both"/>
        <w:rPr>
          <w:sz w:val="28"/>
          <w:szCs w:val="28"/>
        </w:rPr>
      </w:pPr>
      <w:r w:rsidRPr="00F24562">
        <w:rPr>
          <w:b/>
          <w:sz w:val="28"/>
          <w:szCs w:val="28"/>
        </w:rPr>
        <w:t>Растворители и реагенты, выпускаемые в комплекте с препаратом</w:t>
      </w:r>
      <w:r>
        <w:rPr>
          <w:b/>
          <w:sz w:val="28"/>
          <w:szCs w:val="28"/>
        </w:rPr>
        <w:t xml:space="preserve">. </w:t>
      </w:r>
      <w:r w:rsidRPr="00DF0555">
        <w:rPr>
          <w:sz w:val="28"/>
          <w:szCs w:val="28"/>
        </w:rPr>
        <w:t>В комплекте с</w:t>
      </w:r>
      <w:r>
        <w:rPr>
          <w:sz w:val="28"/>
          <w:szCs w:val="28"/>
        </w:rPr>
        <w:t xml:space="preserve">о специфической </w:t>
      </w:r>
      <w:r w:rsidRPr="00DF0555">
        <w:rPr>
          <w:sz w:val="28"/>
          <w:szCs w:val="28"/>
        </w:rPr>
        <w:t xml:space="preserve">сывороткой </w:t>
      </w:r>
      <w:r>
        <w:rPr>
          <w:sz w:val="28"/>
          <w:szCs w:val="28"/>
        </w:rPr>
        <w:t>выпускается сыворотка соответствующего вида животного, разведенная 1:100,</w:t>
      </w:r>
      <w:r w:rsidR="004552B6">
        <w:rPr>
          <w:sz w:val="28"/>
          <w:szCs w:val="28"/>
        </w:rPr>
        <w:t xml:space="preserve"> </w:t>
      </w:r>
      <w:r w:rsidR="004552B6" w:rsidRPr="00EA0873">
        <w:rPr>
          <w:sz w:val="28"/>
          <w:szCs w:val="28"/>
        </w:rPr>
        <w:t>которая</w:t>
      </w:r>
      <w:r w:rsidRPr="00EA0873">
        <w:rPr>
          <w:sz w:val="28"/>
          <w:szCs w:val="28"/>
        </w:rPr>
        <w:t xml:space="preserve"> предназначен</w:t>
      </w:r>
      <w:r w:rsidR="004552B6" w:rsidRPr="00EA0873">
        <w:rPr>
          <w:sz w:val="28"/>
          <w:szCs w:val="28"/>
        </w:rPr>
        <w:t>а</w:t>
      </w:r>
      <w:r w:rsidRPr="00EA0873">
        <w:rPr>
          <w:sz w:val="28"/>
          <w:szCs w:val="28"/>
        </w:rPr>
        <w:t xml:space="preserve"> д</w:t>
      </w:r>
      <w:r>
        <w:rPr>
          <w:sz w:val="28"/>
          <w:szCs w:val="28"/>
        </w:rPr>
        <w:t>ля постановки внутрикожной пробы с целью выявления чувствительности человека к лекарственному препарату, если это предусмотрено инструкцией по применению.</w:t>
      </w:r>
    </w:p>
    <w:p w:rsidR="00344056" w:rsidRDefault="00344056" w:rsidP="00344056">
      <w:pPr>
        <w:spacing w:line="360" w:lineRule="auto"/>
        <w:ind w:firstLine="709"/>
        <w:jc w:val="both"/>
        <w:rPr>
          <w:sz w:val="28"/>
          <w:szCs w:val="28"/>
        </w:rPr>
      </w:pPr>
      <w:r w:rsidRPr="00B01BA9">
        <w:rPr>
          <w:sz w:val="28"/>
          <w:szCs w:val="28"/>
        </w:rPr>
        <w:t xml:space="preserve">В качестве растворителей для </w:t>
      </w:r>
      <w:proofErr w:type="spellStart"/>
      <w:r w:rsidRPr="00B01BA9">
        <w:rPr>
          <w:sz w:val="28"/>
          <w:szCs w:val="28"/>
        </w:rPr>
        <w:t>лиофилизированных</w:t>
      </w:r>
      <w:proofErr w:type="spellEnd"/>
      <w:r w:rsidRPr="00B01BA9">
        <w:rPr>
          <w:sz w:val="28"/>
          <w:szCs w:val="28"/>
        </w:rPr>
        <w:t xml:space="preserve"> препаратов, </w:t>
      </w:r>
      <w:r>
        <w:rPr>
          <w:sz w:val="28"/>
          <w:szCs w:val="28"/>
        </w:rPr>
        <w:t>и</w:t>
      </w:r>
      <w:r w:rsidRPr="00B01BA9">
        <w:rPr>
          <w:sz w:val="28"/>
          <w:szCs w:val="28"/>
        </w:rPr>
        <w:t xml:space="preserve">спользуют растворители, разрешенные к медицинскому применению при соответствующем пути введения, </w:t>
      </w:r>
      <w:r w:rsidR="004552B6" w:rsidRPr="00EA0873">
        <w:rPr>
          <w:sz w:val="28"/>
          <w:szCs w:val="28"/>
        </w:rPr>
        <w:t xml:space="preserve">которые </w:t>
      </w:r>
      <w:r w:rsidRPr="00EA0873">
        <w:rPr>
          <w:sz w:val="28"/>
          <w:szCs w:val="28"/>
        </w:rPr>
        <w:t>не влияю</w:t>
      </w:r>
      <w:r w:rsidR="004552B6" w:rsidRPr="00EA0873">
        <w:rPr>
          <w:sz w:val="28"/>
          <w:szCs w:val="28"/>
        </w:rPr>
        <w:t>т</w:t>
      </w:r>
      <w:r w:rsidRPr="00B01BA9">
        <w:rPr>
          <w:sz w:val="28"/>
          <w:szCs w:val="28"/>
        </w:rPr>
        <w:t xml:space="preserve"> на качество препарата. Требования к качеству растворителя должно быть определен</w:t>
      </w:r>
      <w:r w:rsidR="00CE5081">
        <w:rPr>
          <w:sz w:val="28"/>
          <w:szCs w:val="28"/>
        </w:rPr>
        <w:t>ы</w:t>
      </w:r>
      <w:r w:rsidRPr="00B01BA9">
        <w:rPr>
          <w:sz w:val="28"/>
          <w:szCs w:val="28"/>
        </w:rPr>
        <w:t xml:space="preserve"> в </w:t>
      </w:r>
      <w:r w:rsidR="009F3E15">
        <w:rPr>
          <w:sz w:val="28"/>
          <w:szCs w:val="28"/>
        </w:rPr>
        <w:t>нормативной документации производителя</w:t>
      </w:r>
      <w:r w:rsidRPr="00B01BA9">
        <w:rPr>
          <w:sz w:val="28"/>
          <w:szCs w:val="28"/>
        </w:rPr>
        <w:t>, в которую должны быть включены все показатели качества для контроля растворителя.</w:t>
      </w:r>
    </w:p>
    <w:p w:rsidR="00344056" w:rsidRPr="00DF0555" w:rsidRDefault="00344056" w:rsidP="00344056">
      <w:pPr>
        <w:spacing w:line="360" w:lineRule="auto"/>
        <w:ind w:firstLine="709"/>
        <w:jc w:val="both"/>
        <w:rPr>
          <w:sz w:val="28"/>
          <w:szCs w:val="28"/>
        </w:rPr>
      </w:pPr>
      <w:r w:rsidRPr="00AD36F2">
        <w:rPr>
          <w:b/>
          <w:sz w:val="28"/>
          <w:szCs w:val="28"/>
        </w:rPr>
        <w:t>Упаковка и маркировка</w:t>
      </w:r>
      <w:r w:rsidRPr="00AD36F2">
        <w:rPr>
          <w:sz w:val="28"/>
          <w:szCs w:val="28"/>
        </w:rPr>
        <w:t xml:space="preserve">. В соответствии с ОФС «Иммунобиологические лекарственные </w:t>
      </w:r>
      <w:r>
        <w:rPr>
          <w:sz w:val="28"/>
          <w:szCs w:val="28"/>
        </w:rPr>
        <w:t>препараты</w:t>
      </w:r>
      <w:r w:rsidRPr="00AD36F2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344056" w:rsidRDefault="00344056" w:rsidP="00344056">
      <w:pPr>
        <w:spacing w:line="360" w:lineRule="auto"/>
        <w:ind w:firstLine="709"/>
        <w:jc w:val="both"/>
        <w:rPr>
          <w:sz w:val="28"/>
          <w:szCs w:val="28"/>
        </w:rPr>
      </w:pPr>
      <w:r w:rsidRPr="00F24562">
        <w:rPr>
          <w:b/>
          <w:sz w:val="28"/>
          <w:szCs w:val="28"/>
        </w:rPr>
        <w:t>Транспортирование</w:t>
      </w:r>
      <w:r>
        <w:rPr>
          <w:b/>
          <w:sz w:val="28"/>
          <w:szCs w:val="28"/>
        </w:rPr>
        <w:t xml:space="preserve"> </w:t>
      </w:r>
      <w:r w:rsidRPr="00AD36F2">
        <w:rPr>
          <w:b/>
          <w:sz w:val="28"/>
          <w:szCs w:val="28"/>
        </w:rPr>
        <w:t>и</w:t>
      </w:r>
      <w:r w:rsidR="000A4F9E">
        <w:rPr>
          <w:b/>
          <w:sz w:val="28"/>
          <w:szCs w:val="28"/>
        </w:rPr>
        <w:t xml:space="preserve"> </w:t>
      </w:r>
      <w:r w:rsidRPr="00F24562">
        <w:rPr>
          <w:b/>
          <w:sz w:val="28"/>
          <w:szCs w:val="28"/>
        </w:rPr>
        <w:t>хранение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В защищенном от света месте при температуре от 2 до 8ºС.  Жидкие лекарственные средства не допускается замораживать.</w:t>
      </w:r>
    </w:p>
    <w:p w:rsidR="00344056" w:rsidRDefault="00344056" w:rsidP="00344056"/>
    <w:sectPr w:rsidR="00344056" w:rsidSect="00811336">
      <w:footerReference w:type="even" r:id="rId7"/>
      <w:footerReference w:type="default" r:id="rId8"/>
      <w:footerReference w:type="firs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3AC3" w:rsidRDefault="00B13AC3">
      <w:r>
        <w:separator/>
      </w:r>
    </w:p>
  </w:endnote>
  <w:endnote w:type="continuationSeparator" w:id="0">
    <w:p w:rsidR="00B13AC3" w:rsidRDefault="00B13A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E15" w:rsidRDefault="0031458F" w:rsidP="009F3E1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F3E1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F3E15" w:rsidRDefault="009F3E15" w:rsidP="009F3E15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E15" w:rsidRPr="00811336" w:rsidRDefault="0031458F" w:rsidP="00811336">
    <w:pPr>
      <w:pStyle w:val="a3"/>
      <w:jc w:val="center"/>
      <w:rPr>
        <w:sz w:val="28"/>
        <w:szCs w:val="28"/>
        <w:lang w:val="en-US"/>
      </w:rPr>
    </w:pPr>
    <w:r w:rsidRPr="00EA15BB">
      <w:rPr>
        <w:sz w:val="28"/>
        <w:szCs w:val="28"/>
      </w:rPr>
      <w:fldChar w:fldCharType="begin"/>
    </w:r>
    <w:r w:rsidR="009F3E15" w:rsidRPr="00EA15BB">
      <w:rPr>
        <w:sz w:val="28"/>
        <w:szCs w:val="28"/>
      </w:rPr>
      <w:instrText xml:space="preserve"> PAGE   \* MERGEFORMAT </w:instrText>
    </w:r>
    <w:r w:rsidRPr="00EA15BB">
      <w:rPr>
        <w:sz w:val="28"/>
        <w:szCs w:val="28"/>
      </w:rPr>
      <w:fldChar w:fldCharType="separate"/>
    </w:r>
    <w:r w:rsidR="00AE124D">
      <w:rPr>
        <w:noProof/>
        <w:sz w:val="28"/>
        <w:szCs w:val="28"/>
      </w:rPr>
      <w:t>6</w:t>
    </w:r>
    <w:r w:rsidRPr="00EA15BB">
      <w:rPr>
        <w:sz w:val="28"/>
        <w:szCs w:val="2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E15" w:rsidRDefault="009F3E15">
    <w:pPr>
      <w:pStyle w:val="a3"/>
      <w:jc w:val="center"/>
    </w:pPr>
  </w:p>
  <w:p w:rsidR="009F3E15" w:rsidRDefault="009F3E1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3AC3" w:rsidRDefault="00B13AC3">
      <w:r>
        <w:separator/>
      </w:r>
    </w:p>
  </w:footnote>
  <w:footnote w:type="continuationSeparator" w:id="0">
    <w:p w:rsidR="00B13AC3" w:rsidRDefault="00B13AC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4056"/>
    <w:rsid w:val="00016AEB"/>
    <w:rsid w:val="000A4F9E"/>
    <w:rsid w:val="00212B8C"/>
    <w:rsid w:val="002B6024"/>
    <w:rsid w:val="002E47F6"/>
    <w:rsid w:val="0031458F"/>
    <w:rsid w:val="00344056"/>
    <w:rsid w:val="00367EC1"/>
    <w:rsid w:val="003A13D1"/>
    <w:rsid w:val="004552B6"/>
    <w:rsid w:val="00460504"/>
    <w:rsid w:val="00484A35"/>
    <w:rsid w:val="004F44BE"/>
    <w:rsid w:val="00686ED1"/>
    <w:rsid w:val="00693A77"/>
    <w:rsid w:val="006D337F"/>
    <w:rsid w:val="00774962"/>
    <w:rsid w:val="007C2EFF"/>
    <w:rsid w:val="00811336"/>
    <w:rsid w:val="008353C1"/>
    <w:rsid w:val="008572E4"/>
    <w:rsid w:val="008D70F2"/>
    <w:rsid w:val="00982AC7"/>
    <w:rsid w:val="009869A7"/>
    <w:rsid w:val="00997BC7"/>
    <w:rsid w:val="009F3E15"/>
    <w:rsid w:val="00A224DA"/>
    <w:rsid w:val="00A7199D"/>
    <w:rsid w:val="00A93C0D"/>
    <w:rsid w:val="00AA16F5"/>
    <w:rsid w:val="00AC1A40"/>
    <w:rsid w:val="00AE124D"/>
    <w:rsid w:val="00B13AC3"/>
    <w:rsid w:val="00B603C3"/>
    <w:rsid w:val="00B711A3"/>
    <w:rsid w:val="00B84A66"/>
    <w:rsid w:val="00BD6E6F"/>
    <w:rsid w:val="00C07577"/>
    <w:rsid w:val="00C1068D"/>
    <w:rsid w:val="00C51517"/>
    <w:rsid w:val="00C61689"/>
    <w:rsid w:val="00CE5081"/>
    <w:rsid w:val="00CE7B93"/>
    <w:rsid w:val="00D42808"/>
    <w:rsid w:val="00D54992"/>
    <w:rsid w:val="00D9436C"/>
    <w:rsid w:val="00DD0D62"/>
    <w:rsid w:val="00DD5F4E"/>
    <w:rsid w:val="00E05D85"/>
    <w:rsid w:val="00E3406B"/>
    <w:rsid w:val="00E66946"/>
    <w:rsid w:val="00EA0873"/>
    <w:rsid w:val="00F35282"/>
    <w:rsid w:val="00F61177"/>
    <w:rsid w:val="00F81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05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4405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440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44056"/>
  </w:style>
  <w:style w:type="paragraph" w:customStyle="1" w:styleId="ConsPlusNormal">
    <w:name w:val="ConsPlusNormal"/>
    <w:rsid w:val="0034405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Body Text"/>
    <w:basedOn w:val="a"/>
    <w:link w:val="a7"/>
    <w:unhideWhenUsed/>
    <w:rsid w:val="00344056"/>
    <w:pPr>
      <w:spacing w:line="360" w:lineRule="auto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3440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">
    <w:name w:val="Основной текст3"/>
    <w:basedOn w:val="a"/>
    <w:rsid w:val="00344056"/>
    <w:pPr>
      <w:spacing w:after="120"/>
    </w:pPr>
    <w:rPr>
      <w:rFonts w:ascii="NTHarmonica" w:hAnsi="NTHarmonica"/>
      <w:szCs w:val="20"/>
    </w:rPr>
  </w:style>
  <w:style w:type="character" w:styleId="a8">
    <w:name w:val="annotation reference"/>
    <w:basedOn w:val="a0"/>
    <w:uiPriority w:val="99"/>
    <w:semiHidden/>
    <w:unhideWhenUsed/>
    <w:rsid w:val="00CE7B9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E7B93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CE7B93"/>
    <w:rPr>
      <w:rFonts w:ascii="Times New Roman" w:eastAsia="Times New Roman" w:hAnsi="Times New Roman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E7B9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E7B93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CE7B9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E7B93"/>
    <w:rPr>
      <w:rFonts w:ascii="Tahoma" w:eastAsia="Times New Roman" w:hAnsi="Tahoma" w:cs="Tahoma"/>
      <w:sz w:val="16"/>
      <w:szCs w:val="16"/>
    </w:rPr>
  </w:style>
  <w:style w:type="paragraph" w:styleId="af">
    <w:name w:val="header"/>
    <w:basedOn w:val="a"/>
    <w:link w:val="af0"/>
    <w:uiPriority w:val="99"/>
    <w:semiHidden/>
    <w:unhideWhenUsed/>
    <w:rsid w:val="00811336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81133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39A363-925F-4745-80E2-971789F34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1400</Words>
  <Characters>7985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9367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komarovskaya</dc:creator>
  <cp:lastModifiedBy>Kargina</cp:lastModifiedBy>
  <cp:revision>2</cp:revision>
  <cp:lastPrinted>2014-07-18T08:04:00Z</cp:lastPrinted>
  <dcterms:created xsi:type="dcterms:W3CDTF">2014-11-25T11:02:00Z</dcterms:created>
  <dcterms:modified xsi:type="dcterms:W3CDTF">2014-11-25T11:02:00Z</dcterms:modified>
</cp:coreProperties>
</file>