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0" w:rsidRPr="00406411" w:rsidRDefault="00E93AC0" w:rsidP="00737D2E">
      <w:pPr>
        <w:pStyle w:val="ab"/>
        <w:rPr>
          <w:rFonts w:ascii="Times New Roman" w:hAnsi="Times New Roman" w:cs="Times New Roman"/>
          <w:spacing w:val="-20"/>
          <w:sz w:val="28"/>
          <w:szCs w:val="28"/>
        </w:rPr>
      </w:pPr>
      <w:r w:rsidRPr="00406411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E93AC0" w:rsidRPr="00406411" w:rsidRDefault="00E93AC0" w:rsidP="006B1665">
      <w:pPr>
        <w:pStyle w:val="a3"/>
        <w:tabs>
          <w:tab w:val="left" w:pos="3828"/>
        </w:tabs>
        <w:spacing w:line="360" w:lineRule="auto"/>
        <w:jc w:val="center"/>
        <w:rPr>
          <w:b/>
          <w:spacing w:val="-20"/>
          <w:szCs w:val="28"/>
        </w:rPr>
      </w:pPr>
    </w:p>
    <w:p w:rsidR="00E93AC0" w:rsidRDefault="00E93AC0" w:rsidP="006B1665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E93AC0" w:rsidRDefault="00E93AC0" w:rsidP="006B1665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E93AC0" w:rsidRDefault="00E93AC0" w:rsidP="006B1665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0B2BC6" w:rsidRPr="000B2BC6" w:rsidRDefault="000B2BC6" w:rsidP="006B166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93AC0" w:rsidRDefault="006B1665" w:rsidP="006B166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B1665">
        <w:rPr>
          <w:rFonts w:ascii="Times New Roman" w:hAnsi="Times New Roman"/>
          <w:b/>
          <w:snapToGrid w:val="0"/>
          <w:sz w:val="32"/>
        </w:rPr>
        <w:t xml:space="preserve">ОБЩАЯ </w:t>
      </w:r>
      <w:r w:rsidR="00E93AC0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E93AC0" w:rsidRDefault="00E93AC0" w:rsidP="00E93AC0">
      <w:pPr>
        <w:tabs>
          <w:tab w:val="left" w:pos="522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Извлекаемый </w:t>
      </w:r>
      <w:r w:rsidR="00C5224C">
        <w:rPr>
          <w:b/>
          <w:sz w:val="28"/>
          <w:szCs w:val="28"/>
        </w:rPr>
        <w:t>объём</w:t>
      </w:r>
      <w:r>
        <w:rPr>
          <w:b/>
          <w:sz w:val="28"/>
          <w:szCs w:val="28"/>
        </w:rPr>
        <w:tab/>
        <w:t xml:space="preserve">ОФС </w:t>
      </w:r>
    </w:p>
    <w:p w:rsidR="00E93AC0" w:rsidRDefault="00E93AC0" w:rsidP="00E93AC0">
      <w:pPr>
        <w:pStyle w:val="a3"/>
        <w:pBdr>
          <w:bottom w:val="single" w:sz="6" w:space="1" w:color="auto"/>
        </w:pBdr>
        <w:tabs>
          <w:tab w:val="left" w:pos="5222"/>
        </w:tabs>
        <w:rPr>
          <w:b/>
        </w:rPr>
      </w:pPr>
      <w:r>
        <w:rPr>
          <w:b/>
        </w:rPr>
        <w:t>лекарственных форм</w:t>
      </w:r>
    </w:p>
    <w:p w:rsidR="00E93AC0" w:rsidRDefault="00E93AC0" w:rsidP="00E93AC0">
      <w:pPr>
        <w:pStyle w:val="a3"/>
        <w:pBdr>
          <w:bottom w:val="single" w:sz="6" w:space="1" w:color="auto"/>
        </w:pBdr>
        <w:tabs>
          <w:tab w:val="left" w:pos="5222"/>
        </w:tabs>
        <w:rPr>
          <w:szCs w:val="28"/>
        </w:rPr>
      </w:pPr>
      <w:r>
        <w:rPr>
          <w:b/>
        </w:rPr>
        <w:t>для парентерального применения</w:t>
      </w:r>
      <w:bookmarkStart w:id="0" w:name="_GoBack"/>
      <w:bookmarkEnd w:id="0"/>
      <w:proofErr w:type="gramStart"/>
      <w:r>
        <w:tab/>
      </w:r>
      <w:r>
        <w:rPr>
          <w:szCs w:val="28"/>
        </w:rPr>
        <w:t>В</w:t>
      </w:r>
      <w:proofErr w:type="gramEnd"/>
      <w:r>
        <w:rPr>
          <w:szCs w:val="28"/>
        </w:rPr>
        <w:t xml:space="preserve">замен ст. ГФ </w:t>
      </w:r>
      <w:r>
        <w:rPr>
          <w:szCs w:val="28"/>
          <w:lang w:val="en-US"/>
        </w:rPr>
        <w:t>XI</w:t>
      </w:r>
    </w:p>
    <w:p w:rsidR="00E93AC0" w:rsidRDefault="00E93AC0" w:rsidP="006B1665">
      <w:pPr>
        <w:pStyle w:val="2"/>
        <w:keepNext w:val="0"/>
        <w:spacing w:line="240" w:lineRule="auto"/>
        <w:ind w:firstLine="709"/>
        <w:jc w:val="both"/>
        <w:rPr>
          <w:snapToGrid/>
        </w:rPr>
      </w:pPr>
    </w:p>
    <w:p w:rsidR="00C40168" w:rsidRPr="00B63823" w:rsidRDefault="00C40168" w:rsidP="00C40168">
      <w:pPr>
        <w:pStyle w:val="2"/>
        <w:keepNext w:val="0"/>
        <w:ind w:firstLine="709"/>
        <w:jc w:val="both"/>
        <w:rPr>
          <w:snapToGrid/>
        </w:rPr>
      </w:pPr>
      <w:r w:rsidRPr="00B63823">
        <w:rPr>
          <w:snapToGrid/>
        </w:rPr>
        <w:t xml:space="preserve">Лекарственные </w:t>
      </w:r>
      <w:r>
        <w:rPr>
          <w:snapToGrid/>
        </w:rPr>
        <w:t>формы</w:t>
      </w:r>
      <w:r w:rsidRPr="00B63823">
        <w:rPr>
          <w:snapToGrid/>
        </w:rPr>
        <w:t xml:space="preserve"> для парентерального применения могут </w:t>
      </w:r>
      <w:r w:rsidR="007202E6">
        <w:rPr>
          <w:snapToGrid/>
        </w:rPr>
        <w:t xml:space="preserve">быть </w:t>
      </w:r>
      <w:proofErr w:type="spellStart"/>
      <w:r w:rsidR="007202E6">
        <w:rPr>
          <w:snapToGrid/>
        </w:rPr>
        <w:t>однодозовыми</w:t>
      </w:r>
      <w:proofErr w:type="spellEnd"/>
      <w:r w:rsidR="00B172D1">
        <w:rPr>
          <w:snapToGrid/>
        </w:rPr>
        <w:t xml:space="preserve"> </w:t>
      </w:r>
      <w:r w:rsidRPr="00B63823">
        <w:rPr>
          <w:snapToGrid/>
        </w:rPr>
        <w:t xml:space="preserve">(ампулы, картриджи или заполненные шприцы) или </w:t>
      </w:r>
      <w:proofErr w:type="spellStart"/>
      <w:r w:rsidR="00817253" w:rsidRPr="00817253">
        <w:rPr>
          <w:snapToGrid/>
        </w:rPr>
        <w:t>многод</w:t>
      </w:r>
      <w:r w:rsidR="00817253" w:rsidRPr="00817253">
        <w:rPr>
          <w:snapToGrid/>
        </w:rPr>
        <w:t>о</w:t>
      </w:r>
      <w:r w:rsidR="00817253" w:rsidRPr="00817253">
        <w:rPr>
          <w:snapToGrid/>
        </w:rPr>
        <w:t>зовыми</w:t>
      </w:r>
      <w:proofErr w:type="spellEnd"/>
      <w:r w:rsidRPr="00B63823">
        <w:rPr>
          <w:snapToGrid/>
        </w:rPr>
        <w:t>, содер</w:t>
      </w:r>
      <w:r w:rsidR="007202E6">
        <w:rPr>
          <w:snapToGrid/>
        </w:rPr>
        <w:t>жащими</w:t>
      </w:r>
      <w:r w:rsidRPr="00B63823">
        <w:rPr>
          <w:snapToGrid/>
        </w:rPr>
        <w:t xml:space="preserve"> несколько доз препарата. </w:t>
      </w:r>
      <w:r w:rsidR="00C5224C">
        <w:rPr>
          <w:snapToGrid/>
        </w:rPr>
        <w:t>Объём</w:t>
      </w:r>
      <w:r w:rsidRPr="00155D9E">
        <w:rPr>
          <w:snapToGrid/>
        </w:rPr>
        <w:t xml:space="preserve"> </w:t>
      </w:r>
      <w:r w:rsidR="006B1665">
        <w:rPr>
          <w:snapToGrid/>
        </w:rPr>
        <w:t>лекарственной фо</w:t>
      </w:r>
      <w:r w:rsidR="006B1665">
        <w:rPr>
          <w:snapToGrid/>
        </w:rPr>
        <w:t>р</w:t>
      </w:r>
      <w:r w:rsidR="006B1665">
        <w:rPr>
          <w:snapToGrid/>
        </w:rPr>
        <w:t>мы</w:t>
      </w:r>
      <w:r w:rsidRPr="00155D9E">
        <w:rPr>
          <w:snapToGrid/>
        </w:rPr>
        <w:t xml:space="preserve"> в</w:t>
      </w:r>
      <w:r w:rsidRPr="00B63823">
        <w:rPr>
          <w:snapToGrid/>
        </w:rPr>
        <w:t xml:space="preserve"> </w:t>
      </w:r>
      <w:r w:rsidR="00B172D1">
        <w:rPr>
          <w:snapToGrid/>
        </w:rPr>
        <w:t>упаковке</w:t>
      </w:r>
      <w:r w:rsidRPr="00B63823">
        <w:rPr>
          <w:snapToGrid/>
        </w:rPr>
        <w:t xml:space="preserve"> должен быть достаточным, чтобы обеспечить введение ном</w:t>
      </w:r>
      <w:r w:rsidRPr="00B63823">
        <w:rPr>
          <w:snapToGrid/>
        </w:rPr>
        <w:t>и</w:t>
      </w:r>
      <w:r w:rsidRPr="00B63823">
        <w:rPr>
          <w:snapToGrid/>
        </w:rPr>
        <w:t xml:space="preserve">нального </w:t>
      </w:r>
      <w:r w:rsidR="00C5224C">
        <w:rPr>
          <w:snapToGrid/>
        </w:rPr>
        <w:t>объём</w:t>
      </w:r>
      <w:r w:rsidRPr="00B63823">
        <w:rPr>
          <w:snapToGrid/>
        </w:rPr>
        <w:t xml:space="preserve">а, указанного на этикетке. </w:t>
      </w:r>
    </w:p>
    <w:p w:rsidR="00C40168" w:rsidRDefault="00C40168" w:rsidP="00C40168">
      <w:pPr>
        <w:pStyle w:val="2"/>
        <w:keepNext w:val="0"/>
        <w:ind w:firstLine="709"/>
        <w:jc w:val="both"/>
        <w:rPr>
          <w:snapToGrid/>
        </w:rPr>
      </w:pPr>
      <w:r w:rsidRPr="00B63823">
        <w:rPr>
          <w:snapToGrid/>
        </w:rPr>
        <w:t xml:space="preserve">Соответствие лекарственных </w:t>
      </w:r>
      <w:r>
        <w:rPr>
          <w:snapToGrid/>
        </w:rPr>
        <w:t>форм</w:t>
      </w:r>
      <w:r w:rsidRPr="00B63823">
        <w:rPr>
          <w:snapToGrid/>
        </w:rPr>
        <w:t xml:space="preserve"> для парентерального применения требованиям по извлекаемому </w:t>
      </w:r>
      <w:r w:rsidR="00C5224C">
        <w:rPr>
          <w:snapToGrid/>
        </w:rPr>
        <w:t>объём</w:t>
      </w:r>
      <w:r w:rsidRPr="00B63823">
        <w:rPr>
          <w:snapToGrid/>
        </w:rPr>
        <w:t xml:space="preserve">у достигается заполнением </w:t>
      </w:r>
      <w:r w:rsidR="00B172D1">
        <w:rPr>
          <w:snapToGrid/>
        </w:rPr>
        <w:t>упаковок</w:t>
      </w:r>
      <w:r w:rsidRPr="00B63823">
        <w:rPr>
          <w:snapToGrid/>
        </w:rPr>
        <w:t xml:space="preserve"> с небольшим избытком от номинального </w:t>
      </w:r>
      <w:r w:rsidR="00C5224C">
        <w:rPr>
          <w:snapToGrid/>
        </w:rPr>
        <w:t>объём</w:t>
      </w:r>
      <w:r w:rsidRPr="00B63823">
        <w:rPr>
          <w:snapToGrid/>
        </w:rPr>
        <w:t>а (табл</w:t>
      </w:r>
      <w:r w:rsidR="006B1665">
        <w:rPr>
          <w:snapToGrid/>
        </w:rPr>
        <w:t>ица</w:t>
      </w:r>
      <w:r w:rsidRPr="00B63823">
        <w:rPr>
          <w:snapToGrid/>
        </w:rPr>
        <w:t>).</w:t>
      </w:r>
    </w:p>
    <w:p w:rsidR="006B1665" w:rsidRPr="00B63823" w:rsidRDefault="00C40168" w:rsidP="000E1C91">
      <w:pPr>
        <w:spacing w:after="120"/>
        <w:jc w:val="both"/>
        <w:rPr>
          <w:sz w:val="28"/>
          <w:szCs w:val="28"/>
        </w:rPr>
      </w:pPr>
      <w:r w:rsidRPr="00B63823">
        <w:rPr>
          <w:sz w:val="28"/>
          <w:szCs w:val="28"/>
        </w:rPr>
        <w:t>Таблица</w:t>
      </w:r>
      <w:r w:rsidR="006B1665">
        <w:rPr>
          <w:sz w:val="28"/>
          <w:szCs w:val="28"/>
        </w:rPr>
        <w:t xml:space="preserve"> – </w:t>
      </w:r>
      <w:r w:rsidR="00C5224C">
        <w:rPr>
          <w:sz w:val="28"/>
          <w:szCs w:val="28"/>
        </w:rPr>
        <w:t>Объём</w:t>
      </w:r>
      <w:r w:rsidRPr="00B63823">
        <w:rPr>
          <w:sz w:val="28"/>
          <w:szCs w:val="28"/>
        </w:rPr>
        <w:t xml:space="preserve"> заполнения инъекци</w:t>
      </w:r>
      <w:r w:rsidR="00B172D1">
        <w:rPr>
          <w:sz w:val="28"/>
          <w:szCs w:val="28"/>
        </w:rPr>
        <w:t>онных растворов</w:t>
      </w:r>
      <w:r w:rsidRPr="00B63823">
        <w:rPr>
          <w:sz w:val="28"/>
          <w:szCs w:val="28"/>
        </w:rPr>
        <w:t xml:space="preserve"> в </w:t>
      </w:r>
      <w:proofErr w:type="spellStart"/>
      <w:r w:rsidRPr="00B63823">
        <w:rPr>
          <w:sz w:val="28"/>
          <w:szCs w:val="28"/>
        </w:rPr>
        <w:t>однодозовых</w:t>
      </w:r>
      <w:proofErr w:type="spellEnd"/>
      <w:r w:rsidRPr="00B63823">
        <w:rPr>
          <w:sz w:val="28"/>
          <w:szCs w:val="28"/>
        </w:rPr>
        <w:t xml:space="preserve"> </w:t>
      </w:r>
      <w:r w:rsidR="00B172D1">
        <w:rPr>
          <w:sz w:val="28"/>
          <w:szCs w:val="28"/>
        </w:rPr>
        <w:t>уп</w:t>
      </w:r>
      <w:r w:rsidR="00B172D1">
        <w:rPr>
          <w:sz w:val="28"/>
          <w:szCs w:val="28"/>
        </w:rPr>
        <w:t>а</w:t>
      </w:r>
      <w:r w:rsidR="00B172D1">
        <w:rPr>
          <w:sz w:val="28"/>
          <w:szCs w:val="28"/>
        </w:rPr>
        <w:t>ковках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84"/>
        <w:gridCol w:w="3476"/>
        <w:gridCol w:w="3600"/>
      </w:tblGrid>
      <w:tr w:rsidR="00C40168" w:rsidRPr="00E10F67" w:rsidTr="006B1665">
        <w:tc>
          <w:tcPr>
            <w:tcW w:w="2284" w:type="dxa"/>
            <w:vMerge w:val="restart"/>
          </w:tcPr>
          <w:p w:rsidR="00C40168" w:rsidRPr="00E10F67" w:rsidRDefault="00C40168" w:rsidP="00E10F67">
            <w:pPr>
              <w:jc w:val="center"/>
              <w:rPr>
                <w:b/>
                <w:sz w:val="26"/>
                <w:szCs w:val="26"/>
              </w:rPr>
            </w:pPr>
            <w:r w:rsidRPr="00E10F67">
              <w:rPr>
                <w:b/>
                <w:sz w:val="26"/>
                <w:szCs w:val="26"/>
              </w:rPr>
              <w:t xml:space="preserve">Номинальный </w:t>
            </w:r>
          </w:p>
          <w:p w:rsidR="00C40168" w:rsidRPr="00E10F67" w:rsidRDefault="00C5224C" w:rsidP="00E10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объём</w:t>
            </w:r>
            <w:r w:rsidR="00C40168" w:rsidRPr="00E10F67">
              <w:rPr>
                <w:b/>
                <w:sz w:val="26"/>
                <w:szCs w:val="26"/>
              </w:rPr>
              <w:t>, мл</w:t>
            </w:r>
          </w:p>
        </w:tc>
        <w:tc>
          <w:tcPr>
            <w:tcW w:w="7076" w:type="dxa"/>
            <w:gridSpan w:val="2"/>
          </w:tcPr>
          <w:p w:rsidR="00C40168" w:rsidRPr="00E10F67" w:rsidRDefault="00C5224C" w:rsidP="00E10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Объём</w:t>
            </w:r>
            <w:r w:rsidR="00C40168" w:rsidRPr="00E10F67">
              <w:rPr>
                <w:b/>
                <w:sz w:val="26"/>
                <w:szCs w:val="26"/>
              </w:rPr>
              <w:t xml:space="preserve"> заполнения, мл</w:t>
            </w:r>
          </w:p>
        </w:tc>
      </w:tr>
      <w:tr w:rsidR="00C40168" w:rsidRPr="00E10F67" w:rsidTr="006B1665">
        <w:tc>
          <w:tcPr>
            <w:tcW w:w="2284" w:type="dxa"/>
            <w:vMerge/>
          </w:tcPr>
          <w:p w:rsidR="00C40168" w:rsidRPr="00E10F67" w:rsidRDefault="00C40168" w:rsidP="00C36EC4">
            <w:pPr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:rsidR="00C40168" w:rsidRPr="00914902" w:rsidRDefault="00C40168" w:rsidP="009E0B0F">
            <w:pPr>
              <w:jc w:val="center"/>
              <w:rPr>
                <w:b/>
                <w:sz w:val="26"/>
                <w:szCs w:val="26"/>
              </w:rPr>
            </w:pPr>
            <w:r w:rsidRPr="00E10F67">
              <w:rPr>
                <w:b/>
                <w:sz w:val="26"/>
                <w:szCs w:val="26"/>
              </w:rPr>
              <w:t xml:space="preserve">Невязкие </w:t>
            </w:r>
            <w:r w:rsidR="00914902">
              <w:rPr>
                <w:b/>
                <w:sz w:val="26"/>
                <w:szCs w:val="26"/>
              </w:rPr>
              <w:t>растворы</w:t>
            </w:r>
          </w:p>
        </w:tc>
        <w:tc>
          <w:tcPr>
            <w:tcW w:w="3600" w:type="dxa"/>
          </w:tcPr>
          <w:p w:rsidR="00C40168" w:rsidRPr="00E10F67" w:rsidRDefault="00C40168" w:rsidP="009E0B0F">
            <w:pPr>
              <w:jc w:val="center"/>
              <w:rPr>
                <w:b/>
                <w:sz w:val="26"/>
                <w:szCs w:val="26"/>
              </w:rPr>
            </w:pPr>
            <w:r w:rsidRPr="00E10F67">
              <w:rPr>
                <w:b/>
                <w:sz w:val="26"/>
                <w:szCs w:val="26"/>
              </w:rPr>
              <w:t xml:space="preserve">Вязкие </w:t>
            </w:r>
            <w:r w:rsidR="00914902">
              <w:rPr>
                <w:b/>
                <w:sz w:val="26"/>
                <w:szCs w:val="26"/>
              </w:rPr>
              <w:t>растворы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0,5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0,6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0,62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1,0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1,10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1,15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2,0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2,15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2,25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5,0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5,30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5,50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10,0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10,50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10,70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20,0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20,60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20,90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30,0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30,80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31,20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50,0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51,00</w:t>
            </w:r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51,50</w:t>
            </w:r>
          </w:p>
        </w:tc>
      </w:tr>
      <w:tr w:rsidR="00C40168" w:rsidRPr="00E10F67" w:rsidTr="006B1665">
        <w:tc>
          <w:tcPr>
            <w:tcW w:w="2284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>Более 50</w:t>
            </w:r>
          </w:p>
        </w:tc>
        <w:tc>
          <w:tcPr>
            <w:tcW w:w="3476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 xml:space="preserve">На 2 % </w:t>
            </w:r>
            <w:proofErr w:type="gramStart"/>
            <w:r w:rsidRPr="00E10F67">
              <w:rPr>
                <w:sz w:val="26"/>
                <w:szCs w:val="26"/>
              </w:rPr>
              <w:t>более номинального</w:t>
            </w:r>
            <w:proofErr w:type="gramEnd"/>
          </w:p>
        </w:tc>
        <w:tc>
          <w:tcPr>
            <w:tcW w:w="3600" w:type="dxa"/>
          </w:tcPr>
          <w:p w:rsidR="00C40168" w:rsidRPr="00E10F67" w:rsidRDefault="00C40168" w:rsidP="00E10F67">
            <w:pPr>
              <w:jc w:val="center"/>
              <w:rPr>
                <w:sz w:val="26"/>
                <w:szCs w:val="26"/>
              </w:rPr>
            </w:pPr>
            <w:r w:rsidRPr="00E10F67">
              <w:rPr>
                <w:sz w:val="26"/>
                <w:szCs w:val="26"/>
              </w:rPr>
              <w:t xml:space="preserve">На 3 % </w:t>
            </w:r>
            <w:proofErr w:type="gramStart"/>
            <w:r w:rsidRPr="00E10F67">
              <w:rPr>
                <w:sz w:val="26"/>
                <w:szCs w:val="26"/>
              </w:rPr>
              <w:t>более номинального</w:t>
            </w:r>
            <w:proofErr w:type="gramEnd"/>
          </w:p>
        </w:tc>
      </w:tr>
    </w:tbl>
    <w:p w:rsidR="00C40168" w:rsidRPr="00B63823" w:rsidRDefault="00C40168" w:rsidP="00C40168">
      <w:pPr>
        <w:pStyle w:val="2"/>
        <w:keepNext w:val="0"/>
        <w:spacing w:before="240"/>
        <w:ind w:firstLine="709"/>
        <w:jc w:val="both"/>
        <w:rPr>
          <w:b/>
        </w:rPr>
      </w:pPr>
      <w:r w:rsidRPr="00B63823">
        <w:t xml:space="preserve">Суспензии и эмульсии перед извлечением из </w:t>
      </w:r>
      <w:r w:rsidR="00B172D1">
        <w:t xml:space="preserve">упаковки </w:t>
      </w:r>
      <w:r w:rsidRPr="00B63823">
        <w:t>и перед опред</w:t>
      </w:r>
      <w:r w:rsidRPr="00B63823">
        <w:t>е</w:t>
      </w:r>
      <w:r w:rsidRPr="00B63823">
        <w:t xml:space="preserve">лением плотности встряхивают. Масляные и вязкие </w:t>
      </w:r>
      <w:r w:rsidR="00B172D1">
        <w:t>лекарственные формы</w:t>
      </w:r>
      <w:r w:rsidRPr="00B63823">
        <w:t xml:space="preserve"> при необходимости можно подогревать в соответствии с указаниями на эт</w:t>
      </w:r>
      <w:r w:rsidRPr="00B63823">
        <w:t>и</w:t>
      </w:r>
      <w:r w:rsidRPr="00B63823">
        <w:lastRenderedPageBreak/>
        <w:t xml:space="preserve">кетке. Их следует тщательно встряхивать перед извлечением содержимого. Перед измерением </w:t>
      </w:r>
      <w:r w:rsidR="00C5224C">
        <w:t>объём</w:t>
      </w:r>
      <w:r w:rsidRPr="00B63823">
        <w:t>а содержимое охлаждают до 20</w:t>
      </w:r>
      <w:r w:rsidR="00336C6A" w:rsidRPr="000B2BC6">
        <w:t>-</w:t>
      </w:r>
      <w:r w:rsidRPr="00B63823">
        <w:t>25 °С.</w:t>
      </w:r>
    </w:p>
    <w:p w:rsidR="00C40168" w:rsidRPr="00B63823" w:rsidRDefault="00C40168" w:rsidP="00C40168">
      <w:pPr>
        <w:pStyle w:val="2"/>
        <w:keepNext w:val="0"/>
        <w:jc w:val="center"/>
      </w:pPr>
      <w:proofErr w:type="spellStart"/>
      <w:r w:rsidRPr="00B63823">
        <w:rPr>
          <w:b/>
        </w:rPr>
        <w:t>Однодозовые</w:t>
      </w:r>
      <w:proofErr w:type="spellEnd"/>
      <w:r w:rsidRPr="00B63823">
        <w:rPr>
          <w:b/>
        </w:rPr>
        <w:t xml:space="preserve"> </w:t>
      </w:r>
      <w:r w:rsidR="007202E6">
        <w:rPr>
          <w:b/>
        </w:rPr>
        <w:t>лекарственные формы</w:t>
      </w:r>
    </w:p>
    <w:p w:rsidR="00841567" w:rsidRDefault="00C40168" w:rsidP="00841567">
      <w:pPr>
        <w:pStyle w:val="a3"/>
        <w:spacing w:line="360" w:lineRule="auto"/>
        <w:ind w:firstLine="709"/>
        <w:jc w:val="both"/>
      </w:pPr>
      <w:r w:rsidRPr="00B63823">
        <w:t xml:space="preserve">Отбирают </w:t>
      </w:r>
      <w:r w:rsidR="00737D2E">
        <w:t>5</w:t>
      </w:r>
      <w:r w:rsidRPr="00B63823">
        <w:t xml:space="preserve"> </w:t>
      </w:r>
      <w:r w:rsidR="00B172D1">
        <w:t>упаковок</w:t>
      </w:r>
      <w:r w:rsidRPr="00B63823">
        <w:t xml:space="preserve">, если номинальный </w:t>
      </w:r>
      <w:r w:rsidR="00C5224C">
        <w:t>объём</w:t>
      </w:r>
      <w:r w:rsidRPr="00B63823">
        <w:t xml:space="preserve"> менее </w:t>
      </w:r>
      <w:r w:rsidR="00712BCE" w:rsidRPr="00712BCE">
        <w:t>1</w:t>
      </w:r>
      <w:r w:rsidRPr="00712BCE">
        <w:t>0</w:t>
      </w:r>
      <w:r w:rsidRPr="00B63823">
        <w:t xml:space="preserve"> мл, или </w:t>
      </w:r>
      <w:r w:rsidR="00737D2E">
        <w:t>3</w:t>
      </w:r>
      <w:r w:rsidR="00ED00CD">
        <w:rPr>
          <w:lang w:val="en-US"/>
        </w:rPr>
        <w:t> </w:t>
      </w:r>
      <w:r w:rsidR="00B172D1">
        <w:t>упаковки</w:t>
      </w:r>
      <w:r w:rsidRPr="00B63823">
        <w:t xml:space="preserve">, если номинальный </w:t>
      </w:r>
      <w:r w:rsidR="00C5224C">
        <w:t>объём</w:t>
      </w:r>
      <w:r w:rsidRPr="00B63823">
        <w:t xml:space="preserve"> составляет </w:t>
      </w:r>
      <w:r w:rsidR="00712BCE" w:rsidRPr="00712BCE">
        <w:t>1</w:t>
      </w:r>
      <w:r w:rsidRPr="00712BCE">
        <w:t>0</w:t>
      </w:r>
      <w:r w:rsidRPr="00B63823">
        <w:t xml:space="preserve"> мл и более. Извлекают вс</w:t>
      </w:r>
      <w:r w:rsidR="00B172D1">
        <w:t>ё</w:t>
      </w:r>
      <w:r w:rsidRPr="00B63823">
        <w:t xml:space="preserve"> содержимое каждо</w:t>
      </w:r>
      <w:r w:rsidR="00B172D1">
        <w:t>й</w:t>
      </w:r>
      <w:r w:rsidRPr="00B63823">
        <w:t xml:space="preserve"> отобранно</w:t>
      </w:r>
      <w:r w:rsidR="00B172D1">
        <w:t>й</w:t>
      </w:r>
      <w:r w:rsidRPr="00B63823">
        <w:t xml:space="preserve"> </w:t>
      </w:r>
      <w:r w:rsidR="00B172D1">
        <w:t>упаковки</w:t>
      </w:r>
      <w:r w:rsidRPr="00B63823">
        <w:t>, используя сухой шприц, вм</w:t>
      </w:r>
      <w:r w:rsidRPr="00B63823">
        <w:t>е</w:t>
      </w:r>
      <w:r w:rsidRPr="00B63823">
        <w:t xml:space="preserve">стимость которого не более </w:t>
      </w:r>
      <w:r w:rsidRPr="00841567">
        <w:t xml:space="preserve">чем в </w:t>
      </w:r>
      <w:r w:rsidR="00737D2E">
        <w:t>3</w:t>
      </w:r>
      <w:r w:rsidRPr="00841567">
        <w:t xml:space="preserve"> раза превышает</w:t>
      </w:r>
      <w:r w:rsidRPr="00B63823">
        <w:t xml:space="preserve"> измеряемый </w:t>
      </w:r>
      <w:r w:rsidR="00C5224C">
        <w:t>объём</w:t>
      </w:r>
      <w:r w:rsidRPr="00B63823">
        <w:t xml:space="preserve">, снабженный подходящей иглой длиной не менее </w:t>
      </w:r>
      <w:smartTag w:uri="urn:schemas-microsoft-com:office:smarttags" w:element="metricconverter">
        <w:smartTagPr>
          <w:attr w:name="ProductID" w:val="2,5 см"/>
        </w:smartTagPr>
        <w:r w:rsidRPr="00B63823">
          <w:t>2,5 см</w:t>
        </w:r>
      </w:smartTag>
      <w:r w:rsidRPr="00B63823">
        <w:t>. Из шприца и иглы удаляют пузырьки воздуха и помещают содержимое, не выдавливая соде</w:t>
      </w:r>
      <w:r w:rsidRPr="00B63823">
        <w:t>р</w:t>
      </w:r>
      <w:r w:rsidRPr="00B63823">
        <w:t xml:space="preserve">жимое из иглы, в сухой мерный цилиндр, калиброванный на заполнение. Вместимость мерного цилиндра должна быть такой, чтобы </w:t>
      </w:r>
      <w:r w:rsidRPr="00841567">
        <w:t xml:space="preserve">измеряемый </w:t>
      </w:r>
      <w:r w:rsidR="00C5224C">
        <w:t>об</w:t>
      </w:r>
      <w:r w:rsidR="00C5224C">
        <w:t>ъ</w:t>
      </w:r>
      <w:r w:rsidR="00C5224C">
        <w:t>ём</w:t>
      </w:r>
      <w:r w:rsidRPr="00841567">
        <w:t xml:space="preserve"> занимал не менее 40 % от номинального </w:t>
      </w:r>
      <w:r w:rsidR="00C5224C">
        <w:t>объём</w:t>
      </w:r>
      <w:r w:rsidRPr="00841567">
        <w:t>а цилиндра. Альтернативно</w:t>
      </w:r>
      <w:r w:rsidRPr="00B63823">
        <w:t xml:space="preserve"> </w:t>
      </w:r>
      <w:r w:rsidR="00C5224C">
        <w:t>объём</w:t>
      </w:r>
      <w:r w:rsidRPr="00B63823">
        <w:t xml:space="preserve"> содержимого в миллилитрах может быть рассчитан как отношение массы содержимого в граммах к плотности</w:t>
      </w:r>
      <w:r w:rsidR="00841567">
        <w:t xml:space="preserve">. </w:t>
      </w:r>
    </w:p>
    <w:p w:rsidR="00C40168" w:rsidRPr="00B63823" w:rsidRDefault="00C40168" w:rsidP="00841567">
      <w:pPr>
        <w:pStyle w:val="a3"/>
        <w:spacing w:line="360" w:lineRule="auto"/>
        <w:ind w:firstLine="709"/>
        <w:jc w:val="both"/>
        <w:rPr>
          <w:snapToGrid w:val="0"/>
        </w:rPr>
      </w:pPr>
      <w:r w:rsidRPr="00B63823">
        <w:t xml:space="preserve">Для </w:t>
      </w:r>
      <w:r w:rsidR="00B172D1">
        <w:t>упаковок</w:t>
      </w:r>
      <w:r w:rsidRPr="00B63823">
        <w:t xml:space="preserve"> с номинальным </w:t>
      </w:r>
      <w:r w:rsidR="00C5224C">
        <w:t>объём</w:t>
      </w:r>
      <w:r w:rsidRPr="00B63823">
        <w:t>ом 2 мл и менее содержимое н</w:t>
      </w:r>
      <w:r w:rsidRPr="00B63823">
        <w:t>е</w:t>
      </w:r>
      <w:r w:rsidRPr="00B63823">
        <w:t xml:space="preserve">скольких </w:t>
      </w:r>
      <w:r w:rsidR="00B172D1">
        <w:t>упаковок</w:t>
      </w:r>
      <w:r w:rsidRPr="00B63823">
        <w:t xml:space="preserve"> может быть объединено, чтобы получить </w:t>
      </w:r>
      <w:r w:rsidR="00C5224C">
        <w:t>объём</w:t>
      </w:r>
      <w:r w:rsidRPr="00B63823">
        <w:t>, подх</w:t>
      </w:r>
      <w:r w:rsidRPr="00B63823">
        <w:t>о</w:t>
      </w:r>
      <w:r w:rsidRPr="00B63823">
        <w:t>дящий для измерения, при условии, что для каждо</w:t>
      </w:r>
      <w:r w:rsidR="00B172D1">
        <w:t>й упаковки</w:t>
      </w:r>
      <w:r w:rsidRPr="00B63823">
        <w:t xml:space="preserve"> используется отдельный сухой шприц. Содержимое </w:t>
      </w:r>
      <w:r w:rsidR="00B172D1">
        <w:t>упаковок</w:t>
      </w:r>
      <w:r w:rsidRPr="00B63823">
        <w:t xml:space="preserve"> с номинальным </w:t>
      </w:r>
      <w:r w:rsidR="00C5224C">
        <w:t>объём</w:t>
      </w:r>
      <w:r w:rsidRPr="00B63823">
        <w:t xml:space="preserve">ом </w:t>
      </w:r>
      <w:r w:rsidR="006B1665">
        <w:br/>
      </w:r>
      <w:r w:rsidR="00712BCE">
        <w:t>5</w:t>
      </w:r>
      <w:r w:rsidRPr="00B63823">
        <w:t xml:space="preserve">0 мл или более может быть определено непосредственным выливанием в мерный цилиндр или </w:t>
      </w:r>
      <w:r w:rsidR="00BB4AB9" w:rsidRPr="009E0B0F">
        <w:t>сухой предварительно взвешенный</w:t>
      </w:r>
      <w:r w:rsidR="002956EE">
        <w:t xml:space="preserve"> бюкс.</w:t>
      </w:r>
    </w:p>
    <w:p w:rsidR="00C40168" w:rsidRPr="00B63823" w:rsidRDefault="00C5224C" w:rsidP="00C40168">
      <w:pPr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Объём</w:t>
      </w:r>
      <w:r w:rsidR="00C40168" w:rsidRPr="00B63823">
        <w:rPr>
          <w:snapToGrid w:val="0"/>
          <w:sz w:val="28"/>
        </w:rPr>
        <w:t xml:space="preserve"> </w:t>
      </w:r>
      <w:r w:rsidR="007845B0">
        <w:rPr>
          <w:snapToGrid w:val="0"/>
          <w:sz w:val="28"/>
        </w:rPr>
        <w:t xml:space="preserve">содержимого упаковки </w:t>
      </w:r>
      <w:r w:rsidR="00C40168" w:rsidRPr="00B63823">
        <w:rPr>
          <w:snapToGrid w:val="0"/>
          <w:sz w:val="28"/>
        </w:rPr>
        <w:t xml:space="preserve">должен быть не </w:t>
      </w:r>
      <w:proofErr w:type="gramStart"/>
      <w:r w:rsidR="00C40168" w:rsidRPr="00B63823">
        <w:rPr>
          <w:snapToGrid w:val="0"/>
          <w:sz w:val="28"/>
        </w:rPr>
        <w:t>менее номинального</w:t>
      </w:r>
      <w:proofErr w:type="gramEnd"/>
      <w:r w:rsidR="00C40168" w:rsidRPr="00B63823">
        <w:rPr>
          <w:snapToGrid w:val="0"/>
          <w:sz w:val="28"/>
        </w:rPr>
        <w:t xml:space="preserve">, если </w:t>
      </w:r>
      <w:r w:rsidR="00980B51">
        <w:rPr>
          <w:snapToGrid w:val="0"/>
          <w:sz w:val="28"/>
        </w:rPr>
        <w:t>упаковки</w:t>
      </w:r>
      <w:r w:rsidR="00C40168" w:rsidRPr="00B63823">
        <w:rPr>
          <w:snapToGrid w:val="0"/>
          <w:sz w:val="28"/>
        </w:rPr>
        <w:t xml:space="preserve"> исследуются индивидуально. Для </w:t>
      </w:r>
      <w:r w:rsidR="00980B51">
        <w:rPr>
          <w:snapToGrid w:val="0"/>
          <w:sz w:val="28"/>
        </w:rPr>
        <w:t>упаковок</w:t>
      </w:r>
      <w:r w:rsidR="00C40168" w:rsidRPr="00B63823">
        <w:rPr>
          <w:snapToGrid w:val="0"/>
          <w:sz w:val="28"/>
        </w:rPr>
        <w:t xml:space="preserve"> с номинальным </w:t>
      </w:r>
      <w:r>
        <w:rPr>
          <w:snapToGrid w:val="0"/>
          <w:sz w:val="28"/>
        </w:rPr>
        <w:t>объём</w:t>
      </w:r>
      <w:r w:rsidR="00C40168" w:rsidRPr="00B63823">
        <w:rPr>
          <w:snapToGrid w:val="0"/>
          <w:sz w:val="28"/>
        </w:rPr>
        <w:t>ом 2 мл и менее</w:t>
      </w:r>
      <w:r w:rsidR="00336C6A">
        <w:rPr>
          <w:snapToGrid w:val="0"/>
          <w:sz w:val="28"/>
        </w:rPr>
        <w:t xml:space="preserve"> измеренный</w:t>
      </w:r>
      <w:r w:rsidR="00C40168" w:rsidRPr="00B6382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объём</w:t>
      </w:r>
      <w:r w:rsidR="00C40168" w:rsidRPr="00B63823">
        <w:rPr>
          <w:snapToGrid w:val="0"/>
          <w:sz w:val="28"/>
        </w:rPr>
        <w:t xml:space="preserve"> должен быть не менее суммы н</w:t>
      </w:r>
      <w:r w:rsidR="00C40168" w:rsidRPr="00B63823">
        <w:rPr>
          <w:snapToGrid w:val="0"/>
          <w:sz w:val="28"/>
        </w:rPr>
        <w:t>о</w:t>
      </w:r>
      <w:r w:rsidR="00C40168" w:rsidRPr="00B63823">
        <w:rPr>
          <w:snapToGrid w:val="0"/>
          <w:sz w:val="28"/>
        </w:rPr>
        <w:t xml:space="preserve">минальных </w:t>
      </w:r>
      <w:r>
        <w:rPr>
          <w:snapToGrid w:val="0"/>
          <w:sz w:val="28"/>
        </w:rPr>
        <w:t>объём</w:t>
      </w:r>
      <w:r w:rsidR="00C40168" w:rsidRPr="00B63823">
        <w:rPr>
          <w:snapToGrid w:val="0"/>
          <w:sz w:val="28"/>
        </w:rPr>
        <w:t xml:space="preserve">ов исследованных </w:t>
      </w:r>
      <w:r w:rsidR="00980B51">
        <w:rPr>
          <w:snapToGrid w:val="0"/>
          <w:sz w:val="28"/>
        </w:rPr>
        <w:t>упаковок</w:t>
      </w:r>
      <w:r w:rsidR="00C40168" w:rsidRPr="00B63823">
        <w:rPr>
          <w:snapToGrid w:val="0"/>
          <w:sz w:val="28"/>
        </w:rPr>
        <w:t>.</w:t>
      </w:r>
    </w:p>
    <w:p w:rsidR="00C40168" w:rsidRPr="00B63823" w:rsidRDefault="00682AEB" w:rsidP="00C40168">
      <w:pPr>
        <w:pStyle w:val="2"/>
        <w:jc w:val="center"/>
        <w:rPr>
          <w:b/>
        </w:rPr>
      </w:pPr>
      <w:proofErr w:type="spellStart"/>
      <w:r>
        <w:rPr>
          <w:b/>
        </w:rPr>
        <w:t>Многодозовые</w:t>
      </w:r>
      <w:proofErr w:type="spellEnd"/>
      <w:r w:rsidR="007202E6">
        <w:rPr>
          <w:b/>
        </w:rPr>
        <w:t xml:space="preserve"> лекарственные </w:t>
      </w:r>
      <w:r w:rsidR="002F390D">
        <w:rPr>
          <w:b/>
        </w:rPr>
        <w:t>формы</w:t>
      </w:r>
    </w:p>
    <w:p w:rsidR="00C40168" w:rsidRPr="00B63823" w:rsidRDefault="00C40168" w:rsidP="00C40168">
      <w:pPr>
        <w:pStyle w:val="20"/>
        <w:ind w:firstLine="709"/>
        <w:rPr>
          <w:snapToGrid w:val="0"/>
        </w:rPr>
      </w:pPr>
      <w:r w:rsidRPr="009E0B0F">
        <w:rPr>
          <w:snapToGrid w:val="0"/>
        </w:rPr>
        <w:t xml:space="preserve">Для </w:t>
      </w:r>
      <w:proofErr w:type="spellStart"/>
      <w:r w:rsidR="00682AEB">
        <w:rPr>
          <w:snapToGrid w:val="0"/>
        </w:rPr>
        <w:t>многодозовых</w:t>
      </w:r>
      <w:proofErr w:type="spellEnd"/>
      <w:r w:rsidR="007202E6">
        <w:rPr>
          <w:snapToGrid w:val="0"/>
        </w:rPr>
        <w:t xml:space="preserve"> </w:t>
      </w:r>
      <w:r w:rsidR="00BB4AB9" w:rsidRPr="009E0B0F">
        <w:rPr>
          <w:snapToGrid w:val="0"/>
        </w:rPr>
        <w:t xml:space="preserve">лекарственных форм для парентерального </w:t>
      </w:r>
      <w:r w:rsidR="00682AEB">
        <w:rPr>
          <w:snapToGrid w:val="0"/>
        </w:rPr>
        <w:t>примен</w:t>
      </w:r>
      <w:r w:rsidR="00682AEB">
        <w:rPr>
          <w:snapToGrid w:val="0"/>
        </w:rPr>
        <w:t>е</w:t>
      </w:r>
      <w:r w:rsidR="00682AEB">
        <w:rPr>
          <w:snapToGrid w:val="0"/>
        </w:rPr>
        <w:t>ния</w:t>
      </w:r>
      <w:r w:rsidR="00BB4AB9" w:rsidRPr="009E0B0F">
        <w:rPr>
          <w:snapToGrid w:val="0"/>
        </w:rPr>
        <w:t xml:space="preserve"> </w:t>
      </w:r>
      <w:r w:rsidRPr="009E0B0F">
        <w:rPr>
          <w:snapToGrid w:val="0"/>
        </w:rPr>
        <w:t xml:space="preserve">в </w:t>
      </w:r>
      <w:r w:rsidR="00BB4AB9">
        <w:rPr>
          <w:snapToGrid w:val="0"/>
        </w:rPr>
        <w:t>упаковках</w:t>
      </w:r>
      <w:r w:rsidRPr="00B63823">
        <w:rPr>
          <w:snapToGrid w:val="0"/>
        </w:rPr>
        <w:t xml:space="preserve">, на которых указано количество доз определенного </w:t>
      </w:r>
      <w:r w:rsidR="00C5224C">
        <w:rPr>
          <w:snapToGrid w:val="0"/>
        </w:rPr>
        <w:t>объём</w:t>
      </w:r>
      <w:r w:rsidRPr="00B63823">
        <w:rPr>
          <w:snapToGrid w:val="0"/>
        </w:rPr>
        <w:t>а, выбирают од</w:t>
      </w:r>
      <w:r w:rsidR="00BB4AB9">
        <w:rPr>
          <w:snapToGrid w:val="0"/>
        </w:rPr>
        <w:t>ну</w:t>
      </w:r>
      <w:r w:rsidRPr="00B63823">
        <w:rPr>
          <w:snapToGrid w:val="0"/>
        </w:rPr>
        <w:t xml:space="preserve"> </w:t>
      </w:r>
      <w:r w:rsidR="00BB4AB9">
        <w:rPr>
          <w:snapToGrid w:val="0"/>
        </w:rPr>
        <w:t>упаковку</w:t>
      </w:r>
      <w:r w:rsidRPr="00B63823">
        <w:rPr>
          <w:snapToGrid w:val="0"/>
        </w:rPr>
        <w:t xml:space="preserve"> и поступают, как указано для однодозовых </w:t>
      </w:r>
      <w:r w:rsidR="007202E6">
        <w:rPr>
          <w:snapToGrid w:val="0"/>
        </w:rPr>
        <w:t>лекарс</w:t>
      </w:r>
      <w:r w:rsidR="007202E6">
        <w:rPr>
          <w:snapToGrid w:val="0"/>
        </w:rPr>
        <w:t>т</w:t>
      </w:r>
      <w:r w:rsidR="007202E6">
        <w:rPr>
          <w:snapToGrid w:val="0"/>
        </w:rPr>
        <w:t>венных форм</w:t>
      </w:r>
      <w:r w:rsidRPr="00B63823">
        <w:rPr>
          <w:snapToGrid w:val="0"/>
        </w:rPr>
        <w:t>, используя то же количество отдельных шприц</w:t>
      </w:r>
      <w:r>
        <w:rPr>
          <w:snapToGrid w:val="0"/>
        </w:rPr>
        <w:t>е</w:t>
      </w:r>
      <w:r w:rsidRPr="00B63823">
        <w:rPr>
          <w:snapToGrid w:val="0"/>
        </w:rPr>
        <w:t>в, что и колич</w:t>
      </w:r>
      <w:r w:rsidRPr="00B63823">
        <w:rPr>
          <w:snapToGrid w:val="0"/>
        </w:rPr>
        <w:t>е</w:t>
      </w:r>
      <w:r w:rsidRPr="00B63823">
        <w:rPr>
          <w:snapToGrid w:val="0"/>
        </w:rPr>
        <w:t>ство указанных доз.</w:t>
      </w:r>
    </w:p>
    <w:p w:rsidR="00C40168" w:rsidRPr="00B63823" w:rsidRDefault="00323C6D" w:rsidP="00C40168">
      <w:pPr>
        <w:spacing w:line="360" w:lineRule="auto"/>
        <w:ind w:firstLine="709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lastRenderedPageBreak/>
        <w:t>Измеренный о</w:t>
      </w:r>
      <w:r w:rsidR="00C5224C">
        <w:rPr>
          <w:snapToGrid w:val="0"/>
          <w:sz w:val="28"/>
        </w:rPr>
        <w:t>бъём</w:t>
      </w:r>
      <w:r w:rsidR="00C40168" w:rsidRPr="00B63823">
        <w:rPr>
          <w:snapToGrid w:val="0"/>
          <w:sz w:val="28"/>
        </w:rPr>
        <w:t xml:space="preserve"> должен быть таким, чтобы </w:t>
      </w:r>
      <w:r w:rsidR="00C5224C">
        <w:rPr>
          <w:snapToGrid w:val="0"/>
          <w:sz w:val="28"/>
        </w:rPr>
        <w:t>объём</w:t>
      </w:r>
      <w:r w:rsidR="00C40168" w:rsidRPr="00B63823">
        <w:rPr>
          <w:snapToGrid w:val="0"/>
          <w:sz w:val="28"/>
        </w:rPr>
        <w:t xml:space="preserve">, извлекаемый из каждого шприца, </w:t>
      </w:r>
      <w:r w:rsidR="00C40168">
        <w:rPr>
          <w:snapToGrid w:val="0"/>
          <w:sz w:val="28"/>
        </w:rPr>
        <w:t xml:space="preserve">обеспечивал дозу </w:t>
      </w:r>
      <w:r w:rsidR="00C40168" w:rsidRPr="00B63823">
        <w:rPr>
          <w:snapToGrid w:val="0"/>
          <w:sz w:val="28"/>
        </w:rPr>
        <w:t>не менее заявленн</w:t>
      </w:r>
      <w:r w:rsidR="00C40168">
        <w:rPr>
          <w:snapToGrid w:val="0"/>
          <w:sz w:val="28"/>
        </w:rPr>
        <w:t>ой</w:t>
      </w:r>
      <w:r w:rsidR="00C40168" w:rsidRPr="00B63823">
        <w:rPr>
          <w:snapToGrid w:val="0"/>
          <w:sz w:val="28"/>
        </w:rPr>
        <w:t>.</w:t>
      </w:r>
    </w:p>
    <w:p w:rsidR="00C40168" w:rsidRPr="00B63823" w:rsidRDefault="00C40168" w:rsidP="00C40168">
      <w:pPr>
        <w:spacing w:line="360" w:lineRule="auto"/>
        <w:jc w:val="center"/>
        <w:rPr>
          <w:b/>
          <w:snapToGrid w:val="0"/>
          <w:sz w:val="28"/>
        </w:rPr>
      </w:pPr>
      <w:r w:rsidRPr="00B63823">
        <w:rPr>
          <w:b/>
          <w:snapToGrid w:val="0"/>
          <w:sz w:val="28"/>
        </w:rPr>
        <w:t>Картриджи и заполненные шприцы</w:t>
      </w:r>
    </w:p>
    <w:p w:rsidR="00C40168" w:rsidRPr="00B63823" w:rsidRDefault="00C40168" w:rsidP="00C40168">
      <w:pPr>
        <w:pStyle w:val="a3"/>
        <w:spacing w:line="360" w:lineRule="auto"/>
        <w:ind w:firstLine="709"/>
        <w:jc w:val="both"/>
      </w:pPr>
      <w:r w:rsidRPr="00B63823">
        <w:t xml:space="preserve">Отбирают </w:t>
      </w:r>
      <w:r w:rsidR="00737D2E">
        <w:t>5</w:t>
      </w:r>
      <w:r w:rsidRPr="00B63823">
        <w:t xml:space="preserve"> </w:t>
      </w:r>
      <w:r w:rsidR="00BB4AB9">
        <w:t>упаковок</w:t>
      </w:r>
      <w:r w:rsidRPr="00B63823">
        <w:t xml:space="preserve">. При необходимости снабжают </w:t>
      </w:r>
      <w:r w:rsidR="00BB4AB9">
        <w:t>упаковку</w:t>
      </w:r>
      <w:r w:rsidRPr="00B63823">
        <w:t xml:space="preserve"> аксе</w:t>
      </w:r>
      <w:r w:rsidRPr="00B63823">
        <w:t>с</w:t>
      </w:r>
      <w:r w:rsidRPr="00B63823">
        <w:t>суарами, необходимыми для использования (игла, поршень, шприц) и извл</w:t>
      </w:r>
      <w:r w:rsidRPr="00B63823">
        <w:t>е</w:t>
      </w:r>
      <w:r w:rsidRPr="00B63823">
        <w:t>кают вс</w:t>
      </w:r>
      <w:r w:rsidR="00B849BC">
        <w:t>ё</w:t>
      </w:r>
      <w:r w:rsidRPr="00B63823">
        <w:t xml:space="preserve"> содержимое каждо</w:t>
      </w:r>
      <w:r w:rsidR="00BB4AB9">
        <w:t>й</w:t>
      </w:r>
      <w:r w:rsidRPr="00B63823">
        <w:t xml:space="preserve"> отобранно</w:t>
      </w:r>
      <w:r w:rsidR="00BB4AB9">
        <w:t>й упаковки</w:t>
      </w:r>
      <w:r w:rsidRPr="00B63823">
        <w:t>, не выдавливая содерж</w:t>
      </w:r>
      <w:r w:rsidRPr="00B63823">
        <w:t>и</w:t>
      </w:r>
      <w:r w:rsidRPr="00B63823">
        <w:t xml:space="preserve">мое из иглы, в </w:t>
      </w:r>
      <w:proofErr w:type="gramStart"/>
      <w:r w:rsidRPr="00B63823">
        <w:t>сухой</w:t>
      </w:r>
      <w:proofErr w:type="gramEnd"/>
      <w:r w:rsidRPr="00B63823">
        <w:t xml:space="preserve"> предварительно взвешенный бюкс, медленно и пост</w:t>
      </w:r>
      <w:r w:rsidRPr="00B63823">
        <w:t>о</w:t>
      </w:r>
      <w:r w:rsidRPr="00B63823">
        <w:t xml:space="preserve">янно нажимая на поршень. Взвешивают бюкс и рассчитывают </w:t>
      </w:r>
      <w:r w:rsidR="00C5224C">
        <w:t>объём</w:t>
      </w:r>
      <w:r w:rsidRPr="00B63823">
        <w:t xml:space="preserve"> в ми</w:t>
      </w:r>
      <w:r w:rsidRPr="00B63823">
        <w:t>л</w:t>
      </w:r>
      <w:r w:rsidRPr="00B63823">
        <w:t>лилитрах как отношение массы в граммах к плотности.</w:t>
      </w:r>
    </w:p>
    <w:p w:rsidR="00C40168" w:rsidRPr="00B63823" w:rsidRDefault="00C5224C" w:rsidP="00C40168">
      <w:pPr>
        <w:spacing w:line="360" w:lineRule="auto"/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Объём</w:t>
      </w:r>
      <w:r w:rsidR="00C40168" w:rsidRPr="00B63823">
        <w:rPr>
          <w:snapToGrid w:val="0"/>
          <w:sz w:val="28"/>
        </w:rPr>
        <w:t>, полученный для каждо</w:t>
      </w:r>
      <w:r w:rsidR="00BB4AB9">
        <w:rPr>
          <w:snapToGrid w:val="0"/>
          <w:sz w:val="28"/>
        </w:rPr>
        <w:t>й</w:t>
      </w:r>
      <w:r w:rsidR="00C40168" w:rsidRPr="00B63823">
        <w:rPr>
          <w:snapToGrid w:val="0"/>
          <w:sz w:val="28"/>
        </w:rPr>
        <w:t xml:space="preserve"> исследованно</w:t>
      </w:r>
      <w:r w:rsidR="00BB4AB9">
        <w:rPr>
          <w:snapToGrid w:val="0"/>
          <w:sz w:val="28"/>
        </w:rPr>
        <w:t>й</w:t>
      </w:r>
      <w:r w:rsidR="00C40168" w:rsidRPr="00B63823">
        <w:rPr>
          <w:snapToGrid w:val="0"/>
          <w:sz w:val="28"/>
        </w:rPr>
        <w:t xml:space="preserve"> </w:t>
      </w:r>
      <w:r w:rsidR="00BB4AB9">
        <w:rPr>
          <w:snapToGrid w:val="0"/>
          <w:sz w:val="28"/>
        </w:rPr>
        <w:t>упаковки</w:t>
      </w:r>
      <w:r w:rsidR="00C40168" w:rsidRPr="00B63823">
        <w:rPr>
          <w:snapToGrid w:val="0"/>
          <w:sz w:val="28"/>
        </w:rPr>
        <w:t xml:space="preserve">, должен быть не менее </w:t>
      </w:r>
      <w:proofErr w:type="gramStart"/>
      <w:r w:rsidR="00C40168" w:rsidRPr="00B63823">
        <w:rPr>
          <w:snapToGrid w:val="0"/>
          <w:sz w:val="28"/>
        </w:rPr>
        <w:t>номинального</w:t>
      </w:r>
      <w:proofErr w:type="gramEnd"/>
      <w:r w:rsidR="00C40168" w:rsidRPr="00B63823">
        <w:rPr>
          <w:snapToGrid w:val="0"/>
          <w:sz w:val="28"/>
        </w:rPr>
        <w:t>.</w:t>
      </w:r>
    </w:p>
    <w:p w:rsidR="00C40168" w:rsidRPr="00B63823" w:rsidRDefault="00C40168" w:rsidP="00C40168">
      <w:pPr>
        <w:spacing w:line="360" w:lineRule="auto"/>
        <w:jc w:val="center"/>
        <w:rPr>
          <w:b/>
          <w:snapToGrid w:val="0"/>
          <w:sz w:val="28"/>
        </w:rPr>
      </w:pPr>
      <w:proofErr w:type="spellStart"/>
      <w:r>
        <w:rPr>
          <w:b/>
          <w:snapToGrid w:val="0"/>
          <w:sz w:val="28"/>
        </w:rPr>
        <w:t>И</w:t>
      </w:r>
      <w:r w:rsidRPr="00B63823">
        <w:rPr>
          <w:b/>
          <w:snapToGrid w:val="0"/>
          <w:sz w:val="28"/>
        </w:rPr>
        <w:t>нфузи</w:t>
      </w:r>
      <w:r w:rsidR="004F5BD1">
        <w:rPr>
          <w:b/>
          <w:snapToGrid w:val="0"/>
          <w:sz w:val="28"/>
        </w:rPr>
        <w:t>онные</w:t>
      </w:r>
      <w:proofErr w:type="spellEnd"/>
      <w:r w:rsidR="004F5BD1">
        <w:rPr>
          <w:b/>
          <w:snapToGrid w:val="0"/>
          <w:sz w:val="28"/>
        </w:rPr>
        <w:t xml:space="preserve"> растворы</w:t>
      </w:r>
      <w:r w:rsidRPr="00B63823">
        <w:rPr>
          <w:b/>
          <w:snapToGrid w:val="0"/>
          <w:sz w:val="28"/>
        </w:rPr>
        <w:t xml:space="preserve"> </w:t>
      </w:r>
    </w:p>
    <w:p w:rsidR="00C40168" w:rsidRPr="009E0B0F" w:rsidRDefault="00C40168" w:rsidP="00C40168">
      <w:pPr>
        <w:spacing w:line="360" w:lineRule="auto"/>
        <w:ind w:firstLine="709"/>
        <w:jc w:val="both"/>
        <w:rPr>
          <w:sz w:val="28"/>
        </w:rPr>
      </w:pPr>
      <w:r w:rsidRPr="00B63823">
        <w:rPr>
          <w:sz w:val="28"/>
        </w:rPr>
        <w:t>Отбирают од</w:t>
      </w:r>
      <w:r w:rsidR="004F5BD1">
        <w:rPr>
          <w:sz w:val="28"/>
        </w:rPr>
        <w:t>ну упаковку</w:t>
      </w:r>
      <w:r w:rsidRPr="00B63823">
        <w:rPr>
          <w:snapToGrid w:val="0"/>
          <w:sz w:val="28"/>
        </w:rPr>
        <w:t>. Переносят</w:t>
      </w:r>
      <w:r w:rsidRPr="00B63823">
        <w:rPr>
          <w:sz w:val="28"/>
        </w:rPr>
        <w:t xml:space="preserve"> содержимое в сухой мерный ц</w:t>
      </w:r>
      <w:r w:rsidRPr="00B63823">
        <w:rPr>
          <w:sz w:val="28"/>
        </w:rPr>
        <w:t>и</w:t>
      </w:r>
      <w:r w:rsidRPr="00B63823">
        <w:rPr>
          <w:sz w:val="28"/>
        </w:rPr>
        <w:t xml:space="preserve">линдр, </w:t>
      </w:r>
      <w:r w:rsidRPr="00923B81">
        <w:rPr>
          <w:sz w:val="28"/>
        </w:rPr>
        <w:t>калиброванный на заполнение,</w:t>
      </w:r>
      <w:r w:rsidRPr="00B63823">
        <w:rPr>
          <w:sz w:val="28"/>
        </w:rPr>
        <w:t xml:space="preserve"> вместимость которого должна быть такой, </w:t>
      </w:r>
      <w:r w:rsidRPr="009E0B0F">
        <w:rPr>
          <w:sz w:val="28"/>
        </w:rPr>
        <w:t xml:space="preserve">чтобы </w:t>
      </w:r>
      <w:r w:rsidR="004F5BD1" w:rsidRPr="009E0B0F">
        <w:rPr>
          <w:sz w:val="28"/>
        </w:rPr>
        <w:t>лекарственная форма</w:t>
      </w:r>
      <w:r w:rsidRPr="009E0B0F">
        <w:rPr>
          <w:sz w:val="28"/>
        </w:rPr>
        <w:t xml:space="preserve"> занимал</w:t>
      </w:r>
      <w:r w:rsidR="004F5BD1" w:rsidRPr="009E0B0F">
        <w:rPr>
          <w:sz w:val="28"/>
        </w:rPr>
        <w:t>а</w:t>
      </w:r>
      <w:r w:rsidRPr="009E0B0F">
        <w:rPr>
          <w:sz w:val="28"/>
        </w:rPr>
        <w:t xml:space="preserve"> не менее 40 % от номинального </w:t>
      </w:r>
      <w:r w:rsidR="00C5224C">
        <w:rPr>
          <w:sz w:val="28"/>
        </w:rPr>
        <w:t>объём</w:t>
      </w:r>
      <w:r w:rsidRPr="009E0B0F">
        <w:rPr>
          <w:sz w:val="28"/>
        </w:rPr>
        <w:t>а цилиндра. Измеряют объ</w:t>
      </w:r>
      <w:r w:rsidR="00D76D36" w:rsidRPr="009E0B0F">
        <w:rPr>
          <w:sz w:val="28"/>
        </w:rPr>
        <w:t>ё</w:t>
      </w:r>
      <w:r w:rsidRPr="009E0B0F">
        <w:rPr>
          <w:sz w:val="28"/>
        </w:rPr>
        <w:t>м.</w:t>
      </w:r>
    </w:p>
    <w:p w:rsidR="008835A0" w:rsidRPr="00B63823" w:rsidRDefault="00C40168" w:rsidP="00923B81">
      <w:pPr>
        <w:spacing w:line="360" w:lineRule="auto"/>
        <w:ind w:firstLine="709"/>
      </w:pPr>
      <w:r w:rsidRPr="009E0B0F">
        <w:rPr>
          <w:snapToGrid w:val="0"/>
          <w:sz w:val="28"/>
        </w:rPr>
        <w:t>Объ</w:t>
      </w:r>
      <w:r w:rsidR="00D76D36" w:rsidRPr="009E0B0F">
        <w:rPr>
          <w:snapToGrid w:val="0"/>
          <w:sz w:val="28"/>
        </w:rPr>
        <w:t>ё</w:t>
      </w:r>
      <w:r w:rsidRPr="009E0B0F">
        <w:rPr>
          <w:snapToGrid w:val="0"/>
          <w:sz w:val="28"/>
        </w:rPr>
        <w:t xml:space="preserve">м должен быть не менее </w:t>
      </w:r>
      <w:proofErr w:type="gramStart"/>
      <w:r w:rsidRPr="009E0B0F">
        <w:rPr>
          <w:snapToGrid w:val="0"/>
          <w:sz w:val="28"/>
        </w:rPr>
        <w:t>номинального</w:t>
      </w:r>
      <w:proofErr w:type="gramEnd"/>
      <w:r w:rsidR="00923B81" w:rsidRPr="009E0B0F">
        <w:rPr>
          <w:snapToGrid w:val="0"/>
          <w:sz w:val="28"/>
        </w:rPr>
        <w:t>.</w:t>
      </w:r>
    </w:p>
    <w:sectPr w:rsidR="008835A0" w:rsidRPr="00B63823" w:rsidSect="007845B0">
      <w:headerReference w:type="even" r:id="rId6"/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BB" w:rsidRDefault="008221BB">
      <w:r>
        <w:separator/>
      </w:r>
    </w:p>
  </w:endnote>
  <w:endnote w:type="continuationSeparator" w:id="0">
    <w:p w:rsidR="008221BB" w:rsidRDefault="0082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685"/>
      <w:docPartObj>
        <w:docPartGallery w:val="Page Numbers (Bottom of Page)"/>
        <w:docPartUnique/>
      </w:docPartObj>
    </w:sdtPr>
    <w:sdtContent>
      <w:p w:rsidR="007845B0" w:rsidRDefault="00EA757B" w:rsidP="007845B0">
        <w:pPr>
          <w:pStyle w:val="a7"/>
          <w:jc w:val="center"/>
        </w:pPr>
        <w:r w:rsidRPr="007845B0">
          <w:rPr>
            <w:sz w:val="28"/>
            <w:szCs w:val="28"/>
          </w:rPr>
          <w:fldChar w:fldCharType="begin"/>
        </w:r>
        <w:r w:rsidR="007845B0" w:rsidRPr="007845B0">
          <w:rPr>
            <w:sz w:val="28"/>
            <w:szCs w:val="28"/>
          </w:rPr>
          <w:instrText xml:space="preserve"> PAGE   \* MERGEFORMAT </w:instrText>
        </w:r>
        <w:r w:rsidRPr="007845B0">
          <w:rPr>
            <w:sz w:val="28"/>
            <w:szCs w:val="28"/>
          </w:rPr>
          <w:fldChar w:fldCharType="separate"/>
        </w:r>
        <w:r w:rsidR="00712BCE">
          <w:rPr>
            <w:noProof/>
            <w:sz w:val="28"/>
            <w:szCs w:val="28"/>
          </w:rPr>
          <w:t>2</w:t>
        </w:r>
        <w:r w:rsidRPr="007845B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BB" w:rsidRDefault="008221BB">
      <w:r>
        <w:separator/>
      </w:r>
    </w:p>
  </w:footnote>
  <w:footnote w:type="continuationSeparator" w:id="0">
    <w:p w:rsidR="008221BB" w:rsidRDefault="0082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E6" w:rsidRDefault="00EA757B" w:rsidP="00FF5E6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02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02E6" w:rsidRDefault="007202E6" w:rsidP="007202E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DB" w:rsidRPr="0042058A" w:rsidRDefault="002324DB" w:rsidP="0042058A">
    <w:pPr>
      <w:pStyle w:val="a5"/>
      <w:jc w:val="right"/>
      <w:rPr>
        <w:sz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CF"/>
    <w:rsid w:val="000122D8"/>
    <w:rsid w:val="00084A54"/>
    <w:rsid w:val="000A74A1"/>
    <w:rsid w:val="000B2BC6"/>
    <w:rsid w:val="000B54D6"/>
    <w:rsid w:val="000C44B2"/>
    <w:rsid w:val="000C54B5"/>
    <w:rsid w:val="000E1C91"/>
    <w:rsid w:val="00116405"/>
    <w:rsid w:val="00130FDD"/>
    <w:rsid w:val="00155D9E"/>
    <w:rsid w:val="00180DD8"/>
    <w:rsid w:val="00183A8C"/>
    <w:rsid w:val="001841CF"/>
    <w:rsid w:val="001A399D"/>
    <w:rsid w:val="001D2118"/>
    <w:rsid w:val="001D3B76"/>
    <w:rsid w:val="00203C79"/>
    <w:rsid w:val="00222B39"/>
    <w:rsid w:val="00225AAE"/>
    <w:rsid w:val="002324DB"/>
    <w:rsid w:val="00236812"/>
    <w:rsid w:val="002369B4"/>
    <w:rsid w:val="00267D77"/>
    <w:rsid w:val="00283A7D"/>
    <w:rsid w:val="002956EE"/>
    <w:rsid w:val="00297ED0"/>
    <w:rsid w:val="002A7ABA"/>
    <w:rsid w:val="002B63F6"/>
    <w:rsid w:val="002C0667"/>
    <w:rsid w:val="002D0C43"/>
    <w:rsid w:val="002D5AFD"/>
    <w:rsid w:val="002F390D"/>
    <w:rsid w:val="0030795E"/>
    <w:rsid w:val="00323C6D"/>
    <w:rsid w:val="00326AEA"/>
    <w:rsid w:val="00334EC3"/>
    <w:rsid w:val="00336C6A"/>
    <w:rsid w:val="0034526D"/>
    <w:rsid w:val="0035092B"/>
    <w:rsid w:val="00367B72"/>
    <w:rsid w:val="00373A54"/>
    <w:rsid w:val="00377962"/>
    <w:rsid w:val="0039378F"/>
    <w:rsid w:val="00397B57"/>
    <w:rsid w:val="003B47F0"/>
    <w:rsid w:val="003C2422"/>
    <w:rsid w:val="003D558B"/>
    <w:rsid w:val="003E3195"/>
    <w:rsid w:val="003E510C"/>
    <w:rsid w:val="003F5253"/>
    <w:rsid w:val="0040567B"/>
    <w:rsid w:val="00406411"/>
    <w:rsid w:val="0042058A"/>
    <w:rsid w:val="00442F0C"/>
    <w:rsid w:val="00446964"/>
    <w:rsid w:val="00446D68"/>
    <w:rsid w:val="00461CFB"/>
    <w:rsid w:val="00476EB5"/>
    <w:rsid w:val="0048335D"/>
    <w:rsid w:val="00495CFF"/>
    <w:rsid w:val="0049771E"/>
    <w:rsid w:val="004B2355"/>
    <w:rsid w:val="004C0605"/>
    <w:rsid w:val="004D0BB0"/>
    <w:rsid w:val="004F4AC0"/>
    <w:rsid w:val="004F5BD1"/>
    <w:rsid w:val="004F5E81"/>
    <w:rsid w:val="00510553"/>
    <w:rsid w:val="00514F3F"/>
    <w:rsid w:val="005210CD"/>
    <w:rsid w:val="00521614"/>
    <w:rsid w:val="00521F30"/>
    <w:rsid w:val="005328E7"/>
    <w:rsid w:val="00551778"/>
    <w:rsid w:val="00596D42"/>
    <w:rsid w:val="005F502C"/>
    <w:rsid w:val="005F6188"/>
    <w:rsid w:val="00601489"/>
    <w:rsid w:val="00650E88"/>
    <w:rsid w:val="006726ED"/>
    <w:rsid w:val="00682AEB"/>
    <w:rsid w:val="00690E28"/>
    <w:rsid w:val="006A379B"/>
    <w:rsid w:val="006B1665"/>
    <w:rsid w:val="006C4D1C"/>
    <w:rsid w:val="006D2068"/>
    <w:rsid w:val="006D677D"/>
    <w:rsid w:val="006E48E1"/>
    <w:rsid w:val="007063C7"/>
    <w:rsid w:val="00712BCE"/>
    <w:rsid w:val="007202E6"/>
    <w:rsid w:val="00737D2E"/>
    <w:rsid w:val="00747837"/>
    <w:rsid w:val="00765C42"/>
    <w:rsid w:val="00770AC3"/>
    <w:rsid w:val="007845B0"/>
    <w:rsid w:val="007A5F73"/>
    <w:rsid w:val="007C650E"/>
    <w:rsid w:val="007D182A"/>
    <w:rsid w:val="007F5643"/>
    <w:rsid w:val="00817253"/>
    <w:rsid w:val="008221BB"/>
    <w:rsid w:val="00826D78"/>
    <w:rsid w:val="00841567"/>
    <w:rsid w:val="00852089"/>
    <w:rsid w:val="008835A0"/>
    <w:rsid w:val="008A43AD"/>
    <w:rsid w:val="008A4BD9"/>
    <w:rsid w:val="008B4F81"/>
    <w:rsid w:val="008C3650"/>
    <w:rsid w:val="008E3A89"/>
    <w:rsid w:val="008E667A"/>
    <w:rsid w:val="00914902"/>
    <w:rsid w:val="00923B81"/>
    <w:rsid w:val="009413EE"/>
    <w:rsid w:val="00944EB4"/>
    <w:rsid w:val="0094677F"/>
    <w:rsid w:val="0095647C"/>
    <w:rsid w:val="00980B51"/>
    <w:rsid w:val="009B600C"/>
    <w:rsid w:val="009C25B5"/>
    <w:rsid w:val="009C3F8B"/>
    <w:rsid w:val="009C4D54"/>
    <w:rsid w:val="009D265B"/>
    <w:rsid w:val="009E0B0F"/>
    <w:rsid w:val="009E1E49"/>
    <w:rsid w:val="00A05B09"/>
    <w:rsid w:val="00A1434E"/>
    <w:rsid w:val="00A20A93"/>
    <w:rsid w:val="00A24CC1"/>
    <w:rsid w:val="00A27601"/>
    <w:rsid w:val="00A345C8"/>
    <w:rsid w:val="00A34B62"/>
    <w:rsid w:val="00A56FCC"/>
    <w:rsid w:val="00A65309"/>
    <w:rsid w:val="00A73598"/>
    <w:rsid w:val="00A75365"/>
    <w:rsid w:val="00A96CAA"/>
    <w:rsid w:val="00AA644B"/>
    <w:rsid w:val="00AC38ED"/>
    <w:rsid w:val="00B01079"/>
    <w:rsid w:val="00B172D1"/>
    <w:rsid w:val="00B27B24"/>
    <w:rsid w:val="00B53DC0"/>
    <w:rsid w:val="00B60F15"/>
    <w:rsid w:val="00B62F73"/>
    <w:rsid w:val="00B63823"/>
    <w:rsid w:val="00B849BC"/>
    <w:rsid w:val="00B86F8D"/>
    <w:rsid w:val="00B97801"/>
    <w:rsid w:val="00BB209E"/>
    <w:rsid w:val="00BB4AB9"/>
    <w:rsid w:val="00BC398A"/>
    <w:rsid w:val="00C07A52"/>
    <w:rsid w:val="00C1611B"/>
    <w:rsid w:val="00C201F2"/>
    <w:rsid w:val="00C204B1"/>
    <w:rsid w:val="00C3384B"/>
    <w:rsid w:val="00C36545"/>
    <w:rsid w:val="00C36A61"/>
    <w:rsid w:val="00C36EC4"/>
    <w:rsid w:val="00C40168"/>
    <w:rsid w:val="00C43A57"/>
    <w:rsid w:val="00C460FA"/>
    <w:rsid w:val="00C5224C"/>
    <w:rsid w:val="00C66EBE"/>
    <w:rsid w:val="00C84B7F"/>
    <w:rsid w:val="00C8549A"/>
    <w:rsid w:val="00C95BC9"/>
    <w:rsid w:val="00CA1E61"/>
    <w:rsid w:val="00CA4EE1"/>
    <w:rsid w:val="00CB1018"/>
    <w:rsid w:val="00CE03F9"/>
    <w:rsid w:val="00D07E6A"/>
    <w:rsid w:val="00D45893"/>
    <w:rsid w:val="00D76D36"/>
    <w:rsid w:val="00D77538"/>
    <w:rsid w:val="00D77FCE"/>
    <w:rsid w:val="00D90F3E"/>
    <w:rsid w:val="00DD5CB8"/>
    <w:rsid w:val="00E027B3"/>
    <w:rsid w:val="00E04A80"/>
    <w:rsid w:val="00E10F67"/>
    <w:rsid w:val="00E16EB0"/>
    <w:rsid w:val="00E22E10"/>
    <w:rsid w:val="00E25AA9"/>
    <w:rsid w:val="00E62CC8"/>
    <w:rsid w:val="00E749B1"/>
    <w:rsid w:val="00E93AC0"/>
    <w:rsid w:val="00E97CEE"/>
    <w:rsid w:val="00EA51E2"/>
    <w:rsid w:val="00EA757B"/>
    <w:rsid w:val="00EB20EF"/>
    <w:rsid w:val="00ED00CD"/>
    <w:rsid w:val="00ED2086"/>
    <w:rsid w:val="00ED5669"/>
    <w:rsid w:val="00F0102C"/>
    <w:rsid w:val="00F05BD3"/>
    <w:rsid w:val="00F14B60"/>
    <w:rsid w:val="00F5689F"/>
    <w:rsid w:val="00F85CC0"/>
    <w:rsid w:val="00F87B46"/>
    <w:rsid w:val="00FA074E"/>
    <w:rsid w:val="00FA46B7"/>
    <w:rsid w:val="00FA6142"/>
    <w:rsid w:val="00FE59B0"/>
    <w:rsid w:val="00FF5E68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1CF"/>
    <w:rPr>
      <w:sz w:val="24"/>
      <w:szCs w:val="24"/>
    </w:rPr>
  </w:style>
  <w:style w:type="paragraph" w:styleId="2">
    <w:name w:val="heading 2"/>
    <w:basedOn w:val="a"/>
    <w:next w:val="a"/>
    <w:qFormat/>
    <w:rsid w:val="001841CF"/>
    <w:pPr>
      <w:keepNext/>
      <w:spacing w:line="360" w:lineRule="auto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1CF"/>
    <w:rPr>
      <w:sz w:val="28"/>
    </w:rPr>
  </w:style>
  <w:style w:type="paragraph" w:styleId="20">
    <w:name w:val="Body Text 2"/>
    <w:basedOn w:val="a"/>
    <w:rsid w:val="001841CF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7F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24C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24C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4CC1"/>
  </w:style>
  <w:style w:type="paragraph" w:styleId="aa">
    <w:name w:val="Plain Text"/>
    <w:basedOn w:val="a"/>
    <w:rsid w:val="00B53DC0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B53DC0"/>
    <w:pPr>
      <w:spacing w:after="120"/>
    </w:pPr>
    <w:rPr>
      <w:rFonts w:ascii="NTHarmonica" w:hAnsi="NTHarmonica"/>
      <w:szCs w:val="20"/>
    </w:rPr>
  </w:style>
  <w:style w:type="paragraph" w:customStyle="1" w:styleId="10">
    <w:name w:val="Обычный1"/>
    <w:rsid w:val="008835A0"/>
    <w:rPr>
      <w:rFonts w:ascii="Arial" w:hAnsi="Arial"/>
      <w:snapToGrid w:val="0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42058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737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37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annotation reference"/>
    <w:basedOn w:val="a0"/>
    <w:rsid w:val="00737D2E"/>
    <w:rPr>
      <w:sz w:val="16"/>
      <w:szCs w:val="16"/>
    </w:rPr>
  </w:style>
  <w:style w:type="paragraph" w:styleId="ae">
    <w:name w:val="annotation text"/>
    <w:basedOn w:val="a"/>
    <w:link w:val="af"/>
    <w:rsid w:val="00737D2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37D2E"/>
  </w:style>
  <w:style w:type="paragraph" w:styleId="af0">
    <w:name w:val="annotation subject"/>
    <w:basedOn w:val="ae"/>
    <w:next w:val="ae"/>
    <w:link w:val="af1"/>
    <w:rsid w:val="00737D2E"/>
    <w:rPr>
      <w:b/>
      <w:bCs/>
    </w:rPr>
  </w:style>
  <w:style w:type="character" w:customStyle="1" w:styleId="af1">
    <w:name w:val="Тема примечания Знак"/>
    <w:basedOn w:val="af"/>
    <w:link w:val="af0"/>
    <w:rsid w:val="00737D2E"/>
    <w:rPr>
      <w:b/>
      <w:bCs/>
    </w:rPr>
  </w:style>
  <w:style w:type="paragraph" w:styleId="af2">
    <w:name w:val="Balloon Text"/>
    <w:basedOn w:val="a"/>
    <w:link w:val="af3"/>
    <w:rsid w:val="00737D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37D2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845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1CF"/>
    <w:rPr>
      <w:sz w:val="24"/>
      <w:szCs w:val="24"/>
    </w:rPr>
  </w:style>
  <w:style w:type="paragraph" w:styleId="2">
    <w:name w:val="heading 2"/>
    <w:basedOn w:val="a"/>
    <w:next w:val="a"/>
    <w:qFormat/>
    <w:rsid w:val="001841CF"/>
    <w:pPr>
      <w:keepNext/>
      <w:spacing w:line="360" w:lineRule="auto"/>
      <w:outlineLvl w:val="1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41CF"/>
    <w:rPr>
      <w:sz w:val="28"/>
    </w:rPr>
  </w:style>
  <w:style w:type="paragraph" w:styleId="20">
    <w:name w:val="Body Text 2"/>
    <w:basedOn w:val="a"/>
    <w:rsid w:val="001841CF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7F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24C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24C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4CC1"/>
  </w:style>
  <w:style w:type="paragraph" w:styleId="a9">
    <w:name w:val="Plain Text"/>
    <w:basedOn w:val="a"/>
    <w:rsid w:val="00B53DC0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B53DC0"/>
    <w:pPr>
      <w:spacing w:after="120"/>
    </w:pPr>
    <w:rPr>
      <w:rFonts w:ascii="NTHarmonica" w:hAnsi="NTHarmonica"/>
      <w:szCs w:val="20"/>
    </w:rPr>
  </w:style>
  <w:style w:type="paragraph" w:customStyle="1" w:styleId="Normal">
    <w:name w:val="Normal"/>
    <w:rsid w:val="008835A0"/>
    <w:rPr>
      <w:rFonts w:ascii="Arial" w:hAnsi="Arial"/>
      <w:snapToGrid w:val="0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42058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737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737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c">
    <w:name w:val="annotation reference"/>
    <w:basedOn w:val="a0"/>
    <w:rsid w:val="00737D2E"/>
    <w:rPr>
      <w:sz w:val="16"/>
      <w:szCs w:val="16"/>
    </w:rPr>
  </w:style>
  <w:style w:type="paragraph" w:styleId="ad">
    <w:name w:val="annotation text"/>
    <w:basedOn w:val="a"/>
    <w:link w:val="ae"/>
    <w:rsid w:val="00737D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37D2E"/>
  </w:style>
  <w:style w:type="paragraph" w:styleId="af">
    <w:name w:val="annotation subject"/>
    <w:basedOn w:val="ad"/>
    <w:next w:val="ad"/>
    <w:link w:val="af0"/>
    <w:rsid w:val="00737D2E"/>
    <w:rPr>
      <w:b/>
      <w:bCs/>
    </w:rPr>
  </w:style>
  <w:style w:type="character" w:customStyle="1" w:styleId="af0">
    <w:name w:val="Тема примечания Знак"/>
    <w:basedOn w:val="ae"/>
    <w:link w:val="af"/>
    <w:rsid w:val="00737D2E"/>
    <w:rPr>
      <w:b/>
      <w:bCs/>
    </w:rPr>
  </w:style>
  <w:style w:type="paragraph" w:styleId="af1">
    <w:name w:val="Balloon Text"/>
    <w:basedOn w:val="a"/>
    <w:link w:val="af2"/>
    <w:rsid w:val="00737D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ИЗВЛЕКАЕМЫЙ ОБЪЕМ ПАРЕНТЕРАЛЬНЫХ ПРЕПАРАТОВ</vt:lpstr>
    </vt:vector>
  </TitlesOfParts>
  <Company>NCESMP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ИЗВЛЕКАЕМЫЙ ОБЪЕМ ПАРЕНТЕРАЛЬНЫХ ПРЕПАРАТОВ</dc:title>
  <dc:creator>ISLS3</dc:creator>
  <cp:lastModifiedBy>Kargina</cp:lastModifiedBy>
  <cp:revision>2</cp:revision>
  <cp:lastPrinted>2013-12-19T14:06:00Z</cp:lastPrinted>
  <dcterms:created xsi:type="dcterms:W3CDTF">2014-11-25T14:16:00Z</dcterms:created>
  <dcterms:modified xsi:type="dcterms:W3CDTF">2014-11-25T14:16:00Z</dcterms:modified>
</cp:coreProperties>
</file>