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3E" w:rsidRDefault="00514F3E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 xml:space="preserve">Итоги </w:t>
      </w:r>
      <w:r w:rsidR="00A610A3" w:rsidRPr="00EE4B67">
        <w:rPr>
          <w:b/>
          <w:sz w:val="44"/>
          <w:szCs w:val="44"/>
        </w:rPr>
        <w:t xml:space="preserve"> </w:t>
      </w:r>
      <w:r w:rsidR="006A45AF" w:rsidRPr="00EE4B67">
        <w:rPr>
          <w:b/>
          <w:sz w:val="44"/>
          <w:szCs w:val="44"/>
        </w:rPr>
        <w:t xml:space="preserve">работы </w:t>
      </w:r>
    </w:p>
    <w:p w:rsidR="00304BE2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Министерства здравоохранения </w:t>
      </w:r>
    </w:p>
    <w:p w:rsidR="00EE4B67" w:rsidRPr="00EE4B67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Российской Федерации</w:t>
      </w: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с обращениями граждан</w:t>
      </w:r>
      <w:r w:rsidR="006A45AF" w:rsidRPr="00EE4B67">
        <w:rPr>
          <w:b/>
          <w:sz w:val="44"/>
          <w:szCs w:val="44"/>
        </w:rPr>
        <w:t xml:space="preserve"> </w:t>
      </w:r>
    </w:p>
    <w:p w:rsidR="00312D0D" w:rsidRPr="00EE4B67" w:rsidRDefault="00117C01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в</w:t>
      </w:r>
      <w:r w:rsidR="0096165D">
        <w:rPr>
          <w:b/>
          <w:sz w:val="44"/>
          <w:szCs w:val="44"/>
        </w:rPr>
        <w:t xml:space="preserve"> 1 квартале</w:t>
      </w:r>
      <w:r w:rsidR="006743CF" w:rsidRPr="00EE4B67">
        <w:rPr>
          <w:b/>
          <w:sz w:val="44"/>
          <w:szCs w:val="44"/>
        </w:rPr>
        <w:t xml:space="preserve"> </w:t>
      </w:r>
      <w:r w:rsidR="00A610A3" w:rsidRPr="00EE4B67">
        <w:rPr>
          <w:b/>
          <w:sz w:val="44"/>
          <w:szCs w:val="44"/>
        </w:rPr>
        <w:t>20</w:t>
      </w:r>
      <w:r w:rsidR="006A45AF" w:rsidRPr="00EE4B67">
        <w:rPr>
          <w:b/>
          <w:sz w:val="44"/>
          <w:szCs w:val="44"/>
        </w:rPr>
        <w:t>1</w:t>
      </w:r>
      <w:r w:rsidR="00D20291" w:rsidRPr="00D20291">
        <w:rPr>
          <w:b/>
          <w:sz w:val="44"/>
          <w:szCs w:val="44"/>
        </w:rPr>
        <w:t>4</w:t>
      </w:r>
      <w:r w:rsidR="00A610A3" w:rsidRPr="00EE4B67">
        <w:rPr>
          <w:b/>
          <w:sz w:val="44"/>
          <w:szCs w:val="44"/>
        </w:rPr>
        <w:t xml:space="preserve"> г</w:t>
      </w:r>
      <w:r w:rsidR="006A45AF" w:rsidRPr="00EE4B67">
        <w:rPr>
          <w:b/>
          <w:sz w:val="44"/>
          <w:szCs w:val="44"/>
        </w:rPr>
        <w:t>.</w:t>
      </w:r>
    </w:p>
    <w:p w:rsidR="00312D0D" w:rsidRDefault="00312D0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4BE2" w:rsidRDefault="008B10A4" w:rsidP="0054305B">
      <w:pPr>
        <w:pStyle w:val="20"/>
        <w:ind w:firstLine="709"/>
      </w:pPr>
      <w:r>
        <w:br w:type="page"/>
      </w:r>
    </w:p>
    <w:p w:rsidR="0022154B" w:rsidRPr="0054305B" w:rsidRDefault="00B32E2C" w:rsidP="00703F16">
      <w:pPr>
        <w:pStyle w:val="20"/>
        <w:ind w:firstLine="709"/>
      </w:pPr>
      <w:r w:rsidRPr="00B32E2C">
        <w:lastRenderedPageBreak/>
        <w:t xml:space="preserve">В  Министерство   </w:t>
      </w:r>
      <w:r>
        <w:t xml:space="preserve">в </w:t>
      </w:r>
      <w:r w:rsidRPr="00B32E2C">
        <w:t xml:space="preserve"> 1 </w:t>
      </w:r>
      <w:r>
        <w:t xml:space="preserve">квартале </w:t>
      </w:r>
      <w:r w:rsidRPr="00B32E2C">
        <w:t xml:space="preserve"> 201</w:t>
      </w:r>
      <w:r w:rsidR="00D20291" w:rsidRPr="00D20291">
        <w:t>4</w:t>
      </w:r>
      <w:r w:rsidRPr="00B32E2C">
        <w:t xml:space="preserve"> года поступило  и рассмотрено  </w:t>
      </w:r>
      <w:r>
        <w:t xml:space="preserve">                  </w:t>
      </w:r>
      <w:r w:rsidR="001E2B3E">
        <w:t>18</w:t>
      </w:r>
      <w:r w:rsidR="00D20291">
        <w:t> </w:t>
      </w:r>
      <w:r w:rsidR="00D20291" w:rsidRPr="00D20291">
        <w:t xml:space="preserve">397 </w:t>
      </w:r>
      <w:r w:rsidR="00D20291">
        <w:t>обращений</w:t>
      </w:r>
      <w:r w:rsidRPr="00B32E2C">
        <w:t xml:space="preserve"> граждан, из них  контрольных </w:t>
      </w:r>
      <w:r>
        <w:t>–</w:t>
      </w:r>
      <w:r w:rsidRPr="00B32E2C">
        <w:t xml:space="preserve"> </w:t>
      </w:r>
      <w:r w:rsidR="00D20291">
        <w:t>534</w:t>
      </w:r>
      <w:r w:rsidRPr="00B32E2C">
        <w:t xml:space="preserve"> обращений.</w:t>
      </w:r>
    </w:p>
    <w:p w:rsidR="00304BE2" w:rsidRDefault="00703F16" w:rsidP="00807639">
      <w:pPr>
        <w:pStyle w:val="20"/>
        <w:spacing w:line="240" w:lineRule="auto"/>
        <w:jc w:val="center"/>
        <w:rPr>
          <w:b/>
        </w:rPr>
      </w:pPr>
      <w:r>
        <w:rPr>
          <w:b/>
        </w:rPr>
        <w:t>П</w:t>
      </w:r>
      <w:r w:rsidR="0067290D" w:rsidRPr="0067290D">
        <w:rPr>
          <w:b/>
        </w:rPr>
        <w:t xml:space="preserve">оступления обращений граждан </w:t>
      </w:r>
    </w:p>
    <w:p w:rsidR="00304BE2" w:rsidRDefault="0067290D" w:rsidP="00807639">
      <w:pPr>
        <w:pStyle w:val="20"/>
        <w:spacing w:line="240" w:lineRule="auto"/>
        <w:jc w:val="center"/>
        <w:rPr>
          <w:b/>
        </w:rPr>
      </w:pPr>
      <w:r w:rsidRPr="0067290D">
        <w:rPr>
          <w:b/>
        </w:rPr>
        <w:t>в Министерство здравоохранения Российской Федерации</w:t>
      </w:r>
    </w:p>
    <w:p w:rsidR="00851E9E" w:rsidRDefault="0080490E" w:rsidP="00807639">
      <w:pPr>
        <w:pStyle w:val="20"/>
        <w:spacing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7294DB5" wp14:editId="5696C27D">
            <wp:simplePos x="0" y="0"/>
            <wp:positionH relativeFrom="column">
              <wp:posOffset>-48895</wp:posOffset>
            </wp:positionH>
            <wp:positionV relativeFrom="paragraph">
              <wp:posOffset>160020</wp:posOffset>
            </wp:positionV>
            <wp:extent cx="6096000" cy="3932555"/>
            <wp:effectExtent l="0" t="0" r="0" b="0"/>
            <wp:wrapTight wrapText="bothSides">
              <wp:wrapPolygon edited="0">
                <wp:start x="-36" y="0"/>
                <wp:lineTo x="-36" y="21544"/>
                <wp:lineTo x="21600" y="21544"/>
                <wp:lineTo x="21600" y="0"/>
                <wp:lineTo x="-36" y="0"/>
              </wp:wrapPolygon>
            </wp:wrapTight>
            <wp:docPr id="38" name="Объект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E9E">
        <w:rPr>
          <w:b/>
        </w:rPr>
        <w:t xml:space="preserve"> </w:t>
      </w:r>
    </w:p>
    <w:p w:rsidR="00142A34" w:rsidRDefault="00142A34" w:rsidP="00807639">
      <w:pPr>
        <w:pStyle w:val="20"/>
        <w:spacing w:line="240" w:lineRule="auto"/>
        <w:jc w:val="center"/>
        <w:rPr>
          <w:b/>
        </w:rPr>
      </w:pPr>
      <w:r w:rsidRPr="00142A34">
        <w:rPr>
          <w:b/>
        </w:rPr>
        <w:t>Источники поступления обращений граждан</w:t>
      </w:r>
    </w:p>
    <w:p w:rsidR="001E2B3E" w:rsidRDefault="00851E9E" w:rsidP="00807639">
      <w:pPr>
        <w:pStyle w:val="20"/>
        <w:spacing w:line="240" w:lineRule="auto"/>
        <w:jc w:val="center"/>
        <w:rPr>
          <w:b/>
        </w:rPr>
      </w:pPr>
      <w:r w:rsidRPr="0054305B">
        <w:rPr>
          <w:b/>
        </w:rPr>
        <w:t>в  Министерство здравоохранения Российской Федерации</w:t>
      </w:r>
      <w:r>
        <w:rPr>
          <w:b/>
        </w:rPr>
        <w:t xml:space="preserve"> </w:t>
      </w:r>
    </w:p>
    <w:p w:rsidR="00851E9E" w:rsidRDefault="00851E9E" w:rsidP="00851E9E">
      <w:pPr>
        <w:pStyle w:val="20"/>
        <w:spacing w:line="240" w:lineRule="auto"/>
        <w:ind w:firstLine="0"/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620"/>
        <w:gridCol w:w="1182"/>
      </w:tblGrid>
      <w:tr w:rsidR="001E2B3E" w:rsidRPr="001E2B3E" w:rsidTr="0051739E"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1E2B3E">
              <w:rPr>
                <w:i/>
                <w:sz w:val="28"/>
                <w:szCs w:val="28"/>
              </w:rPr>
              <w:t>источник</w:t>
            </w:r>
          </w:p>
        </w:tc>
        <w:tc>
          <w:tcPr>
            <w:tcW w:w="1620" w:type="dxa"/>
          </w:tcPr>
          <w:p w:rsidR="001E2B3E" w:rsidRPr="001E2B3E" w:rsidRDefault="001E2B3E" w:rsidP="001E2B3E">
            <w:pPr>
              <w:spacing w:after="120"/>
              <w:ind w:right="-108"/>
              <w:jc w:val="center"/>
              <w:rPr>
                <w:i/>
                <w:sz w:val="28"/>
                <w:szCs w:val="28"/>
              </w:rPr>
            </w:pPr>
            <w:r w:rsidRPr="001E2B3E"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1182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1E2B3E">
              <w:rPr>
                <w:i/>
                <w:sz w:val="28"/>
                <w:szCs w:val="28"/>
              </w:rPr>
              <w:t>%</w:t>
            </w:r>
          </w:p>
        </w:tc>
      </w:tr>
      <w:tr w:rsidR="001E2B3E" w:rsidRPr="001E2B3E" w:rsidTr="0051739E"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>Заявители (письменные  или электронные сообщения)</w:t>
            </w:r>
          </w:p>
        </w:tc>
        <w:tc>
          <w:tcPr>
            <w:tcW w:w="1620" w:type="dxa"/>
          </w:tcPr>
          <w:p w:rsidR="001E2B3E" w:rsidRPr="001E2B3E" w:rsidRDefault="00D20291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14182</w:t>
            </w:r>
          </w:p>
        </w:tc>
        <w:tc>
          <w:tcPr>
            <w:tcW w:w="1182" w:type="dxa"/>
          </w:tcPr>
          <w:p w:rsidR="001E2B3E" w:rsidRPr="001E2B3E" w:rsidRDefault="00D20291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</w:tr>
      <w:tr w:rsidR="001E2B3E" w:rsidRPr="001E2B3E" w:rsidTr="0051739E">
        <w:trPr>
          <w:trHeight w:val="984"/>
        </w:trPr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 xml:space="preserve">- в т.ч. письменные обращения поданные гражданами  на личном приеме в Общественной приемной </w:t>
            </w:r>
            <w:r w:rsidR="009D267C">
              <w:rPr>
                <w:sz w:val="28"/>
                <w:szCs w:val="28"/>
              </w:rPr>
              <w:t xml:space="preserve">                    </w:t>
            </w:r>
            <w:r w:rsidRPr="001E2B3E">
              <w:rPr>
                <w:sz w:val="28"/>
                <w:szCs w:val="28"/>
              </w:rPr>
              <w:t>Министерства</w:t>
            </w:r>
          </w:p>
        </w:tc>
        <w:tc>
          <w:tcPr>
            <w:tcW w:w="1620" w:type="dxa"/>
          </w:tcPr>
          <w:p w:rsidR="001E2B3E" w:rsidRPr="001E2B3E" w:rsidRDefault="00D20291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</w:p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1E2B3E" w:rsidRPr="001E2B3E" w:rsidTr="0051739E"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>Администрация Президента РФ</w:t>
            </w:r>
          </w:p>
        </w:tc>
        <w:tc>
          <w:tcPr>
            <w:tcW w:w="1620" w:type="dxa"/>
          </w:tcPr>
          <w:p w:rsidR="001E2B3E" w:rsidRPr="001E2B3E" w:rsidRDefault="00D20291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2438</w:t>
            </w:r>
          </w:p>
        </w:tc>
        <w:tc>
          <w:tcPr>
            <w:tcW w:w="1182" w:type="dxa"/>
          </w:tcPr>
          <w:p w:rsidR="001E2B3E" w:rsidRPr="001E2B3E" w:rsidRDefault="00D20291" w:rsidP="006860C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</w:tr>
      <w:tr w:rsidR="001E2B3E" w:rsidRPr="001E2B3E" w:rsidTr="0051739E"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620" w:type="dxa"/>
          </w:tcPr>
          <w:p w:rsidR="001E2B3E" w:rsidRPr="001E2B3E" w:rsidRDefault="00D20291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  <w:tc>
          <w:tcPr>
            <w:tcW w:w="1182" w:type="dxa"/>
          </w:tcPr>
          <w:p w:rsidR="001E2B3E" w:rsidRPr="001E2B3E" w:rsidRDefault="00D20291" w:rsidP="006860C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1E2B3E" w:rsidRPr="001E2B3E" w:rsidTr="0051739E"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>Другие источники поступления</w:t>
            </w:r>
          </w:p>
        </w:tc>
        <w:tc>
          <w:tcPr>
            <w:tcW w:w="1620" w:type="dxa"/>
          </w:tcPr>
          <w:p w:rsidR="001E2B3E" w:rsidRPr="001E2B3E" w:rsidRDefault="00D20291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1168</w:t>
            </w:r>
          </w:p>
        </w:tc>
        <w:tc>
          <w:tcPr>
            <w:tcW w:w="1182" w:type="dxa"/>
          </w:tcPr>
          <w:p w:rsidR="001E2B3E" w:rsidRPr="001E2B3E" w:rsidRDefault="00D20291" w:rsidP="006860C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</w:tr>
      <w:tr w:rsidR="001E2B3E" w:rsidRPr="001E2B3E" w:rsidTr="0051739E"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>Устные обращения граждан  на личном приеме в Общественной приемной Министерства</w:t>
            </w:r>
          </w:p>
        </w:tc>
        <w:tc>
          <w:tcPr>
            <w:tcW w:w="1620" w:type="dxa"/>
          </w:tcPr>
          <w:p w:rsidR="001E2B3E" w:rsidRPr="001E2B3E" w:rsidRDefault="00D20291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182" w:type="dxa"/>
          </w:tcPr>
          <w:p w:rsidR="001E2B3E" w:rsidRPr="001E2B3E" w:rsidRDefault="00D20291" w:rsidP="006860C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1E2B3E" w:rsidRPr="001E2B3E" w:rsidTr="0051739E">
        <w:tc>
          <w:tcPr>
            <w:tcW w:w="6768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</w:tcPr>
          <w:p w:rsidR="001E2B3E" w:rsidRPr="001E2B3E" w:rsidRDefault="00D20291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18397</w:t>
            </w:r>
          </w:p>
        </w:tc>
        <w:tc>
          <w:tcPr>
            <w:tcW w:w="1182" w:type="dxa"/>
          </w:tcPr>
          <w:p w:rsidR="001E2B3E" w:rsidRP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E2B3E">
              <w:rPr>
                <w:sz w:val="28"/>
                <w:szCs w:val="28"/>
              </w:rPr>
              <w:t>100</w:t>
            </w:r>
          </w:p>
        </w:tc>
      </w:tr>
    </w:tbl>
    <w:p w:rsidR="001E2B3E" w:rsidRPr="001E2B3E" w:rsidRDefault="001E2B3E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1E2B3E">
        <w:rPr>
          <w:sz w:val="28"/>
          <w:szCs w:val="28"/>
        </w:rPr>
        <w:t xml:space="preserve">За отчетный период более </w:t>
      </w:r>
      <w:r w:rsidR="00D20291">
        <w:rPr>
          <w:sz w:val="28"/>
          <w:szCs w:val="28"/>
        </w:rPr>
        <w:t>9</w:t>
      </w:r>
      <w:r w:rsidRPr="001E2B3E">
        <w:rPr>
          <w:sz w:val="28"/>
          <w:szCs w:val="28"/>
        </w:rPr>
        <w:t xml:space="preserve"> тыс. граждан воспользовались </w:t>
      </w:r>
      <w:r w:rsidR="006860C8">
        <w:rPr>
          <w:sz w:val="28"/>
          <w:szCs w:val="28"/>
        </w:rPr>
        <w:t xml:space="preserve">                   </w:t>
      </w:r>
      <w:r w:rsidRPr="001E2B3E">
        <w:rPr>
          <w:sz w:val="28"/>
          <w:szCs w:val="28"/>
        </w:rPr>
        <w:t xml:space="preserve">возможностью направления электронных обращений через Общественную </w:t>
      </w:r>
      <w:r w:rsidR="006860C8">
        <w:rPr>
          <w:sz w:val="28"/>
          <w:szCs w:val="28"/>
        </w:rPr>
        <w:t xml:space="preserve">              </w:t>
      </w:r>
      <w:r w:rsidRPr="001E2B3E">
        <w:rPr>
          <w:sz w:val="28"/>
          <w:szCs w:val="28"/>
        </w:rPr>
        <w:t>интернет-приемную </w:t>
      </w:r>
      <w:r w:rsidR="00053923">
        <w:rPr>
          <w:sz w:val="28"/>
          <w:szCs w:val="28"/>
        </w:rPr>
        <w:t xml:space="preserve"> </w:t>
      </w:r>
      <w:r w:rsidRPr="001E2B3E">
        <w:rPr>
          <w:sz w:val="28"/>
          <w:szCs w:val="28"/>
        </w:rPr>
        <w:t>Министерства</w:t>
      </w:r>
      <w:r w:rsidR="00053923">
        <w:rPr>
          <w:sz w:val="28"/>
          <w:szCs w:val="28"/>
        </w:rPr>
        <w:t xml:space="preserve"> </w:t>
      </w:r>
      <w:r w:rsidR="00D20291">
        <w:rPr>
          <w:sz w:val="28"/>
          <w:szCs w:val="28"/>
        </w:rPr>
        <w:t> </w:t>
      </w:r>
      <w:r w:rsidRPr="001E2B3E">
        <w:rPr>
          <w:sz w:val="28"/>
          <w:szCs w:val="28"/>
        </w:rPr>
        <w:t>(соотношение 1:</w:t>
      </w:r>
      <w:r w:rsidR="006860C8">
        <w:rPr>
          <w:sz w:val="28"/>
          <w:szCs w:val="28"/>
        </w:rPr>
        <w:t>3</w:t>
      </w:r>
      <w:r w:rsidRPr="001E2B3E">
        <w:rPr>
          <w:sz w:val="28"/>
          <w:szCs w:val="28"/>
        </w:rPr>
        <w:t>,</w:t>
      </w:r>
      <w:r w:rsidR="00D20291">
        <w:rPr>
          <w:sz w:val="28"/>
          <w:szCs w:val="28"/>
        </w:rPr>
        <w:t>3</w:t>
      </w:r>
      <w:r w:rsidRPr="001E2B3E">
        <w:rPr>
          <w:sz w:val="28"/>
          <w:szCs w:val="28"/>
        </w:rPr>
        <w:t xml:space="preserve"> поступления </w:t>
      </w:r>
      <w:r w:rsidR="00CB744C">
        <w:rPr>
          <w:sz w:val="28"/>
          <w:szCs w:val="28"/>
        </w:rPr>
        <w:t xml:space="preserve">                          </w:t>
      </w:r>
      <w:r w:rsidRPr="001E2B3E">
        <w:rPr>
          <w:sz w:val="28"/>
          <w:szCs w:val="28"/>
        </w:rPr>
        <w:t xml:space="preserve">письменных обращений граждан на бумажном носителе и в электронном виде). 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году в Министерстве здравоохранения Российской Федерации                 продолжена активная работа: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2B3E" w:rsidRPr="001E2B3E">
        <w:rPr>
          <w:sz w:val="28"/>
          <w:szCs w:val="28"/>
        </w:rPr>
        <w:t xml:space="preserve"> </w:t>
      </w:r>
      <w:r w:rsidR="00053923">
        <w:rPr>
          <w:sz w:val="28"/>
          <w:szCs w:val="28"/>
        </w:rPr>
        <w:t>г</w:t>
      </w:r>
      <w:r w:rsidR="006860C8">
        <w:rPr>
          <w:sz w:val="28"/>
          <w:szCs w:val="28"/>
        </w:rPr>
        <w:t>оряч</w:t>
      </w:r>
      <w:r>
        <w:rPr>
          <w:sz w:val="28"/>
          <w:szCs w:val="28"/>
        </w:rPr>
        <w:t>ей</w:t>
      </w:r>
      <w:r w:rsidR="006860C8">
        <w:rPr>
          <w:sz w:val="28"/>
          <w:szCs w:val="28"/>
        </w:rPr>
        <w:t xml:space="preserve"> лини</w:t>
      </w:r>
      <w:r w:rsidR="00053923">
        <w:rPr>
          <w:sz w:val="28"/>
          <w:szCs w:val="28"/>
        </w:rPr>
        <w:t>и</w:t>
      </w:r>
      <w:r w:rsidR="006860C8" w:rsidRPr="006860C8">
        <w:rPr>
          <w:sz w:val="28"/>
          <w:szCs w:val="28"/>
        </w:rPr>
        <w:t xml:space="preserve"> </w:t>
      </w:r>
      <w:r w:rsidR="006860C8">
        <w:rPr>
          <w:sz w:val="28"/>
          <w:szCs w:val="28"/>
          <w:lang w:val="en-US"/>
        </w:rPr>
        <w:t>help</w:t>
      </w:r>
      <w:r w:rsidR="006860C8" w:rsidRPr="006860C8">
        <w:rPr>
          <w:sz w:val="28"/>
          <w:szCs w:val="28"/>
        </w:rPr>
        <w:t>@</w:t>
      </w:r>
      <w:r w:rsidR="006860C8">
        <w:rPr>
          <w:sz w:val="28"/>
          <w:szCs w:val="28"/>
          <w:lang w:val="en-US"/>
        </w:rPr>
        <w:t>rosminzdrav</w:t>
      </w:r>
      <w:r w:rsidR="006860C8" w:rsidRPr="006860C8">
        <w:rPr>
          <w:sz w:val="28"/>
          <w:szCs w:val="28"/>
        </w:rPr>
        <w:t>.</w:t>
      </w:r>
      <w:r w:rsidR="006860C8">
        <w:rPr>
          <w:sz w:val="28"/>
          <w:szCs w:val="28"/>
          <w:lang w:val="en-US"/>
        </w:rPr>
        <w:t>ru</w:t>
      </w:r>
      <w:r w:rsidR="001E2B3E" w:rsidRPr="001E2B3E">
        <w:rPr>
          <w:sz w:val="28"/>
          <w:szCs w:val="28"/>
        </w:rPr>
        <w:t>, являющ</w:t>
      </w:r>
      <w:r>
        <w:rPr>
          <w:sz w:val="28"/>
          <w:szCs w:val="28"/>
        </w:rPr>
        <w:t>ей</w:t>
      </w:r>
      <w:r w:rsidR="00CB744C">
        <w:rPr>
          <w:sz w:val="28"/>
          <w:szCs w:val="28"/>
        </w:rPr>
        <w:t>ся</w:t>
      </w:r>
      <w:r w:rsidR="001E2B3E" w:rsidRPr="001E2B3E">
        <w:rPr>
          <w:sz w:val="28"/>
          <w:szCs w:val="28"/>
        </w:rPr>
        <w:t xml:space="preserve"> официальным</w:t>
      </w:r>
      <w:r>
        <w:rPr>
          <w:sz w:val="28"/>
          <w:szCs w:val="28"/>
        </w:rPr>
        <w:t xml:space="preserve">                </w:t>
      </w:r>
      <w:r w:rsidR="001E2B3E" w:rsidRPr="001E2B3E">
        <w:rPr>
          <w:sz w:val="28"/>
          <w:szCs w:val="28"/>
        </w:rPr>
        <w:t xml:space="preserve"> источником поступления обращений граждан</w:t>
      </w:r>
      <w:r w:rsidR="006860C8" w:rsidRPr="006860C8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и общественных организаций </w:t>
      </w:r>
      <w:r w:rsidR="00053923">
        <w:rPr>
          <w:sz w:val="28"/>
          <w:szCs w:val="28"/>
        </w:rPr>
        <w:t xml:space="preserve">                 </w:t>
      </w:r>
      <w:r w:rsidR="006860C8">
        <w:rPr>
          <w:sz w:val="28"/>
          <w:szCs w:val="28"/>
        </w:rPr>
        <w:t>по вопросам срочной организации медицинской помощи</w:t>
      </w:r>
      <w:r w:rsidR="00053923">
        <w:rPr>
          <w:sz w:val="28"/>
          <w:szCs w:val="28"/>
        </w:rPr>
        <w:t>;</w:t>
      </w:r>
      <w:r w:rsidR="009D267C">
        <w:rPr>
          <w:sz w:val="28"/>
          <w:szCs w:val="28"/>
        </w:rPr>
        <w:t xml:space="preserve"> 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 w:rsidRPr="00D202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="00053923">
        <w:rPr>
          <w:sz w:val="28"/>
          <w:szCs w:val="28"/>
        </w:rPr>
        <w:t>т</w:t>
      </w:r>
      <w:r w:rsidRPr="00D20291">
        <w:rPr>
          <w:sz w:val="28"/>
          <w:szCs w:val="28"/>
        </w:rPr>
        <w:t>елефон</w:t>
      </w:r>
      <w:r>
        <w:rPr>
          <w:sz w:val="28"/>
          <w:szCs w:val="28"/>
        </w:rPr>
        <w:t>а</w:t>
      </w:r>
      <w:r w:rsidR="00053923">
        <w:rPr>
          <w:sz w:val="28"/>
          <w:szCs w:val="28"/>
        </w:rPr>
        <w:t xml:space="preserve"> горячей линии </w:t>
      </w:r>
      <w:r w:rsidRPr="00D20291">
        <w:rPr>
          <w:sz w:val="28"/>
          <w:szCs w:val="28"/>
        </w:rPr>
        <w:t>по вопросам оказания бесплатной медици</w:t>
      </w:r>
      <w:r w:rsidRPr="00D20291">
        <w:rPr>
          <w:sz w:val="28"/>
          <w:szCs w:val="28"/>
        </w:rPr>
        <w:t>н</w:t>
      </w:r>
      <w:r w:rsidRPr="00D20291">
        <w:rPr>
          <w:sz w:val="28"/>
          <w:szCs w:val="28"/>
        </w:rPr>
        <w:t>ской помощи</w:t>
      </w:r>
      <w:r w:rsidR="00053923">
        <w:rPr>
          <w:sz w:val="28"/>
          <w:szCs w:val="28"/>
        </w:rPr>
        <w:t>;</w:t>
      </w:r>
      <w:r w:rsidRPr="00D20291">
        <w:rPr>
          <w:sz w:val="28"/>
          <w:szCs w:val="28"/>
        </w:rPr>
        <w:t xml:space="preserve">  </w:t>
      </w:r>
    </w:p>
    <w:p w:rsidR="00CB744C" w:rsidRDefault="00053923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E51305">
        <w:rPr>
          <w:sz w:val="28"/>
          <w:szCs w:val="28"/>
        </w:rPr>
        <w:t xml:space="preserve">горячей линии </w:t>
      </w:r>
      <w:r>
        <w:rPr>
          <w:sz w:val="28"/>
          <w:szCs w:val="28"/>
        </w:rPr>
        <w:t>телефона доверия</w:t>
      </w:r>
      <w:r w:rsidR="00D20291">
        <w:rPr>
          <w:sz w:val="28"/>
          <w:szCs w:val="28"/>
        </w:rPr>
        <w:t>.</w:t>
      </w:r>
      <w:r w:rsidR="00D20291" w:rsidRPr="00D20291">
        <w:rPr>
          <w:sz w:val="28"/>
          <w:szCs w:val="28"/>
        </w:rPr>
        <w:t xml:space="preserve">              </w:t>
      </w:r>
    </w:p>
    <w:p w:rsidR="00CB744C" w:rsidRDefault="00CB744C" w:rsidP="00703F16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                          </w:t>
      </w:r>
    </w:p>
    <w:p w:rsidR="00282BB3" w:rsidRPr="00CB744C" w:rsidRDefault="00D966CF" w:rsidP="00CB744C">
      <w:pPr>
        <w:ind w:firstLine="720"/>
        <w:jc w:val="center"/>
        <w:rPr>
          <w:b/>
          <w:sz w:val="28"/>
          <w:szCs w:val="20"/>
        </w:rPr>
      </w:pPr>
      <w:r w:rsidRPr="00CB744C">
        <w:rPr>
          <w:b/>
          <w:sz w:val="28"/>
          <w:szCs w:val="20"/>
        </w:rPr>
        <w:t>Д</w:t>
      </w:r>
      <w:r w:rsidR="00F478E6" w:rsidRPr="00CB744C">
        <w:rPr>
          <w:b/>
          <w:sz w:val="28"/>
          <w:szCs w:val="20"/>
        </w:rPr>
        <w:t xml:space="preserve">инамика </w:t>
      </w:r>
      <w:r w:rsidR="00282BB3" w:rsidRPr="00CB744C">
        <w:rPr>
          <w:b/>
          <w:sz w:val="28"/>
          <w:szCs w:val="20"/>
        </w:rPr>
        <w:t xml:space="preserve">ежемесячного </w:t>
      </w:r>
      <w:r w:rsidR="00F478E6" w:rsidRPr="00CB744C">
        <w:rPr>
          <w:b/>
          <w:sz w:val="28"/>
          <w:szCs w:val="20"/>
        </w:rPr>
        <w:t>поступлени</w:t>
      </w:r>
      <w:r w:rsidR="00282BB3" w:rsidRPr="00CB744C">
        <w:rPr>
          <w:b/>
          <w:sz w:val="28"/>
          <w:szCs w:val="20"/>
        </w:rPr>
        <w:t>я</w:t>
      </w:r>
      <w:r w:rsidR="00F478E6" w:rsidRPr="00CB744C">
        <w:rPr>
          <w:b/>
          <w:sz w:val="28"/>
          <w:szCs w:val="20"/>
        </w:rPr>
        <w:t xml:space="preserve"> </w:t>
      </w:r>
      <w:r w:rsidRPr="00CB744C">
        <w:rPr>
          <w:b/>
          <w:sz w:val="28"/>
          <w:szCs w:val="20"/>
        </w:rPr>
        <w:t xml:space="preserve">обращений </w:t>
      </w:r>
      <w:r w:rsidR="00F478E6" w:rsidRPr="00CB744C">
        <w:rPr>
          <w:b/>
          <w:sz w:val="28"/>
          <w:szCs w:val="20"/>
        </w:rPr>
        <w:t xml:space="preserve"> граждан</w:t>
      </w:r>
    </w:p>
    <w:p w:rsidR="00304BE2" w:rsidRDefault="00F478E6" w:rsidP="00FB5556">
      <w:pPr>
        <w:pStyle w:val="20"/>
        <w:spacing w:line="240" w:lineRule="auto"/>
        <w:jc w:val="center"/>
        <w:rPr>
          <w:b/>
        </w:rPr>
      </w:pPr>
      <w:r w:rsidRPr="0054305B">
        <w:rPr>
          <w:b/>
        </w:rPr>
        <w:t xml:space="preserve">в </w:t>
      </w:r>
      <w:r w:rsidR="007F3D29" w:rsidRPr="0054305B">
        <w:rPr>
          <w:b/>
        </w:rPr>
        <w:t xml:space="preserve"> </w:t>
      </w:r>
      <w:r w:rsidR="0096165D" w:rsidRPr="0054305B">
        <w:rPr>
          <w:b/>
        </w:rPr>
        <w:t>Министерство здравоохранения Российской Федерации</w:t>
      </w:r>
      <w:r w:rsidR="0076517F">
        <w:rPr>
          <w:b/>
        </w:rPr>
        <w:t xml:space="preserve"> </w:t>
      </w:r>
    </w:p>
    <w:p w:rsidR="00AB258E" w:rsidRDefault="0080490E" w:rsidP="0054305B">
      <w:pPr>
        <w:pStyle w:val="20"/>
        <w:spacing w:line="240" w:lineRule="auto"/>
        <w:ind w:firstLine="709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4BBB43DB" wp14:editId="6A27173A">
            <wp:extent cx="5945653" cy="4742121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45BBA" w:rsidRDefault="00845BBA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  <w:r>
        <w:rPr>
          <w:b/>
        </w:rPr>
        <w:t>Работа Общественной приемной</w:t>
      </w:r>
    </w:p>
    <w:p w:rsidR="00B63093" w:rsidRDefault="00845BBA" w:rsidP="00142A34">
      <w:pPr>
        <w:pStyle w:val="20"/>
        <w:spacing w:line="240" w:lineRule="auto"/>
        <w:jc w:val="center"/>
        <w:rPr>
          <w:b/>
        </w:rPr>
      </w:pPr>
      <w:r w:rsidRPr="0054305B">
        <w:rPr>
          <w:b/>
        </w:rPr>
        <w:t>Министерств</w:t>
      </w:r>
      <w:r>
        <w:rPr>
          <w:b/>
        </w:rPr>
        <w:t>а</w:t>
      </w:r>
      <w:r w:rsidRPr="0054305B">
        <w:rPr>
          <w:b/>
        </w:rPr>
        <w:t xml:space="preserve"> здравоохранения Российской Федерации</w:t>
      </w:r>
    </w:p>
    <w:p w:rsidR="00851E9E" w:rsidRDefault="00851E9E" w:rsidP="0054305B">
      <w:pPr>
        <w:pStyle w:val="20"/>
        <w:spacing w:line="240" w:lineRule="auto"/>
        <w:ind w:firstLine="709"/>
        <w:jc w:val="center"/>
        <w:rPr>
          <w:b/>
        </w:rPr>
      </w:pPr>
    </w:p>
    <w:p w:rsidR="009321F6" w:rsidRDefault="009321F6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9321F6">
        <w:rPr>
          <w:sz w:val="28"/>
          <w:szCs w:val="28"/>
        </w:rPr>
        <w:t>В 1 квартале 201</w:t>
      </w:r>
      <w:r w:rsidR="00405589">
        <w:rPr>
          <w:sz w:val="28"/>
          <w:szCs w:val="28"/>
        </w:rPr>
        <w:t xml:space="preserve">4 </w:t>
      </w:r>
      <w:r w:rsidRPr="009321F6">
        <w:rPr>
          <w:sz w:val="28"/>
          <w:szCs w:val="28"/>
        </w:rPr>
        <w:t xml:space="preserve">г. </w:t>
      </w:r>
      <w:r w:rsidR="00405589">
        <w:rPr>
          <w:sz w:val="28"/>
          <w:szCs w:val="28"/>
        </w:rPr>
        <w:t>548</w:t>
      </w:r>
      <w:r w:rsidRPr="009321F6">
        <w:rPr>
          <w:sz w:val="28"/>
          <w:szCs w:val="28"/>
        </w:rPr>
        <w:t xml:space="preserve"> граждан</w:t>
      </w:r>
      <w:r w:rsidR="00B63093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 xml:space="preserve"> обратил</w:t>
      </w:r>
      <w:r w:rsidR="007C2EAF">
        <w:rPr>
          <w:sz w:val="28"/>
          <w:szCs w:val="28"/>
        </w:rPr>
        <w:t>и</w:t>
      </w:r>
      <w:r w:rsidRPr="009321F6">
        <w:rPr>
          <w:sz w:val="28"/>
          <w:szCs w:val="28"/>
        </w:rPr>
        <w:t xml:space="preserve">сь в </w:t>
      </w:r>
      <w:r>
        <w:rPr>
          <w:sz w:val="28"/>
          <w:szCs w:val="28"/>
        </w:rPr>
        <w:t>О</w:t>
      </w:r>
      <w:r w:rsidRPr="009321F6">
        <w:rPr>
          <w:sz w:val="28"/>
          <w:szCs w:val="28"/>
        </w:rPr>
        <w:t>бщественную</w:t>
      </w:r>
      <w:r w:rsidR="00405589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>приемную Минздрав</w:t>
      </w:r>
      <w:r w:rsidR="00B63093">
        <w:rPr>
          <w:sz w:val="28"/>
          <w:szCs w:val="28"/>
        </w:rPr>
        <w:t>а</w:t>
      </w:r>
      <w:r w:rsidRPr="009321F6">
        <w:rPr>
          <w:sz w:val="28"/>
          <w:szCs w:val="28"/>
        </w:rPr>
        <w:t xml:space="preserve"> России, где смогли получить разъяснения по интересующим </w:t>
      </w:r>
      <w:r w:rsidR="00405589">
        <w:rPr>
          <w:sz w:val="28"/>
          <w:szCs w:val="28"/>
        </w:rPr>
        <w:t xml:space="preserve">                      </w:t>
      </w:r>
      <w:r w:rsidRPr="009321F6">
        <w:rPr>
          <w:sz w:val="28"/>
          <w:szCs w:val="28"/>
        </w:rPr>
        <w:t>их вопросам, входящим в</w:t>
      </w:r>
      <w:r w:rsidR="007C2EAF">
        <w:rPr>
          <w:sz w:val="28"/>
          <w:szCs w:val="28"/>
        </w:rPr>
        <w:t xml:space="preserve">  </w:t>
      </w:r>
      <w:r w:rsidRPr="009321F6">
        <w:rPr>
          <w:sz w:val="28"/>
          <w:szCs w:val="28"/>
        </w:rPr>
        <w:t xml:space="preserve">компетенцию Министерства, из них </w:t>
      </w:r>
      <w:r w:rsidR="007C2EAF">
        <w:rPr>
          <w:sz w:val="28"/>
          <w:szCs w:val="28"/>
        </w:rPr>
        <w:t>3</w:t>
      </w:r>
      <w:r w:rsidR="00405589">
        <w:rPr>
          <w:sz w:val="28"/>
          <w:szCs w:val="28"/>
        </w:rPr>
        <w:t>75</w:t>
      </w:r>
      <w:r w:rsidR="007C2EAF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>граждан</w:t>
      </w:r>
      <w:r w:rsidR="007C2EAF">
        <w:rPr>
          <w:sz w:val="28"/>
          <w:szCs w:val="28"/>
        </w:rPr>
        <w:t xml:space="preserve">                  </w:t>
      </w:r>
      <w:r w:rsidRPr="009321F6">
        <w:rPr>
          <w:sz w:val="28"/>
          <w:szCs w:val="28"/>
        </w:rPr>
        <w:t xml:space="preserve"> воспользовались возможностью в ходе личного приема оставить свои </w:t>
      </w:r>
      <w:r w:rsidR="007C2EAF">
        <w:rPr>
          <w:sz w:val="28"/>
          <w:szCs w:val="28"/>
        </w:rPr>
        <w:t xml:space="preserve">              </w:t>
      </w:r>
      <w:r w:rsidRPr="009321F6">
        <w:rPr>
          <w:sz w:val="28"/>
          <w:szCs w:val="28"/>
        </w:rPr>
        <w:t>письменные</w:t>
      </w:r>
      <w:r w:rsidR="007C2EAF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 xml:space="preserve">обращения для получения соответствующего письменного </w:t>
      </w:r>
      <w:r w:rsidR="007C2EAF">
        <w:rPr>
          <w:sz w:val="28"/>
          <w:szCs w:val="28"/>
        </w:rPr>
        <w:t xml:space="preserve">         </w:t>
      </w:r>
      <w:r w:rsidRPr="009321F6">
        <w:rPr>
          <w:sz w:val="28"/>
          <w:szCs w:val="28"/>
        </w:rPr>
        <w:t xml:space="preserve">ответа. </w:t>
      </w:r>
    </w:p>
    <w:p w:rsidR="00B63093" w:rsidRPr="009321F6" w:rsidRDefault="00B63093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B63093">
        <w:rPr>
          <w:sz w:val="28"/>
          <w:szCs w:val="28"/>
        </w:rPr>
        <w:t xml:space="preserve">В соответствии с утвержденным Графиком личного приема граждан </w:t>
      </w:r>
      <w:r>
        <w:rPr>
          <w:sz w:val="28"/>
          <w:szCs w:val="28"/>
        </w:rPr>
        <w:t xml:space="preserve">                  </w:t>
      </w:r>
      <w:r w:rsidRPr="00B63093">
        <w:rPr>
          <w:sz w:val="28"/>
          <w:szCs w:val="28"/>
        </w:rPr>
        <w:t xml:space="preserve">заместителями  Министра  и  директорами департаментов Министерства </w:t>
      </w:r>
      <w:r>
        <w:rPr>
          <w:sz w:val="28"/>
          <w:szCs w:val="28"/>
        </w:rPr>
        <w:t xml:space="preserve">                    </w:t>
      </w:r>
      <w:r w:rsidRPr="00B63093">
        <w:rPr>
          <w:sz w:val="28"/>
          <w:szCs w:val="28"/>
        </w:rPr>
        <w:t>(Приказ Минздрава России от 1</w:t>
      </w:r>
      <w:r w:rsidR="00405589">
        <w:rPr>
          <w:sz w:val="28"/>
          <w:szCs w:val="28"/>
        </w:rPr>
        <w:t>1</w:t>
      </w:r>
      <w:r w:rsidRPr="00B63093">
        <w:rPr>
          <w:sz w:val="28"/>
          <w:szCs w:val="28"/>
        </w:rPr>
        <w:t>.</w:t>
      </w:r>
      <w:r w:rsidR="00405589">
        <w:rPr>
          <w:sz w:val="28"/>
          <w:szCs w:val="28"/>
        </w:rPr>
        <w:t>12</w:t>
      </w:r>
      <w:r w:rsidRPr="00B63093">
        <w:rPr>
          <w:sz w:val="28"/>
          <w:szCs w:val="28"/>
        </w:rPr>
        <w:t>.201</w:t>
      </w:r>
      <w:r w:rsidR="00405589">
        <w:rPr>
          <w:sz w:val="28"/>
          <w:szCs w:val="28"/>
        </w:rPr>
        <w:t>3</w:t>
      </w:r>
      <w:r w:rsidRPr="00B63093">
        <w:rPr>
          <w:sz w:val="28"/>
          <w:szCs w:val="28"/>
        </w:rPr>
        <w:t xml:space="preserve"> № </w:t>
      </w:r>
      <w:r w:rsidR="00405589">
        <w:rPr>
          <w:sz w:val="28"/>
          <w:szCs w:val="28"/>
        </w:rPr>
        <w:t>933</w:t>
      </w:r>
      <w:r w:rsidRPr="00B63093">
        <w:rPr>
          <w:sz w:val="28"/>
          <w:szCs w:val="28"/>
        </w:rPr>
        <w:t xml:space="preserve">) за </w:t>
      </w:r>
      <w:r>
        <w:rPr>
          <w:sz w:val="28"/>
          <w:szCs w:val="28"/>
        </w:rPr>
        <w:t>1 квартал</w:t>
      </w:r>
      <w:r w:rsidRPr="00B63093">
        <w:rPr>
          <w:sz w:val="28"/>
          <w:szCs w:val="28"/>
        </w:rPr>
        <w:t xml:space="preserve"> 201</w:t>
      </w:r>
      <w:r w:rsidR="00405589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  <w:r w:rsidRPr="00B63093">
        <w:rPr>
          <w:sz w:val="28"/>
          <w:szCs w:val="28"/>
        </w:rPr>
        <w:t xml:space="preserve">  проведен                        прием </w:t>
      </w:r>
      <w:r w:rsidR="00405589">
        <w:rPr>
          <w:sz w:val="28"/>
          <w:szCs w:val="28"/>
        </w:rPr>
        <w:t xml:space="preserve">26 </w:t>
      </w:r>
      <w:r w:rsidRPr="00B63093">
        <w:rPr>
          <w:sz w:val="28"/>
          <w:szCs w:val="28"/>
        </w:rPr>
        <w:t xml:space="preserve"> граждан.      </w:t>
      </w:r>
    </w:p>
    <w:p w:rsidR="00703F16" w:rsidRDefault="00703F16" w:rsidP="00B63093">
      <w:pPr>
        <w:ind w:firstLine="720"/>
        <w:jc w:val="center"/>
        <w:rPr>
          <w:b/>
          <w:sz w:val="28"/>
          <w:szCs w:val="20"/>
        </w:rPr>
      </w:pPr>
    </w:p>
    <w:p w:rsidR="00B63093" w:rsidRPr="00B63093" w:rsidRDefault="00B63093" w:rsidP="00B63093">
      <w:pPr>
        <w:ind w:firstLine="720"/>
        <w:jc w:val="center"/>
        <w:rPr>
          <w:b/>
          <w:sz w:val="28"/>
          <w:szCs w:val="20"/>
        </w:rPr>
      </w:pPr>
      <w:r w:rsidRPr="00B63093">
        <w:rPr>
          <w:b/>
          <w:sz w:val="28"/>
          <w:szCs w:val="20"/>
        </w:rPr>
        <w:t>Структура личных обращений граждан</w:t>
      </w:r>
    </w:p>
    <w:p w:rsidR="00B63093" w:rsidRPr="00B63093" w:rsidRDefault="00B63093" w:rsidP="00B63093">
      <w:pPr>
        <w:ind w:firstLine="720"/>
        <w:jc w:val="center"/>
        <w:rPr>
          <w:b/>
          <w:sz w:val="28"/>
          <w:szCs w:val="20"/>
        </w:rPr>
      </w:pPr>
      <w:r w:rsidRPr="00B63093">
        <w:rPr>
          <w:b/>
          <w:sz w:val="28"/>
          <w:szCs w:val="20"/>
        </w:rPr>
        <w:t>в Общественную приемную Министерства</w:t>
      </w:r>
    </w:p>
    <w:p w:rsidR="00B63093" w:rsidRPr="00B63093" w:rsidRDefault="00B63093" w:rsidP="00B63093">
      <w:pPr>
        <w:spacing w:line="360" w:lineRule="auto"/>
        <w:ind w:firstLine="567"/>
        <w:jc w:val="both"/>
        <w:rPr>
          <w:sz w:val="28"/>
          <w:szCs w:val="28"/>
        </w:rPr>
      </w:pPr>
      <w:r w:rsidRPr="00B63093">
        <w:rPr>
          <w:sz w:val="28"/>
          <w:szCs w:val="28"/>
        </w:rPr>
        <w:t xml:space="preserve">  </w:t>
      </w:r>
      <w:r w:rsidRPr="00B63093">
        <w:rPr>
          <w:noProof/>
          <w:sz w:val="28"/>
          <w:szCs w:val="28"/>
        </w:rPr>
        <w:drawing>
          <wp:inline distT="0" distB="0" distL="0" distR="0">
            <wp:extent cx="6092190" cy="406146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53923" w:rsidRDefault="00053923" w:rsidP="00807639">
      <w:pPr>
        <w:pStyle w:val="20"/>
        <w:spacing w:line="240" w:lineRule="auto"/>
        <w:jc w:val="center"/>
        <w:rPr>
          <w:b/>
        </w:rPr>
      </w:pPr>
    </w:p>
    <w:p w:rsidR="00F55BAF" w:rsidRPr="0076517F" w:rsidRDefault="00851E9E" w:rsidP="00807639">
      <w:pPr>
        <w:pStyle w:val="20"/>
        <w:spacing w:line="240" w:lineRule="auto"/>
        <w:jc w:val="center"/>
        <w:rPr>
          <w:b/>
        </w:rPr>
      </w:pPr>
      <w:r>
        <w:rPr>
          <w:b/>
        </w:rPr>
        <w:t>С</w:t>
      </w:r>
      <w:r w:rsidR="00DB3C59" w:rsidRPr="0076517F">
        <w:rPr>
          <w:b/>
        </w:rPr>
        <w:t>труктура</w:t>
      </w:r>
      <w:r w:rsidR="000C74CA" w:rsidRPr="000C74CA">
        <w:t xml:space="preserve"> </w:t>
      </w:r>
      <w:r w:rsidR="000C74CA" w:rsidRPr="000C74CA">
        <w:rPr>
          <w:b/>
        </w:rPr>
        <w:t>письменных</w:t>
      </w:r>
      <w:r w:rsidR="00DB3C59" w:rsidRPr="0076517F">
        <w:rPr>
          <w:b/>
        </w:rPr>
        <w:t xml:space="preserve"> </w:t>
      </w:r>
      <w:r w:rsidR="00FA24D3" w:rsidRPr="0076517F">
        <w:rPr>
          <w:b/>
        </w:rPr>
        <w:t>обращений</w:t>
      </w:r>
      <w:r w:rsidR="00DB3C59" w:rsidRPr="0076517F">
        <w:rPr>
          <w:b/>
        </w:rPr>
        <w:t xml:space="preserve"> граждан в разрезе </w:t>
      </w:r>
      <w:r w:rsidR="00FA24D3" w:rsidRPr="0076517F">
        <w:rPr>
          <w:b/>
        </w:rPr>
        <w:t xml:space="preserve">поднимаемых </w:t>
      </w:r>
    </w:p>
    <w:p w:rsidR="000C74CA" w:rsidRDefault="00FA24D3" w:rsidP="000C74CA">
      <w:pPr>
        <w:pStyle w:val="20"/>
        <w:spacing w:line="240" w:lineRule="auto"/>
        <w:jc w:val="center"/>
        <w:rPr>
          <w:b/>
        </w:rPr>
      </w:pPr>
      <w:r w:rsidRPr="0076517F">
        <w:rPr>
          <w:b/>
        </w:rPr>
        <w:t xml:space="preserve">заявителями </w:t>
      </w:r>
      <w:r w:rsidR="00DB3C59" w:rsidRPr="0076517F">
        <w:rPr>
          <w:b/>
        </w:rPr>
        <w:t>вопросов</w:t>
      </w:r>
      <w:r w:rsidR="00DB3C59">
        <w:rPr>
          <w:b/>
        </w:rPr>
        <w:t xml:space="preserve"> </w:t>
      </w:r>
    </w:p>
    <w:p w:rsidR="000C74CA" w:rsidRDefault="000C74CA" w:rsidP="000C74CA">
      <w:pPr>
        <w:pStyle w:val="20"/>
        <w:spacing w:line="240" w:lineRule="auto"/>
        <w:jc w:val="center"/>
        <w:rPr>
          <w:b/>
        </w:rPr>
      </w:pPr>
    </w:p>
    <w:p w:rsidR="000C74CA" w:rsidRPr="00BC567F" w:rsidRDefault="000C74CA" w:rsidP="00703F16">
      <w:pPr>
        <w:pStyle w:val="20"/>
        <w:ind w:firstLine="709"/>
        <w:jc w:val="center"/>
      </w:pPr>
      <w:r w:rsidRPr="00BC567F">
        <w:t>Тематика и количество зарегистрированных в Министерстве обращений граждан за 3 мес. 201</w:t>
      </w:r>
      <w:r w:rsidR="00B2054B">
        <w:t>4</w:t>
      </w:r>
      <w:r w:rsidRPr="00BC567F">
        <w:t xml:space="preserve"> г.  характеризовались следующими данными: </w:t>
      </w:r>
    </w:p>
    <w:p w:rsidR="000C74CA" w:rsidRPr="00BC567F" w:rsidRDefault="000C74CA" w:rsidP="00703F16">
      <w:pPr>
        <w:pStyle w:val="20"/>
        <w:ind w:firstLine="709"/>
      </w:pPr>
      <w:r w:rsidRPr="00BC567F">
        <w:t xml:space="preserve">1. Качество медицинской помощи – </w:t>
      </w:r>
      <w:r w:rsidR="00405589">
        <w:t>8</w:t>
      </w:r>
      <w:r w:rsidR="00053923">
        <w:t>130</w:t>
      </w:r>
      <w:r w:rsidRPr="00BC567F">
        <w:t xml:space="preserve"> обращени</w:t>
      </w:r>
      <w:r w:rsidR="00A9214A">
        <w:t>я</w:t>
      </w:r>
      <w:r w:rsidRPr="00BC567F">
        <w:t xml:space="preserve"> или </w:t>
      </w:r>
      <w:r w:rsidR="00053923">
        <w:t>4</w:t>
      </w:r>
      <w:r w:rsidR="0042061D">
        <w:t>4</w:t>
      </w:r>
      <w:r w:rsidRPr="00BC567F">
        <w:t>,</w:t>
      </w:r>
      <w:r w:rsidR="0042061D">
        <w:t>2</w:t>
      </w:r>
      <w:r w:rsidRPr="00BC567F">
        <w:t xml:space="preserve"> %                                      от общего количества писем граждан.   </w:t>
      </w:r>
    </w:p>
    <w:p w:rsidR="000C74CA" w:rsidRPr="00BC567F" w:rsidRDefault="000C74CA" w:rsidP="00703F16">
      <w:pPr>
        <w:pStyle w:val="20"/>
        <w:ind w:firstLine="709"/>
      </w:pPr>
      <w:r w:rsidRPr="00BC567F">
        <w:t xml:space="preserve">2. Работа учреждений здравоохранения – </w:t>
      </w:r>
      <w:r w:rsidR="00053923">
        <w:t>3793</w:t>
      </w:r>
      <w:r w:rsidRPr="00BC567F">
        <w:t xml:space="preserve"> обращений</w:t>
      </w:r>
      <w:r w:rsidR="0042061D">
        <w:t xml:space="preserve">  </w:t>
      </w:r>
      <w:r w:rsidRPr="00BC567F">
        <w:t xml:space="preserve"> или     </w:t>
      </w:r>
      <w:r w:rsidR="0042061D">
        <w:t>20</w:t>
      </w:r>
      <w:r w:rsidRPr="00BC567F">
        <w:t>,</w:t>
      </w:r>
      <w:r w:rsidR="0042061D">
        <w:t>6</w:t>
      </w:r>
      <w:r w:rsidRPr="00BC567F">
        <w:t xml:space="preserve"> % от общего количества писем граждан. </w:t>
      </w:r>
    </w:p>
    <w:p w:rsidR="000C74CA" w:rsidRPr="00BC567F" w:rsidRDefault="000C74CA" w:rsidP="00703F16">
      <w:pPr>
        <w:pStyle w:val="20"/>
        <w:ind w:firstLine="709"/>
      </w:pPr>
      <w:r w:rsidRPr="00BC567F">
        <w:t xml:space="preserve">3. Лекарственное обеспечение  - </w:t>
      </w:r>
      <w:r w:rsidR="00053923">
        <w:t>1853</w:t>
      </w:r>
      <w:r w:rsidRPr="00BC567F">
        <w:t xml:space="preserve"> обращени</w:t>
      </w:r>
      <w:r w:rsidR="00A9214A">
        <w:t>е</w:t>
      </w:r>
      <w:r w:rsidRPr="00BC567F">
        <w:t xml:space="preserve"> или </w:t>
      </w:r>
      <w:r w:rsidRPr="00E733CB">
        <w:t>1</w:t>
      </w:r>
      <w:r w:rsidR="00053923" w:rsidRPr="00E733CB">
        <w:t>0</w:t>
      </w:r>
      <w:r w:rsidRPr="00E733CB">
        <w:t>,</w:t>
      </w:r>
      <w:r w:rsidR="00053923" w:rsidRPr="00E733CB">
        <w:t>1</w:t>
      </w:r>
      <w:r w:rsidRPr="00BC567F">
        <w:t xml:space="preserve"> % от общего количества писем граждан. </w:t>
      </w:r>
    </w:p>
    <w:p w:rsidR="000C74CA" w:rsidRPr="00BC567F" w:rsidRDefault="000C74CA" w:rsidP="00703F16">
      <w:pPr>
        <w:pStyle w:val="20"/>
        <w:ind w:firstLine="709"/>
      </w:pPr>
      <w:r w:rsidRPr="00BC567F">
        <w:t>4. Заработная плата медицинских работников, кадровое обеспечение учреждений здравоохранения, профессиональная подготовк</w:t>
      </w:r>
      <w:r w:rsidR="00BC567F">
        <w:t>а</w:t>
      </w:r>
      <w:r w:rsidRPr="00BC567F">
        <w:t xml:space="preserve"> медицинских  </w:t>
      </w:r>
      <w:r w:rsidR="00BC567F">
        <w:t xml:space="preserve">                </w:t>
      </w:r>
      <w:r w:rsidRPr="00BC567F">
        <w:t xml:space="preserve">и фармацевтических работников и т.д. – </w:t>
      </w:r>
      <w:r w:rsidR="00BC567F" w:rsidRPr="00BC567F">
        <w:t>1</w:t>
      </w:r>
      <w:r w:rsidR="00053923">
        <w:t>795</w:t>
      </w:r>
      <w:r w:rsidR="00BC567F" w:rsidRPr="00BC567F">
        <w:t xml:space="preserve"> </w:t>
      </w:r>
      <w:r w:rsidRPr="00BC567F">
        <w:t xml:space="preserve"> обращени</w:t>
      </w:r>
      <w:r w:rsidR="00A9214A">
        <w:t>й</w:t>
      </w:r>
      <w:r w:rsidRPr="00BC567F">
        <w:t xml:space="preserve"> или </w:t>
      </w:r>
      <w:r w:rsidR="0042061D">
        <w:t>9</w:t>
      </w:r>
      <w:r w:rsidRPr="00BC567F">
        <w:t>,</w:t>
      </w:r>
      <w:r w:rsidR="0042061D">
        <w:t>8</w:t>
      </w:r>
      <w:r w:rsidRPr="00BC567F">
        <w:t xml:space="preserve"> % от общего количества писем граждан. </w:t>
      </w:r>
    </w:p>
    <w:p w:rsidR="007C2EAF" w:rsidRDefault="000C74CA" w:rsidP="00703F16">
      <w:pPr>
        <w:pStyle w:val="20"/>
        <w:ind w:firstLine="709"/>
        <w:rPr>
          <w:b/>
        </w:rPr>
      </w:pPr>
      <w:r w:rsidRPr="00BC567F">
        <w:t>5. Другие вопросы</w:t>
      </w:r>
      <w:r w:rsidR="00E733CB">
        <w:t xml:space="preserve"> </w:t>
      </w:r>
      <w:r w:rsidRPr="00BC567F">
        <w:t xml:space="preserve">- </w:t>
      </w:r>
      <w:r w:rsidR="0042061D">
        <w:t>2826</w:t>
      </w:r>
      <w:r w:rsidRPr="00BC567F">
        <w:t xml:space="preserve"> обращени</w:t>
      </w:r>
      <w:r w:rsidR="00A9214A">
        <w:t>й</w:t>
      </w:r>
      <w:r w:rsidRPr="00BC567F">
        <w:t xml:space="preserve"> или  </w:t>
      </w:r>
      <w:r w:rsidR="0042061D">
        <w:t>15</w:t>
      </w:r>
      <w:r w:rsidRPr="00BC567F">
        <w:t xml:space="preserve">, </w:t>
      </w:r>
      <w:r w:rsidR="00E733CB">
        <w:t>3</w:t>
      </w:r>
      <w:r w:rsidRPr="00BC567F">
        <w:t xml:space="preserve"> % от общего количества писем</w:t>
      </w:r>
      <w:r w:rsidR="00703F16">
        <w:t> </w:t>
      </w:r>
      <w:r w:rsidRPr="00BC567F">
        <w:t>граждан.</w:t>
      </w:r>
      <w:r w:rsidR="00BC567F">
        <w:rPr>
          <w:noProof/>
        </w:rPr>
        <w:drawing>
          <wp:inline distT="0" distB="0" distL="0" distR="0" wp14:anchorId="25223BBB" wp14:editId="2D5A3872">
            <wp:extent cx="5869173" cy="4178596"/>
            <wp:effectExtent l="0" t="0" r="17780" b="1270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165D" w:rsidRDefault="00AB258E" w:rsidP="002A1BB9">
      <w:pPr>
        <w:pStyle w:val="20"/>
        <w:spacing w:line="240" w:lineRule="auto"/>
        <w:ind w:firstLine="0"/>
        <w:jc w:val="center"/>
        <w:rPr>
          <w:b/>
        </w:rPr>
      </w:pPr>
      <w:r w:rsidRPr="00AB258E">
        <w:rPr>
          <w:b/>
        </w:rPr>
        <w:t xml:space="preserve">Поступление обращений </w:t>
      </w:r>
      <w:r>
        <w:rPr>
          <w:b/>
        </w:rPr>
        <w:t xml:space="preserve">граждан </w:t>
      </w:r>
      <w:r w:rsidRPr="00AB258E">
        <w:rPr>
          <w:b/>
        </w:rPr>
        <w:t xml:space="preserve"> в</w:t>
      </w:r>
    </w:p>
    <w:p w:rsidR="00142A34" w:rsidRDefault="0096165D" w:rsidP="002A1BB9">
      <w:pPr>
        <w:pStyle w:val="2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Министерство </w:t>
      </w:r>
      <w:r w:rsidR="00F807B7">
        <w:rPr>
          <w:b/>
        </w:rPr>
        <w:t>зд</w:t>
      </w:r>
      <w:r w:rsidR="00F807B7" w:rsidRPr="0018186C">
        <w:rPr>
          <w:b/>
        </w:rPr>
        <w:t>равоохранения</w:t>
      </w:r>
      <w:r w:rsidR="00F807B7">
        <w:rPr>
          <w:b/>
        </w:rPr>
        <w:t xml:space="preserve"> </w:t>
      </w:r>
      <w:r>
        <w:rPr>
          <w:b/>
        </w:rPr>
        <w:t>Российской Федерации</w:t>
      </w:r>
    </w:p>
    <w:p w:rsidR="00A52A76" w:rsidRDefault="0096165D" w:rsidP="002A1BB9">
      <w:pPr>
        <w:pStyle w:val="2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  <w:r w:rsidR="00AB258E" w:rsidRPr="00AB258E">
        <w:rPr>
          <w:b/>
        </w:rPr>
        <w:t>из субъектов Росс</w:t>
      </w:r>
      <w:r w:rsidR="00AB258E">
        <w:rPr>
          <w:b/>
        </w:rPr>
        <w:t>ий</w:t>
      </w:r>
      <w:r w:rsidR="00AB258E" w:rsidRPr="00AB258E">
        <w:rPr>
          <w:b/>
        </w:rPr>
        <w:t>ской Фе</w:t>
      </w:r>
      <w:r w:rsidR="00AB258E">
        <w:rPr>
          <w:b/>
        </w:rPr>
        <w:t>д</w:t>
      </w:r>
      <w:r w:rsidR="00AB258E" w:rsidRPr="00AB258E">
        <w:rPr>
          <w:b/>
        </w:rPr>
        <w:t>ерации</w:t>
      </w:r>
    </w:p>
    <w:p w:rsidR="007C2EAF" w:rsidRDefault="007C2EAF" w:rsidP="00703F16">
      <w:pPr>
        <w:pStyle w:val="20"/>
        <w:ind w:firstLine="0"/>
        <w:jc w:val="center"/>
        <w:rPr>
          <w:b/>
        </w:rPr>
      </w:pPr>
    </w:p>
    <w:p w:rsidR="00922B95" w:rsidRPr="009321F6" w:rsidRDefault="009321F6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9321F6">
        <w:rPr>
          <w:sz w:val="28"/>
          <w:szCs w:val="28"/>
        </w:rPr>
        <w:t xml:space="preserve">Ежеквартально </w:t>
      </w:r>
      <w:r w:rsidR="00922B95" w:rsidRPr="009321F6">
        <w:rPr>
          <w:sz w:val="28"/>
          <w:szCs w:val="28"/>
        </w:rPr>
        <w:t>Мин</w:t>
      </w:r>
      <w:r w:rsidRPr="009321F6">
        <w:rPr>
          <w:sz w:val="28"/>
          <w:szCs w:val="28"/>
        </w:rPr>
        <w:t xml:space="preserve">истерством здравоохранения </w:t>
      </w:r>
      <w:r w:rsidR="00922B95" w:rsidRPr="009321F6">
        <w:rPr>
          <w:sz w:val="28"/>
          <w:szCs w:val="28"/>
        </w:rPr>
        <w:t>Росси</w:t>
      </w:r>
      <w:r w:rsidRPr="009321F6">
        <w:rPr>
          <w:sz w:val="28"/>
          <w:szCs w:val="28"/>
        </w:rPr>
        <w:t xml:space="preserve">йской Федерации </w:t>
      </w:r>
      <w:r w:rsidR="00922B95" w:rsidRPr="009321F6">
        <w:rPr>
          <w:sz w:val="28"/>
          <w:szCs w:val="28"/>
        </w:rPr>
        <w:t xml:space="preserve">проводится анализ поступления обращений граждан в разрезе </w:t>
      </w:r>
      <w:r w:rsidR="00142A34">
        <w:rPr>
          <w:sz w:val="28"/>
          <w:szCs w:val="28"/>
        </w:rPr>
        <w:t xml:space="preserve">                                 </w:t>
      </w:r>
      <w:r w:rsidR="00922B95" w:rsidRPr="009321F6">
        <w:rPr>
          <w:sz w:val="28"/>
          <w:szCs w:val="28"/>
        </w:rPr>
        <w:t xml:space="preserve">субъектов Российской Федерации. </w:t>
      </w:r>
      <w:r w:rsidR="00142A34">
        <w:rPr>
          <w:sz w:val="28"/>
          <w:szCs w:val="28"/>
        </w:rPr>
        <w:t xml:space="preserve">За отчетный период </w:t>
      </w:r>
      <w:r w:rsidR="00922B95" w:rsidRPr="009321F6">
        <w:rPr>
          <w:sz w:val="28"/>
          <w:szCs w:val="28"/>
        </w:rPr>
        <w:t xml:space="preserve"> наибольшее </w:t>
      </w:r>
      <w:r w:rsidR="00807639">
        <w:rPr>
          <w:sz w:val="28"/>
          <w:szCs w:val="28"/>
        </w:rPr>
        <w:t xml:space="preserve">       </w:t>
      </w:r>
      <w:r w:rsidR="00142A34">
        <w:rPr>
          <w:sz w:val="28"/>
          <w:szCs w:val="28"/>
        </w:rPr>
        <w:t xml:space="preserve">               </w:t>
      </w:r>
      <w:r w:rsidR="00807639">
        <w:rPr>
          <w:sz w:val="28"/>
          <w:szCs w:val="28"/>
        </w:rPr>
        <w:t xml:space="preserve"> </w:t>
      </w:r>
      <w:r w:rsidR="00922B95" w:rsidRPr="009321F6">
        <w:rPr>
          <w:sz w:val="28"/>
          <w:szCs w:val="28"/>
        </w:rPr>
        <w:t>количество обращений поступило из следующих регионов</w:t>
      </w:r>
      <w:r w:rsidR="00142A34">
        <w:rPr>
          <w:sz w:val="28"/>
          <w:szCs w:val="28"/>
        </w:rPr>
        <w:t xml:space="preserve">                                     </w:t>
      </w:r>
      <w:r w:rsidR="00922B95" w:rsidRPr="009321F6">
        <w:rPr>
          <w:sz w:val="28"/>
          <w:szCs w:val="28"/>
        </w:rPr>
        <w:t xml:space="preserve"> (показатель-количество обращений на 100 тыс. населения региона):</w:t>
      </w:r>
    </w:p>
    <w:p w:rsidR="00922B95" w:rsidRPr="009321F6" w:rsidRDefault="00B2054B" w:rsidP="00703F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2B95" w:rsidRPr="009321F6">
        <w:rPr>
          <w:sz w:val="28"/>
          <w:szCs w:val="28"/>
        </w:rPr>
        <w:t xml:space="preserve">. Москва- </w:t>
      </w:r>
      <w:r>
        <w:rPr>
          <w:sz w:val="28"/>
          <w:szCs w:val="28"/>
        </w:rPr>
        <w:t>36,05</w:t>
      </w:r>
      <w:r w:rsidR="00922B95" w:rsidRPr="009321F6">
        <w:rPr>
          <w:sz w:val="28"/>
          <w:szCs w:val="28"/>
        </w:rPr>
        <w:t>;</w:t>
      </w:r>
    </w:p>
    <w:p w:rsidR="00922B95" w:rsidRPr="009321F6" w:rsidRDefault="00B2054B" w:rsidP="00703F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2B95" w:rsidRPr="009321F6">
        <w:rPr>
          <w:sz w:val="28"/>
          <w:szCs w:val="28"/>
        </w:rPr>
        <w:t>. Московская область-</w:t>
      </w:r>
      <w:r>
        <w:rPr>
          <w:sz w:val="28"/>
          <w:szCs w:val="28"/>
        </w:rPr>
        <w:t>23</w:t>
      </w:r>
      <w:r w:rsidR="009321F6" w:rsidRPr="009321F6">
        <w:rPr>
          <w:sz w:val="28"/>
          <w:szCs w:val="28"/>
        </w:rPr>
        <w:t>,</w:t>
      </w:r>
      <w:r>
        <w:rPr>
          <w:sz w:val="28"/>
          <w:szCs w:val="28"/>
        </w:rPr>
        <w:t>18</w:t>
      </w:r>
      <w:r w:rsidR="00922B95" w:rsidRPr="009321F6">
        <w:rPr>
          <w:sz w:val="28"/>
          <w:szCs w:val="28"/>
        </w:rPr>
        <w:t>;</w:t>
      </w:r>
    </w:p>
    <w:p w:rsidR="00922B95" w:rsidRDefault="00B2054B" w:rsidP="00703F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2B95" w:rsidRPr="009321F6">
        <w:rPr>
          <w:sz w:val="28"/>
          <w:szCs w:val="28"/>
        </w:rPr>
        <w:t xml:space="preserve">. </w:t>
      </w:r>
      <w:r>
        <w:rPr>
          <w:sz w:val="28"/>
          <w:szCs w:val="28"/>
        </w:rPr>
        <w:t>Мурманская</w:t>
      </w:r>
      <w:r w:rsidR="00F13B48" w:rsidRPr="00F13B48">
        <w:rPr>
          <w:sz w:val="28"/>
          <w:szCs w:val="28"/>
        </w:rPr>
        <w:t xml:space="preserve"> область-1</w:t>
      </w:r>
      <w:r>
        <w:rPr>
          <w:sz w:val="28"/>
          <w:szCs w:val="28"/>
        </w:rPr>
        <w:t>6</w:t>
      </w:r>
      <w:r w:rsidR="00F13B48" w:rsidRPr="00F13B48">
        <w:rPr>
          <w:sz w:val="28"/>
          <w:szCs w:val="28"/>
        </w:rPr>
        <w:t>,</w:t>
      </w:r>
      <w:r>
        <w:rPr>
          <w:sz w:val="28"/>
          <w:szCs w:val="28"/>
        </w:rPr>
        <w:t>50;</w:t>
      </w:r>
    </w:p>
    <w:p w:rsidR="00F13B48" w:rsidRDefault="00B2054B" w:rsidP="00703F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3B48">
        <w:rPr>
          <w:sz w:val="28"/>
          <w:szCs w:val="28"/>
        </w:rPr>
        <w:t xml:space="preserve">. </w:t>
      </w:r>
      <w:r>
        <w:rPr>
          <w:sz w:val="28"/>
          <w:szCs w:val="28"/>
        </w:rPr>
        <w:t>Калининградская</w:t>
      </w:r>
      <w:r w:rsidR="00F13B48">
        <w:rPr>
          <w:sz w:val="28"/>
          <w:szCs w:val="28"/>
        </w:rPr>
        <w:t xml:space="preserve"> область-</w:t>
      </w:r>
      <w:r>
        <w:rPr>
          <w:sz w:val="28"/>
          <w:szCs w:val="28"/>
        </w:rPr>
        <w:t>14</w:t>
      </w:r>
      <w:r w:rsidR="00F13B48">
        <w:rPr>
          <w:sz w:val="28"/>
          <w:szCs w:val="28"/>
        </w:rPr>
        <w:t>,</w:t>
      </w:r>
      <w:r>
        <w:rPr>
          <w:sz w:val="28"/>
          <w:szCs w:val="28"/>
        </w:rPr>
        <w:t>51;</w:t>
      </w:r>
    </w:p>
    <w:p w:rsidR="00B2054B" w:rsidRDefault="00B2054B" w:rsidP="00703F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Магаданская область – 14,11.</w:t>
      </w:r>
    </w:p>
    <w:p w:rsidR="00B21808" w:rsidRPr="00AB258E" w:rsidRDefault="0080490E" w:rsidP="00FB5556">
      <w:pPr>
        <w:pStyle w:val="20"/>
        <w:ind w:hanging="567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71191" cy="4178595"/>
            <wp:effectExtent l="0" t="0" r="635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51305" w:rsidRDefault="00517AD7" w:rsidP="0042106B">
      <w:pPr>
        <w:pStyle w:val="20"/>
        <w:spacing w:line="240" w:lineRule="auto"/>
        <w:jc w:val="center"/>
      </w:pPr>
      <w:r w:rsidRPr="00815083">
        <w:t xml:space="preserve"> </w:t>
      </w:r>
    </w:p>
    <w:p w:rsidR="00E51305" w:rsidRDefault="00E51305" w:rsidP="0042106B">
      <w:pPr>
        <w:pStyle w:val="20"/>
        <w:spacing w:line="240" w:lineRule="auto"/>
        <w:jc w:val="center"/>
      </w:pPr>
    </w:p>
    <w:p w:rsidR="00E51305" w:rsidRDefault="00E51305" w:rsidP="0042106B">
      <w:pPr>
        <w:pStyle w:val="20"/>
        <w:spacing w:line="240" w:lineRule="auto"/>
        <w:jc w:val="center"/>
      </w:pPr>
    </w:p>
    <w:p w:rsidR="00E51305" w:rsidRDefault="00E51305" w:rsidP="0042106B">
      <w:pPr>
        <w:pStyle w:val="20"/>
        <w:spacing w:line="240" w:lineRule="auto"/>
        <w:jc w:val="center"/>
      </w:pPr>
    </w:p>
    <w:p w:rsidR="00E51305" w:rsidRDefault="00E51305" w:rsidP="0042106B">
      <w:pPr>
        <w:pStyle w:val="20"/>
        <w:spacing w:line="240" w:lineRule="auto"/>
        <w:jc w:val="center"/>
      </w:pPr>
    </w:p>
    <w:p w:rsidR="0042106B" w:rsidRDefault="0042106B" w:rsidP="0042106B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Принятые решения по итогам рассмотрения обращений </w:t>
      </w:r>
      <w:r w:rsidRPr="0076517F">
        <w:rPr>
          <w:b/>
        </w:rPr>
        <w:t xml:space="preserve"> граждан </w:t>
      </w:r>
    </w:p>
    <w:p w:rsidR="0042106B" w:rsidRDefault="0042106B" w:rsidP="0042106B">
      <w:pPr>
        <w:pStyle w:val="20"/>
        <w:spacing w:line="240" w:lineRule="auto"/>
        <w:rPr>
          <w:b/>
        </w:rPr>
      </w:pPr>
    </w:p>
    <w:p w:rsidR="0042106B" w:rsidRDefault="0042106B" w:rsidP="0042106B">
      <w:pPr>
        <w:pStyle w:val="20"/>
        <w:spacing w:line="240" w:lineRule="auto"/>
        <w:rPr>
          <w:szCs w:val="28"/>
        </w:rPr>
      </w:pPr>
      <w:r>
        <w:rPr>
          <w:szCs w:val="28"/>
        </w:rPr>
        <w:t>В</w:t>
      </w:r>
      <w:r w:rsidR="00E51305">
        <w:rPr>
          <w:szCs w:val="28"/>
        </w:rPr>
        <w:t xml:space="preserve"> </w:t>
      </w:r>
      <w:r>
        <w:rPr>
          <w:szCs w:val="28"/>
        </w:rPr>
        <w:t>1</w:t>
      </w:r>
      <w:r w:rsidR="00E51305">
        <w:rPr>
          <w:szCs w:val="28"/>
        </w:rPr>
        <w:t xml:space="preserve"> </w:t>
      </w:r>
      <w:r>
        <w:rPr>
          <w:szCs w:val="28"/>
        </w:rPr>
        <w:t>квартале</w:t>
      </w:r>
      <w:r w:rsidR="00E51305">
        <w:rPr>
          <w:szCs w:val="28"/>
        </w:rPr>
        <w:t xml:space="preserve"> </w:t>
      </w:r>
      <w:r>
        <w:rPr>
          <w:szCs w:val="28"/>
        </w:rPr>
        <w:t>201</w:t>
      </w:r>
      <w:r w:rsidR="00E51305">
        <w:rPr>
          <w:szCs w:val="28"/>
        </w:rPr>
        <w:t xml:space="preserve">4 </w:t>
      </w:r>
      <w:r>
        <w:rPr>
          <w:szCs w:val="28"/>
        </w:rPr>
        <w:t>года</w:t>
      </w:r>
      <w:r w:rsidR="00E51305">
        <w:rPr>
          <w:szCs w:val="28"/>
        </w:rPr>
        <w:t xml:space="preserve"> </w:t>
      </w:r>
      <w:r>
        <w:rPr>
          <w:szCs w:val="28"/>
        </w:rPr>
        <w:t>по</w:t>
      </w:r>
      <w:r w:rsidR="00E51305">
        <w:rPr>
          <w:szCs w:val="28"/>
        </w:rPr>
        <w:t xml:space="preserve"> </w:t>
      </w:r>
      <w:r>
        <w:rPr>
          <w:szCs w:val="28"/>
        </w:rPr>
        <w:t>итогам</w:t>
      </w:r>
      <w:r w:rsidR="00E51305">
        <w:rPr>
          <w:szCs w:val="28"/>
        </w:rPr>
        <w:t xml:space="preserve"> </w:t>
      </w:r>
      <w:r>
        <w:rPr>
          <w:szCs w:val="28"/>
        </w:rPr>
        <w:t>рассмотрения</w:t>
      </w:r>
      <w:r w:rsidR="00E51305">
        <w:rPr>
          <w:szCs w:val="28"/>
        </w:rPr>
        <w:t xml:space="preserve"> </w:t>
      </w:r>
      <w:r>
        <w:rPr>
          <w:szCs w:val="28"/>
        </w:rPr>
        <w:t xml:space="preserve">поступивших </w:t>
      </w:r>
      <w:r w:rsidR="00E51305">
        <w:rPr>
          <w:szCs w:val="28"/>
        </w:rPr>
        <w:t xml:space="preserve">                            в Министерство </w:t>
      </w:r>
      <w:r>
        <w:rPr>
          <w:szCs w:val="28"/>
        </w:rPr>
        <w:t>обращений граждан приняты следующие решения:</w:t>
      </w:r>
    </w:p>
    <w:p w:rsidR="004D3C67" w:rsidRDefault="00365481" w:rsidP="0042106B">
      <w:pPr>
        <w:pStyle w:val="20"/>
        <w:spacing w:line="240" w:lineRule="auto"/>
        <w:rPr>
          <w:szCs w:val="28"/>
        </w:rPr>
      </w:pPr>
      <w:r>
        <w:rPr>
          <w:szCs w:val="28"/>
        </w:rPr>
        <w:t xml:space="preserve">-  </w:t>
      </w:r>
      <w:r w:rsidR="004D3C67">
        <w:rPr>
          <w:szCs w:val="28"/>
        </w:rPr>
        <w:t>«</w:t>
      </w:r>
      <w:r w:rsidR="00E51305">
        <w:rPr>
          <w:szCs w:val="28"/>
        </w:rPr>
        <w:t xml:space="preserve">Поддержано. </w:t>
      </w:r>
      <w:r w:rsidR="004D3C67">
        <w:rPr>
          <w:szCs w:val="28"/>
        </w:rPr>
        <w:t xml:space="preserve">Меры приняты» по </w:t>
      </w:r>
      <w:r>
        <w:rPr>
          <w:szCs w:val="28"/>
        </w:rPr>
        <w:t xml:space="preserve"> 243 обращения</w:t>
      </w:r>
      <w:r w:rsidR="004D3C67">
        <w:rPr>
          <w:szCs w:val="28"/>
        </w:rPr>
        <w:t>м;</w:t>
      </w:r>
    </w:p>
    <w:p w:rsidR="004D3C67" w:rsidRDefault="0042106B" w:rsidP="0042106B">
      <w:pPr>
        <w:pStyle w:val="20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4D3C67">
        <w:rPr>
          <w:szCs w:val="28"/>
        </w:rPr>
        <w:t xml:space="preserve">«Даны разъяснения» на поставленные </w:t>
      </w:r>
      <w:r w:rsidR="00E51305">
        <w:rPr>
          <w:szCs w:val="28"/>
        </w:rPr>
        <w:t xml:space="preserve">вопросы </w:t>
      </w:r>
      <w:r w:rsidR="004D3C67">
        <w:rPr>
          <w:szCs w:val="28"/>
        </w:rPr>
        <w:t>в 756</w:t>
      </w:r>
      <w:r w:rsidR="00D95B00">
        <w:rPr>
          <w:szCs w:val="28"/>
        </w:rPr>
        <w:t>7</w:t>
      </w:r>
      <w:r w:rsidR="004D3C67">
        <w:rPr>
          <w:szCs w:val="28"/>
        </w:rPr>
        <w:t xml:space="preserve"> обращениях;</w:t>
      </w:r>
    </w:p>
    <w:p w:rsidR="0042106B" w:rsidRDefault="0042106B" w:rsidP="0042106B">
      <w:pPr>
        <w:pStyle w:val="20"/>
        <w:spacing w:line="240" w:lineRule="auto"/>
        <w:rPr>
          <w:szCs w:val="28"/>
        </w:rPr>
      </w:pPr>
      <w:r>
        <w:rPr>
          <w:szCs w:val="28"/>
        </w:rPr>
        <w:t>-</w:t>
      </w:r>
      <w:r w:rsidR="004D3C67">
        <w:rPr>
          <w:szCs w:val="28"/>
        </w:rPr>
        <w:t xml:space="preserve"> «Направлены для рассмотрения по принадлежности»                            </w:t>
      </w:r>
      <w:r>
        <w:rPr>
          <w:szCs w:val="28"/>
        </w:rPr>
        <w:t xml:space="preserve">4045 обращений </w:t>
      </w:r>
      <w:r w:rsidR="003C72D6">
        <w:rPr>
          <w:szCs w:val="28"/>
        </w:rPr>
        <w:t>в другие органы исполнительной власти</w:t>
      </w:r>
      <w:r w:rsidR="004D3C67">
        <w:rPr>
          <w:szCs w:val="28"/>
        </w:rPr>
        <w:t xml:space="preserve">                                                  Российской  Федерации</w:t>
      </w:r>
      <w:r w:rsidR="003C72D6">
        <w:rPr>
          <w:szCs w:val="28"/>
        </w:rPr>
        <w:t>;</w:t>
      </w:r>
    </w:p>
    <w:p w:rsidR="003C72D6" w:rsidRDefault="003C72D6" w:rsidP="0042106B">
      <w:pPr>
        <w:pStyle w:val="20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4D3C67">
        <w:rPr>
          <w:szCs w:val="28"/>
        </w:rPr>
        <w:t xml:space="preserve">«Направлены по компетенции  в органы  управления здравоохранением субъектов Российской Федерации»  </w:t>
      </w:r>
      <w:r>
        <w:rPr>
          <w:szCs w:val="28"/>
        </w:rPr>
        <w:t xml:space="preserve">5326 обращений граждан для рассмотрения и направления ответа заявителям,  из них </w:t>
      </w:r>
      <w:r w:rsidR="00E51305">
        <w:rPr>
          <w:szCs w:val="28"/>
        </w:rPr>
        <w:t xml:space="preserve">37,9% </w:t>
      </w:r>
      <w:r>
        <w:rPr>
          <w:szCs w:val="28"/>
        </w:rPr>
        <w:t>взяты  на контроль</w:t>
      </w:r>
      <w:r w:rsidR="00E51305">
        <w:rPr>
          <w:szCs w:val="28"/>
        </w:rPr>
        <w:t xml:space="preserve">                                 </w:t>
      </w:r>
      <w:r>
        <w:rPr>
          <w:szCs w:val="28"/>
        </w:rPr>
        <w:t xml:space="preserve"> Министерством;</w:t>
      </w:r>
    </w:p>
    <w:p w:rsidR="003C72D6" w:rsidRDefault="003C72D6" w:rsidP="0042106B">
      <w:pPr>
        <w:pStyle w:val="20"/>
        <w:spacing w:line="240" w:lineRule="auto"/>
        <w:rPr>
          <w:szCs w:val="28"/>
        </w:rPr>
      </w:pPr>
      <w:r>
        <w:rPr>
          <w:szCs w:val="28"/>
        </w:rPr>
        <w:t>-</w:t>
      </w:r>
      <w:r w:rsidR="004D3C67">
        <w:rPr>
          <w:szCs w:val="28"/>
        </w:rPr>
        <w:t xml:space="preserve"> «Направлены в подведомственные Министерству  федеральные                     учреждения и  органы исполнительной власти Российской Федерации»                         </w:t>
      </w:r>
      <w:r>
        <w:rPr>
          <w:szCs w:val="28"/>
        </w:rPr>
        <w:t>496</w:t>
      </w:r>
      <w:r w:rsidR="004D3C67">
        <w:rPr>
          <w:szCs w:val="28"/>
        </w:rPr>
        <w:t> обращений для рассмотрения и при подтверждении                                              указанных заявителями сведений, принятия мер;</w:t>
      </w:r>
    </w:p>
    <w:p w:rsidR="00E51305" w:rsidRPr="0042106B" w:rsidRDefault="00E51305" w:rsidP="0042106B">
      <w:pPr>
        <w:pStyle w:val="20"/>
        <w:spacing w:line="240" w:lineRule="auto"/>
        <w:rPr>
          <w:szCs w:val="28"/>
        </w:rPr>
      </w:pPr>
      <w:r>
        <w:rPr>
          <w:szCs w:val="28"/>
        </w:rPr>
        <w:t>-</w:t>
      </w:r>
      <w:r w:rsidR="00D95B00">
        <w:rPr>
          <w:szCs w:val="28"/>
        </w:rPr>
        <w:t> </w:t>
      </w:r>
      <w:bookmarkStart w:id="0" w:name="_GoBack"/>
      <w:bookmarkEnd w:id="0"/>
      <w:r>
        <w:rPr>
          <w:szCs w:val="28"/>
        </w:rPr>
        <w:t>«Находятся на рассмотрении» (на конец отчетного периода)                                     720 обращений.</w:t>
      </w:r>
    </w:p>
    <w:p w:rsidR="00703F16" w:rsidRDefault="00517AD7" w:rsidP="002A1BB9">
      <w:pPr>
        <w:ind w:firstLine="567"/>
        <w:jc w:val="both"/>
        <w:rPr>
          <w:szCs w:val="20"/>
        </w:rPr>
      </w:pPr>
      <w:r w:rsidRPr="00815083">
        <w:rPr>
          <w:szCs w:val="20"/>
        </w:rPr>
        <w:t xml:space="preserve">        </w:t>
      </w:r>
    </w:p>
    <w:p w:rsidR="00703F16" w:rsidRPr="0042106B" w:rsidRDefault="00703F16" w:rsidP="002A1BB9">
      <w:pPr>
        <w:ind w:firstLine="567"/>
        <w:jc w:val="both"/>
        <w:rPr>
          <w:szCs w:val="20"/>
        </w:rPr>
      </w:pPr>
    </w:p>
    <w:sectPr w:rsidR="00703F16" w:rsidRPr="0042106B" w:rsidSect="00B63093">
      <w:headerReference w:type="even" r:id="rId13"/>
      <w:headerReference w:type="default" r:id="rId14"/>
      <w:pgSz w:w="11907" w:h="16840" w:code="9"/>
      <w:pgMar w:top="851" w:right="850" w:bottom="1134" w:left="1418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FE" w:rsidRDefault="00413DFE">
      <w:r>
        <w:separator/>
      </w:r>
    </w:p>
  </w:endnote>
  <w:endnote w:type="continuationSeparator" w:id="0">
    <w:p w:rsidR="00413DFE" w:rsidRDefault="0041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FE" w:rsidRDefault="00413DFE">
      <w:r>
        <w:separator/>
      </w:r>
    </w:p>
  </w:footnote>
  <w:footnote w:type="continuationSeparator" w:id="0">
    <w:p w:rsidR="00413DFE" w:rsidRDefault="00413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B8" w:rsidRDefault="00B62EB8" w:rsidP="009304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2EB8" w:rsidRDefault="00B62E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B8" w:rsidRDefault="00A24E84" w:rsidP="0054305B">
    <w:pPr>
      <w:pStyle w:val="a6"/>
      <w:rPr>
        <w:rStyle w:val="a7"/>
      </w:rPr>
    </w:pPr>
    <w:r>
      <w:rPr>
        <w:rStyle w:val="a7"/>
      </w:rPr>
      <w:t xml:space="preserve">                                                                             </w:t>
    </w:r>
    <w:r w:rsidR="00B62EB8"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 w:rsidR="00B62EB8">
      <w:rPr>
        <w:rStyle w:val="a7"/>
      </w:rPr>
      <w:fldChar w:fldCharType="separate"/>
    </w:r>
    <w:r w:rsidR="00D95B00">
      <w:rPr>
        <w:rStyle w:val="a7"/>
        <w:noProof/>
      </w:rPr>
      <w:t>6</w:t>
    </w:r>
    <w:r w:rsidR="00B62EB8">
      <w:rPr>
        <w:rStyle w:val="a7"/>
      </w:rPr>
      <w:fldChar w:fldCharType="end"/>
    </w:r>
  </w:p>
  <w:p w:rsidR="00B62EB8" w:rsidRDefault="0054305B" w:rsidP="009F0B9F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63F0"/>
    <w:multiLevelType w:val="hybridMultilevel"/>
    <w:tmpl w:val="678E385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3BCB0CAF"/>
    <w:multiLevelType w:val="hybridMultilevel"/>
    <w:tmpl w:val="94BEB42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66A1728D"/>
    <w:multiLevelType w:val="hybridMultilevel"/>
    <w:tmpl w:val="997EE8D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6D0F1824"/>
    <w:multiLevelType w:val="hybridMultilevel"/>
    <w:tmpl w:val="BE4CE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5B275F"/>
    <w:multiLevelType w:val="hybridMultilevel"/>
    <w:tmpl w:val="B9C674A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77FB28AC"/>
    <w:multiLevelType w:val="hybridMultilevel"/>
    <w:tmpl w:val="0AE43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91"/>
    <w:rsid w:val="0000231D"/>
    <w:rsid w:val="00003E74"/>
    <w:rsid w:val="00004EA8"/>
    <w:rsid w:val="000059E6"/>
    <w:rsid w:val="0000622F"/>
    <w:rsid w:val="0000687D"/>
    <w:rsid w:val="000071C0"/>
    <w:rsid w:val="00007C27"/>
    <w:rsid w:val="000100E9"/>
    <w:rsid w:val="00010BD9"/>
    <w:rsid w:val="00010CB4"/>
    <w:rsid w:val="0001415B"/>
    <w:rsid w:val="000233EA"/>
    <w:rsid w:val="00023536"/>
    <w:rsid w:val="0002645A"/>
    <w:rsid w:val="00027BC5"/>
    <w:rsid w:val="00030F05"/>
    <w:rsid w:val="00031F02"/>
    <w:rsid w:val="0003217A"/>
    <w:rsid w:val="00032742"/>
    <w:rsid w:val="00032A5F"/>
    <w:rsid w:val="000333CC"/>
    <w:rsid w:val="00041004"/>
    <w:rsid w:val="000434A8"/>
    <w:rsid w:val="00046F92"/>
    <w:rsid w:val="000477AA"/>
    <w:rsid w:val="000507A2"/>
    <w:rsid w:val="00051243"/>
    <w:rsid w:val="00053923"/>
    <w:rsid w:val="000541FE"/>
    <w:rsid w:val="00054FF1"/>
    <w:rsid w:val="00056439"/>
    <w:rsid w:val="00061498"/>
    <w:rsid w:val="000621E6"/>
    <w:rsid w:val="00062615"/>
    <w:rsid w:val="0006302B"/>
    <w:rsid w:val="00063637"/>
    <w:rsid w:val="0006679B"/>
    <w:rsid w:val="00073D9B"/>
    <w:rsid w:val="00074B2B"/>
    <w:rsid w:val="00075810"/>
    <w:rsid w:val="00075B6B"/>
    <w:rsid w:val="0007712C"/>
    <w:rsid w:val="00077E26"/>
    <w:rsid w:val="000804A9"/>
    <w:rsid w:val="000817BD"/>
    <w:rsid w:val="00082A3E"/>
    <w:rsid w:val="00084348"/>
    <w:rsid w:val="00086C4B"/>
    <w:rsid w:val="00093419"/>
    <w:rsid w:val="00093BB5"/>
    <w:rsid w:val="00094BE4"/>
    <w:rsid w:val="000A0876"/>
    <w:rsid w:val="000A32E2"/>
    <w:rsid w:val="000A33E4"/>
    <w:rsid w:val="000A5C0D"/>
    <w:rsid w:val="000A688D"/>
    <w:rsid w:val="000A6C53"/>
    <w:rsid w:val="000A6DDC"/>
    <w:rsid w:val="000B216E"/>
    <w:rsid w:val="000B2648"/>
    <w:rsid w:val="000B4400"/>
    <w:rsid w:val="000B7F67"/>
    <w:rsid w:val="000C74CA"/>
    <w:rsid w:val="000D0C83"/>
    <w:rsid w:val="000D147E"/>
    <w:rsid w:val="000D1F76"/>
    <w:rsid w:val="000D429B"/>
    <w:rsid w:val="000D4D79"/>
    <w:rsid w:val="000D6668"/>
    <w:rsid w:val="000D7B0B"/>
    <w:rsid w:val="000E37F9"/>
    <w:rsid w:val="000E405B"/>
    <w:rsid w:val="000E42D7"/>
    <w:rsid w:val="000E7D86"/>
    <w:rsid w:val="000F1AA0"/>
    <w:rsid w:val="000F324A"/>
    <w:rsid w:val="000F3324"/>
    <w:rsid w:val="000F3C9C"/>
    <w:rsid w:val="000F3EF9"/>
    <w:rsid w:val="0010021B"/>
    <w:rsid w:val="00100623"/>
    <w:rsid w:val="00101DE5"/>
    <w:rsid w:val="001038E8"/>
    <w:rsid w:val="0011426C"/>
    <w:rsid w:val="0011493E"/>
    <w:rsid w:val="0011595C"/>
    <w:rsid w:val="00117C01"/>
    <w:rsid w:val="00117E76"/>
    <w:rsid w:val="0012220C"/>
    <w:rsid w:val="001235E9"/>
    <w:rsid w:val="00124D18"/>
    <w:rsid w:val="001253D6"/>
    <w:rsid w:val="00127897"/>
    <w:rsid w:val="00127F5B"/>
    <w:rsid w:val="001311DC"/>
    <w:rsid w:val="00133732"/>
    <w:rsid w:val="00134C47"/>
    <w:rsid w:val="00135C25"/>
    <w:rsid w:val="00137E89"/>
    <w:rsid w:val="00142328"/>
    <w:rsid w:val="00142A34"/>
    <w:rsid w:val="001462E2"/>
    <w:rsid w:val="001474A1"/>
    <w:rsid w:val="001523D0"/>
    <w:rsid w:val="00152BD5"/>
    <w:rsid w:val="001548BB"/>
    <w:rsid w:val="00154A26"/>
    <w:rsid w:val="00157D89"/>
    <w:rsid w:val="00160726"/>
    <w:rsid w:val="001635AF"/>
    <w:rsid w:val="0016732C"/>
    <w:rsid w:val="00170BEB"/>
    <w:rsid w:val="0017150E"/>
    <w:rsid w:val="00172EC9"/>
    <w:rsid w:val="001762AA"/>
    <w:rsid w:val="00176F39"/>
    <w:rsid w:val="001778D9"/>
    <w:rsid w:val="001806A5"/>
    <w:rsid w:val="001811B2"/>
    <w:rsid w:val="0018124F"/>
    <w:rsid w:val="0018186C"/>
    <w:rsid w:val="00182565"/>
    <w:rsid w:val="00182C0B"/>
    <w:rsid w:val="00182D57"/>
    <w:rsid w:val="00183402"/>
    <w:rsid w:val="0018708C"/>
    <w:rsid w:val="001873F8"/>
    <w:rsid w:val="0019100F"/>
    <w:rsid w:val="00193E14"/>
    <w:rsid w:val="00196126"/>
    <w:rsid w:val="001961E7"/>
    <w:rsid w:val="001A1D57"/>
    <w:rsid w:val="001A2286"/>
    <w:rsid w:val="001A4226"/>
    <w:rsid w:val="001A6FFD"/>
    <w:rsid w:val="001A7589"/>
    <w:rsid w:val="001B10BC"/>
    <w:rsid w:val="001B2299"/>
    <w:rsid w:val="001B5D70"/>
    <w:rsid w:val="001B791A"/>
    <w:rsid w:val="001C6EC2"/>
    <w:rsid w:val="001C6FD8"/>
    <w:rsid w:val="001D0DAE"/>
    <w:rsid w:val="001D2C4B"/>
    <w:rsid w:val="001E1CD4"/>
    <w:rsid w:val="001E2B3E"/>
    <w:rsid w:val="001E4D8B"/>
    <w:rsid w:val="001E5732"/>
    <w:rsid w:val="001E6C58"/>
    <w:rsid w:val="001E7B5C"/>
    <w:rsid w:val="001F0F40"/>
    <w:rsid w:val="001F4FFE"/>
    <w:rsid w:val="001F5C5C"/>
    <w:rsid w:val="001F688E"/>
    <w:rsid w:val="001F7632"/>
    <w:rsid w:val="001F7CEB"/>
    <w:rsid w:val="0020027D"/>
    <w:rsid w:val="0020034B"/>
    <w:rsid w:val="002019A4"/>
    <w:rsid w:val="00202420"/>
    <w:rsid w:val="0020326C"/>
    <w:rsid w:val="00205123"/>
    <w:rsid w:val="002077CB"/>
    <w:rsid w:val="00210FAC"/>
    <w:rsid w:val="00212D0C"/>
    <w:rsid w:val="00216D0D"/>
    <w:rsid w:val="00217774"/>
    <w:rsid w:val="0022154B"/>
    <w:rsid w:val="00226188"/>
    <w:rsid w:val="00230E0A"/>
    <w:rsid w:val="00231922"/>
    <w:rsid w:val="002320A5"/>
    <w:rsid w:val="002338B2"/>
    <w:rsid w:val="00234933"/>
    <w:rsid w:val="00235F61"/>
    <w:rsid w:val="002400CC"/>
    <w:rsid w:val="00243F77"/>
    <w:rsid w:val="00247B13"/>
    <w:rsid w:val="00254800"/>
    <w:rsid w:val="00254CB8"/>
    <w:rsid w:val="00262855"/>
    <w:rsid w:val="00264977"/>
    <w:rsid w:val="00264DED"/>
    <w:rsid w:val="002671D4"/>
    <w:rsid w:val="00270261"/>
    <w:rsid w:val="002717AE"/>
    <w:rsid w:val="00272777"/>
    <w:rsid w:val="002732AD"/>
    <w:rsid w:val="00277ACD"/>
    <w:rsid w:val="00277FB3"/>
    <w:rsid w:val="00280E22"/>
    <w:rsid w:val="00281CF3"/>
    <w:rsid w:val="00282BB3"/>
    <w:rsid w:val="002841A5"/>
    <w:rsid w:val="00284D76"/>
    <w:rsid w:val="0028517A"/>
    <w:rsid w:val="00286180"/>
    <w:rsid w:val="0028665D"/>
    <w:rsid w:val="0028690C"/>
    <w:rsid w:val="00293EF0"/>
    <w:rsid w:val="002942B7"/>
    <w:rsid w:val="00295653"/>
    <w:rsid w:val="002965D7"/>
    <w:rsid w:val="00297E23"/>
    <w:rsid w:val="00297EFF"/>
    <w:rsid w:val="002A0988"/>
    <w:rsid w:val="002A1BB9"/>
    <w:rsid w:val="002A20E4"/>
    <w:rsid w:val="002A2BB2"/>
    <w:rsid w:val="002A4567"/>
    <w:rsid w:val="002A69E9"/>
    <w:rsid w:val="002A7B59"/>
    <w:rsid w:val="002B6C30"/>
    <w:rsid w:val="002C03F2"/>
    <w:rsid w:val="002C1F96"/>
    <w:rsid w:val="002C215B"/>
    <w:rsid w:val="002C4A5C"/>
    <w:rsid w:val="002C6A69"/>
    <w:rsid w:val="002D4C3C"/>
    <w:rsid w:val="002E3408"/>
    <w:rsid w:val="002E42B9"/>
    <w:rsid w:val="002E5098"/>
    <w:rsid w:val="002E5802"/>
    <w:rsid w:val="002E5804"/>
    <w:rsid w:val="002E59DA"/>
    <w:rsid w:val="002E7E59"/>
    <w:rsid w:val="002F1AD1"/>
    <w:rsid w:val="002F2198"/>
    <w:rsid w:val="002F42D3"/>
    <w:rsid w:val="002F4652"/>
    <w:rsid w:val="00303EAD"/>
    <w:rsid w:val="00304A87"/>
    <w:rsid w:val="00304BE2"/>
    <w:rsid w:val="00310953"/>
    <w:rsid w:val="00311961"/>
    <w:rsid w:val="00312B73"/>
    <w:rsid w:val="00312D0D"/>
    <w:rsid w:val="003143CD"/>
    <w:rsid w:val="00314CE1"/>
    <w:rsid w:val="00315ABE"/>
    <w:rsid w:val="00320605"/>
    <w:rsid w:val="0032420F"/>
    <w:rsid w:val="0032592C"/>
    <w:rsid w:val="00326A41"/>
    <w:rsid w:val="00326A95"/>
    <w:rsid w:val="00327CE9"/>
    <w:rsid w:val="003332B4"/>
    <w:rsid w:val="003344EA"/>
    <w:rsid w:val="00334D86"/>
    <w:rsid w:val="00334EE7"/>
    <w:rsid w:val="0034619E"/>
    <w:rsid w:val="00346C8B"/>
    <w:rsid w:val="0034724F"/>
    <w:rsid w:val="0035190D"/>
    <w:rsid w:val="003522F2"/>
    <w:rsid w:val="003545F5"/>
    <w:rsid w:val="00355CAE"/>
    <w:rsid w:val="003605DC"/>
    <w:rsid w:val="0036167D"/>
    <w:rsid w:val="00365481"/>
    <w:rsid w:val="0036726F"/>
    <w:rsid w:val="0037444D"/>
    <w:rsid w:val="003746D5"/>
    <w:rsid w:val="00377C94"/>
    <w:rsid w:val="00381E70"/>
    <w:rsid w:val="00383652"/>
    <w:rsid w:val="00383F9D"/>
    <w:rsid w:val="003857B5"/>
    <w:rsid w:val="00391D90"/>
    <w:rsid w:val="0039399B"/>
    <w:rsid w:val="003941FA"/>
    <w:rsid w:val="00394C64"/>
    <w:rsid w:val="00394FD0"/>
    <w:rsid w:val="00395B92"/>
    <w:rsid w:val="003A16A3"/>
    <w:rsid w:val="003A2C92"/>
    <w:rsid w:val="003A53D4"/>
    <w:rsid w:val="003A5ED4"/>
    <w:rsid w:val="003A77F6"/>
    <w:rsid w:val="003B2BCA"/>
    <w:rsid w:val="003B67B5"/>
    <w:rsid w:val="003C209C"/>
    <w:rsid w:val="003C72D6"/>
    <w:rsid w:val="003C7CD9"/>
    <w:rsid w:val="003D0CB3"/>
    <w:rsid w:val="003D1561"/>
    <w:rsid w:val="003D2359"/>
    <w:rsid w:val="003D3A17"/>
    <w:rsid w:val="003D57E2"/>
    <w:rsid w:val="003D6548"/>
    <w:rsid w:val="003D6571"/>
    <w:rsid w:val="003D6C16"/>
    <w:rsid w:val="003E2768"/>
    <w:rsid w:val="003E2EAA"/>
    <w:rsid w:val="003E4D53"/>
    <w:rsid w:val="003E6E20"/>
    <w:rsid w:val="003E75FA"/>
    <w:rsid w:val="003F04CC"/>
    <w:rsid w:val="003F138E"/>
    <w:rsid w:val="003F35EE"/>
    <w:rsid w:val="003F45EC"/>
    <w:rsid w:val="003F45FE"/>
    <w:rsid w:val="003F51D7"/>
    <w:rsid w:val="003F5920"/>
    <w:rsid w:val="0040367F"/>
    <w:rsid w:val="00405589"/>
    <w:rsid w:val="0040566F"/>
    <w:rsid w:val="00406C7F"/>
    <w:rsid w:val="00412DE5"/>
    <w:rsid w:val="004137D0"/>
    <w:rsid w:val="00413DFE"/>
    <w:rsid w:val="00417A12"/>
    <w:rsid w:val="0042061D"/>
    <w:rsid w:val="0042106B"/>
    <w:rsid w:val="004222A5"/>
    <w:rsid w:val="00431CD5"/>
    <w:rsid w:val="004377B2"/>
    <w:rsid w:val="00437CC4"/>
    <w:rsid w:val="00437D23"/>
    <w:rsid w:val="00442C3A"/>
    <w:rsid w:val="00443ADE"/>
    <w:rsid w:val="00446A06"/>
    <w:rsid w:val="0045046F"/>
    <w:rsid w:val="004509AC"/>
    <w:rsid w:val="00452A09"/>
    <w:rsid w:val="004556D4"/>
    <w:rsid w:val="00455E76"/>
    <w:rsid w:val="004611D3"/>
    <w:rsid w:val="004638BA"/>
    <w:rsid w:val="00466551"/>
    <w:rsid w:val="00466A81"/>
    <w:rsid w:val="0047015C"/>
    <w:rsid w:val="00470656"/>
    <w:rsid w:val="00472A78"/>
    <w:rsid w:val="00473567"/>
    <w:rsid w:val="00476032"/>
    <w:rsid w:val="00476043"/>
    <w:rsid w:val="00476DA8"/>
    <w:rsid w:val="00477F41"/>
    <w:rsid w:val="00486412"/>
    <w:rsid w:val="00487C55"/>
    <w:rsid w:val="004919B9"/>
    <w:rsid w:val="004957C8"/>
    <w:rsid w:val="00495DA4"/>
    <w:rsid w:val="00496458"/>
    <w:rsid w:val="004A0266"/>
    <w:rsid w:val="004A05BE"/>
    <w:rsid w:val="004A3A0F"/>
    <w:rsid w:val="004A4F3F"/>
    <w:rsid w:val="004A574D"/>
    <w:rsid w:val="004A5FBB"/>
    <w:rsid w:val="004B03F9"/>
    <w:rsid w:val="004B26B2"/>
    <w:rsid w:val="004B2DCF"/>
    <w:rsid w:val="004B71B6"/>
    <w:rsid w:val="004B76ED"/>
    <w:rsid w:val="004C0231"/>
    <w:rsid w:val="004C089F"/>
    <w:rsid w:val="004C217E"/>
    <w:rsid w:val="004C2821"/>
    <w:rsid w:val="004C4C78"/>
    <w:rsid w:val="004D269E"/>
    <w:rsid w:val="004D395E"/>
    <w:rsid w:val="004D3977"/>
    <w:rsid w:val="004D3C67"/>
    <w:rsid w:val="004D5931"/>
    <w:rsid w:val="004D5A52"/>
    <w:rsid w:val="004D702E"/>
    <w:rsid w:val="004D72B1"/>
    <w:rsid w:val="004E1751"/>
    <w:rsid w:val="004E1871"/>
    <w:rsid w:val="004E235D"/>
    <w:rsid w:val="004E2468"/>
    <w:rsid w:val="004E7183"/>
    <w:rsid w:val="004E7361"/>
    <w:rsid w:val="004F2AA0"/>
    <w:rsid w:val="004F5801"/>
    <w:rsid w:val="00504147"/>
    <w:rsid w:val="00511E74"/>
    <w:rsid w:val="005139C2"/>
    <w:rsid w:val="00514647"/>
    <w:rsid w:val="00514F3E"/>
    <w:rsid w:val="00515F3B"/>
    <w:rsid w:val="00517AD7"/>
    <w:rsid w:val="00520499"/>
    <w:rsid w:val="005218DC"/>
    <w:rsid w:val="00524BBD"/>
    <w:rsid w:val="005254A2"/>
    <w:rsid w:val="00525975"/>
    <w:rsid w:val="005316B6"/>
    <w:rsid w:val="00534C92"/>
    <w:rsid w:val="00540EC7"/>
    <w:rsid w:val="005411C5"/>
    <w:rsid w:val="0054305B"/>
    <w:rsid w:val="00545BE1"/>
    <w:rsid w:val="00551D7B"/>
    <w:rsid w:val="00552E13"/>
    <w:rsid w:val="00553AC1"/>
    <w:rsid w:val="00553C2F"/>
    <w:rsid w:val="0055661E"/>
    <w:rsid w:val="005632B9"/>
    <w:rsid w:val="005650A1"/>
    <w:rsid w:val="005668B3"/>
    <w:rsid w:val="005679C4"/>
    <w:rsid w:val="005758EF"/>
    <w:rsid w:val="005808CF"/>
    <w:rsid w:val="0058122C"/>
    <w:rsid w:val="00583610"/>
    <w:rsid w:val="005870C9"/>
    <w:rsid w:val="0059414D"/>
    <w:rsid w:val="0059423B"/>
    <w:rsid w:val="00594B2D"/>
    <w:rsid w:val="0059524A"/>
    <w:rsid w:val="005A021B"/>
    <w:rsid w:val="005A2E10"/>
    <w:rsid w:val="005B033F"/>
    <w:rsid w:val="005B1701"/>
    <w:rsid w:val="005B5C6F"/>
    <w:rsid w:val="005B5FCC"/>
    <w:rsid w:val="005C4D2E"/>
    <w:rsid w:val="005C5F09"/>
    <w:rsid w:val="005C6E49"/>
    <w:rsid w:val="005D116C"/>
    <w:rsid w:val="005D4CE6"/>
    <w:rsid w:val="005D697C"/>
    <w:rsid w:val="005E283A"/>
    <w:rsid w:val="005F3226"/>
    <w:rsid w:val="00600B22"/>
    <w:rsid w:val="0060101D"/>
    <w:rsid w:val="0060488B"/>
    <w:rsid w:val="006067DF"/>
    <w:rsid w:val="00613F7F"/>
    <w:rsid w:val="006159C0"/>
    <w:rsid w:val="006203B8"/>
    <w:rsid w:val="00621F4B"/>
    <w:rsid w:val="00622054"/>
    <w:rsid w:val="006228A7"/>
    <w:rsid w:val="00622F53"/>
    <w:rsid w:val="0062450C"/>
    <w:rsid w:val="00625D37"/>
    <w:rsid w:val="0062609C"/>
    <w:rsid w:val="006400FD"/>
    <w:rsid w:val="0064318A"/>
    <w:rsid w:val="006441F5"/>
    <w:rsid w:val="006445FF"/>
    <w:rsid w:val="00645D8C"/>
    <w:rsid w:val="00646479"/>
    <w:rsid w:val="006464D1"/>
    <w:rsid w:val="00647EAD"/>
    <w:rsid w:val="00650177"/>
    <w:rsid w:val="006531AB"/>
    <w:rsid w:val="006533EF"/>
    <w:rsid w:val="00654085"/>
    <w:rsid w:val="006563CF"/>
    <w:rsid w:val="00656EB2"/>
    <w:rsid w:val="0066057F"/>
    <w:rsid w:val="00662BA7"/>
    <w:rsid w:val="00663F4D"/>
    <w:rsid w:val="00665570"/>
    <w:rsid w:val="006662C3"/>
    <w:rsid w:val="00670838"/>
    <w:rsid w:val="0067290D"/>
    <w:rsid w:val="006743CF"/>
    <w:rsid w:val="00676ABA"/>
    <w:rsid w:val="00676D25"/>
    <w:rsid w:val="006809D5"/>
    <w:rsid w:val="0068233F"/>
    <w:rsid w:val="00683BD4"/>
    <w:rsid w:val="006860C8"/>
    <w:rsid w:val="00686C3E"/>
    <w:rsid w:val="006876AE"/>
    <w:rsid w:val="00691477"/>
    <w:rsid w:val="00691CCB"/>
    <w:rsid w:val="00692A2B"/>
    <w:rsid w:val="00695EF4"/>
    <w:rsid w:val="00697932"/>
    <w:rsid w:val="006A45AF"/>
    <w:rsid w:val="006A71E5"/>
    <w:rsid w:val="006B1ABA"/>
    <w:rsid w:val="006B4E2D"/>
    <w:rsid w:val="006B5A04"/>
    <w:rsid w:val="006C4244"/>
    <w:rsid w:val="006D2355"/>
    <w:rsid w:val="006D732C"/>
    <w:rsid w:val="006E2F64"/>
    <w:rsid w:val="006E40CA"/>
    <w:rsid w:val="006F37CB"/>
    <w:rsid w:val="006F5D1E"/>
    <w:rsid w:val="006F68E7"/>
    <w:rsid w:val="00702014"/>
    <w:rsid w:val="00703F16"/>
    <w:rsid w:val="007053D5"/>
    <w:rsid w:val="007068E0"/>
    <w:rsid w:val="00707052"/>
    <w:rsid w:val="00712321"/>
    <w:rsid w:val="00714868"/>
    <w:rsid w:val="00715788"/>
    <w:rsid w:val="00720277"/>
    <w:rsid w:val="007209F0"/>
    <w:rsid w:val="00721CF1"/>
    <w:rsid w:val="007239BD"/>
    <w:rsid w:val="00725DDF"/>
    <w:rsid w:val="00726377"/>
    <w:rsid w:val="00731218"/>
    <w:rsid w:val="0073347E"/>
    <w:rsid w:val="007402C4"/>
    <w:rsid w:val="007406D4"/>
    <w:rsid w:val="007439F1"/>
    <w:rsid w:val="00743F3D"/>
    <w:rsid w:val="00744238"/>
    <w:rsid w:val="007442A3"/>
    <w:rsid w:val="00745329"/>
    <w:rsid w:val="00746024"/>
    <w:rsid w:val="00746080"/>
    <w:rsid w:val="00747FA1"/>
    <w:rsid w:val="007529B4"/>
    <w:rsid w:val="007605CC"/>
    <w:rsid w:val="007645C5"/>
    <w:rsid w:val="0076517F"/>
    <w:rsid w:val="00773699"/>
    <w:rsid w:val="00775D0E"/>
    <w:rsid w:val="007769C4"/>
    <w:rsid w:val="00777A87"/>
    <w:rsid w:val="007804B3"/>
    <w:rsid w:val="0078668A"/>
    <w:rsid w:val="007879FA"/>
    <w:rsid w:val="00787A2B"/>
    <w:rsid w:val="00787E4B"/>
    <w:rsid w:val="0079349A"/>
    <w:rsid w:val="00794606"/>
    <w:rsid w:val="00794974"/>
    <w:rsid w:val="00795098"/>
    <w:rsid w:val="007973A5"/>
    <w:rsid w:val="00797584"/>
    <w:rsid w:val="007A0893"/>
    <w:rsid w:val="007A1122"/>
    <w:rsid w:val="007A42C8"/>
    <w:rsid w:val="007A68C9"/>
    <w:rsid w:val="007A6D45"/>
    <w:rsid w:val="007B298F"/>
    <w:rsid w:val="007B352B"/>
    <w:rsid w:val="007B59FE"/>
    <w:rsid w:val="007B6D0E"/>
    <w:rsid w:val="007B778A"/>
    <w:rsid w:val="007C105A"/>
    <w:rsid w:val="007C161B"/>
    <w:rsid w:val="007C2EAF"/>
    <w:rsid w:val="007C7521"/>
    <w:rsid w:val="007D05BE"/>
    <w:rsid w:val="007D1E01"/>
    <w:rsid w:val="007D32BB"/>
    <w:rsid w:val="007D4A75"/>
    <w:rsid w:val="007D6308"/>
    <w:rsid w:val="007D7720"/>
    <w:rsid w:val="007E5381"/>
    <w:rsid w:val="007E68D0"/>
    <w:rsid w:val="007F1562"/>
    <w:rsid w:val="007F22D3"/>
    <w:rsid w:val="007F3D29"/>
    <w:rsid w:val="007F3FE7"/>
    <w:rsid w:val="007F5697"/>
    <w:rsid w:val="007F5FBC"/>
    <w:rsid w:val="007F6D22"/>
    <w:rsid w:val="0080122A"/>
    <w:rsid w:val="00801921"/>
    <w:rsid w:val="00801F9E"/>
    <w:rsid w:val="0080246D"/>
    <w:rsid w:val="00803318"/>
    <w:rsid w:val="0080490E"/>
    <w:rsid w:val="00807639"/>
    <w:rsid w:val="008135FB"/>
    <w:rsid w:val="00814915"/>
    <w:rsid w:val="00814D88"/>
    <w:rsid w:val="00816284"/>
    <w:rsid w:val="0081779D"/>
    <w:rsid w:val="008211CD"/>
    <w:rsid w:val="00821B3A"/>
    <w:rsid w:val="008261D7"/>
    <w:rsid w:val="00842FD3"/>
    <w:rsid w:val="00845101"/>
    <w:rsid w:val="00845A92"/>
    <w:rsid w:val="00845BBA"/>
    <w:rsid w:val="00846EEE"/>
    <w:rsid w:val="00847F51"/>
    <w:rsid w:val="0085087E"/>
    <w:rsid w:val="00850F60"/>
    <w:rsid w:val="00851E9E"/>
    <w:rsid w:val="0085355E"/>
    <w:rsid w:val="00854CFE"/>
    <w:rsid w:val="00855C75"/>
    <w:rsid w:val="00865A5F"/>
    <w:rsid w:val="00871208"/>
    <w:rsid w:val="0087130D"/>
    <w:rsid w:val="00871802"/>
    <w:rsid w:val="00873930"/>
    <w:rsid w:val="00874243"/>
    <w:rsid w:val="00874D6F"/>
    <w:rsid w:val="00877CBD"/>
    <w:rsid w:val="00880843"/>
    <w:rsid w:val="00880CB1"/>
    <w:rsid w:val="0088748B"/>
    <w:rsid w:val="00887BC0"/>
    <w:rsid w:val="00893B68"/>
    <w:rsid w:val="00893C3F"/>
    <w:rsid w:val="008A248E"/>
    <w:rsid w:val="008A442E"/>
    <w:rsid w:val="008A45F4"/>
    <w:rsid w:val="008A4A55"/>
    <w:rsid w:val="008A534E"/>
    <w:rsid w:val="008A7083"/>
    <w:rsid w:val="008A768D"/>
    <w:rsid w:val="008B10A4"/>
    <w:rsid w:val="008B57EE"/>
    <w:rsid w:val="008B654C"/>
    <w:rsid w:val="008B7586"/>
    <w:rsid w:val="008C1005"/>
    <w:rsid w:val="008C1DA6"/>
    <w:rsid w:val="008C4523"/>
    <w:rsid w:val="008C65C4"/>
    <w:rsid w:val="008C7DEA"/>
    <w:rsid w:val="008D1D28"/>
    <w:rsid w:val="008D1F90"/>
    <w:rsid w:val="008D401E"/>
    <w:rsid w:val="008D4916"/>
    <w:rsid w:val="008D6911"/>
    <w:rsid w:val="008D694D"/>
    <w:rsid w:val="008E0422"/>
    <w:rsid w:val="008E4337"/>
    <w:rsid w:val="008E554A"/>
    <w:rsid w:val="008F2B18"/>
    <w:rsid w:val="008F642A"/>
    <w:rsid w:val="00900924"/>
    <w:rsid w:val="00900C1C"/>
    <w:rsid w:val="00900DA5"/>
    <w:rsid w:val="00901C75"/>
    <w:rsid w:val="00901E39"/>
    <w:rsid w:val="0090271B"/>
    <w:rsid w:val="00902FDD"/>
    <w:rsid w:val="0090429F"/>
    <w:rsid w:val="0090470A"/>
    <w:rsid w:val="00904ACC"/>
    <w:rsid w:val="00905476"/>
    <w:rsid w:val="00905F60"/>
    <w:rsid w:val="00912B56"/>
    <w:rsid w:val="009133B3"/>
    <w:rsid w:val="00913500"/>
    <w:rsid w:val="0091690A"/>
    <w:rsid w:val="00916E70"/>
    <w:rsid w:val="00921325"/>
    <w:rsid w:val="00922B95"/>
    <w:rsid w:val="00923392"/>
    <w:rsid w:val="009234D4"/>
    <w:rsid w:val="00926B48"/>
    <w:rsid w:val="00927AAE"/>
    <w:rsid w:val="00930434"/>
    <w:rsid w:val="009318D6"/>
    <w:rsid w:val="009321F6"/>
    <w:rsid w:val="009363BD"/>
    <w:rsid w:val="00937CC7"/>
    <w:rsid w:val="00940263"/>
    <w:rsid w:val="00946591"/>
    <w:rsid w:val="009474A1"/>
    <w:rsid w:val="00950CBF"/>
    <w:rsid w:val="00954704"/>
    <w:rsid w:val="00954C28"/>
    <w:rsid w:val="0095542A"/>
    <w:rsid w:val="00955F7C"/>
    <w:rsid w:val="009602B7"/>
    <w:rsid w:val="00960FA2"/>
    <w:rsid w:val="0096165D"/>
    <w:rsid w:val="00963948"/>
    <w:rsid w:val="00964E83"/>
    <w:rsid w:val="0096626D"/>
    <w:rsid w:val="00970708"/>
    <w:rsid w:val="009727A1"/>
    <w:rsid w:val="0098136B"/>
    <w:rsid w:val="0098333D"/>
    <w:rsid w:val="0098634B"/>
    <w:rsid w:val="009912BD"/>
    <w:rsid w:val="00991757"/>
    <w:rsid w:val="009919B5"/>
    <w:rsid w:val="009971B1"/>
    <w:rsid w:val="009A04C5"/>
    <w:rsid w:val="009A32A9"/>
    <w:rsid w:val="009A340F"/>
    <w:rsid w:val="009B65E0"/>
    <w:rsid w:val="009C16D6"/>
    <w:rsid w:val="009C1840"/>
    <w:rsid w:val="009C1907"/>
    <w:rsid w:val="009C4F01"/>
    <w:rsid w:val="009C660F"/>
    <w:rsid w:val="009C76AB"/>
    <w:rsid w:val="009D0D6C"/>
    <w:rsid w:val="009D15F4"/>
    <w:rsid w:val="009D267C"/>
    <w:rsid w:val="009D3DB0"/>
    <w:rsid w:val="009D465A"/>
    <w:rsid w:val="009D4E4D"/>
    <w:rsid w:val="009E05E8"/>
    <w:rsid w:val="009E1EE1"/>
    <w:rsid w:val="009F0B9F"/>
    <w:rsid w:val="009F2000"/>
    <w:rsid w:val="009F2701"/>
    <w:rsid w:val="009F3B23"/>
    <w:rsid w:val="009F64F4"/>
    <w:rsid w:val="00A01087"/>
    <w:rsid w:val="00A02B11"/>
    <w:rsid w:val="00A02C1D"/>
    <w:rsid w:val="00A062E8"/>
    <w:rsid w:val="00A0633A"/>
    <w:rsid w:val="00A07DB4"/>
    <w:rsid w:val="00A11F83"/>
    <w:rsid w:val="00A133B5"/>
    <w:rsid w:val="00A14A33"/>
    <w:rsid w:val="00A156FF"/>
    <w:rsid w:val="00A1687B"/>
    <w:rsid w:val="00A170BC"/>
    <w:rsid w:val="00A17313"/>
    <w:rsid w:val="00A21752"/>
    <w:rsid w:val="00A24E84"/>
    <w:rsid w:val="00A27F88"/>
    <w:rsid w:val="00A3291C"/>
    <w:rsid w:val="00A33F23"/>
    <w:rsid w:val="00A34F3E"/>
    <w:rsid w:val="00A406C0"/>
    <w:rsid w:val="00A46798"/>
    <w:rsid w:val="00A5022F"/>
    <w:rsid w:val="00A52A76"/>
    <w:rsid w:val="00A56E73"/>
    <w:rsid w:val="00A57591"/>
    <w:rsid w:val="00A610A3"/>
    <w:rsid w:val="00A64211"/>
    <w:rsid w:val="00A66A6B"/>
    <w:rsid w:val="00A673A5"/>
    <w:rsid w:val="00A7156E"/>
    <w:rsid w:val="00A748ED"/>
    <w:rsid w:val="00A75F56"/>
    <w:rsid w:val="00A75F90"/>
    <w:rsid w:val="00A77AD0"/>
    <w:rsid w:val="00A84C05"/>
    <w:rsid w:val="00A91D2A"/>
    <w:rsid w:val="00A9214A"/>
    <w:rsid w:val="00A9438F"/>
    <w:rsid w:val="00A9530C"/>
    <w:rsid w:val="00A956BD"/>
    <w:rsid w:val="00A95A12"/>
    <w:rsid w:val="00A95AA4"/>
    <w:rsid w:val="00AA5869"/>
    <w:rsid w:val="00AA660B"/>
    <w:rsid w:val="00AA6AA4"/>
    <w:rsid w:val="00AB0117"/>
    <w:rsid w:val="00AB258E"/>
    <w:rsid w:val="00AB2620"/>
    <w:rsid w:val="00AB31D2"/>
    <w:rsid w:val="00AB3FFA"/>
    <w:rsid w:val="00AB4B95"/>
    <w:rsid w:val="00AB70D9"/>
    <w:rsid w:val="00AC09BE"/>
    <w:rsid w:val="00AC4330"/>
    <w:rsid w:val="00AC5D41"/>
    <w:rsid w:val="00AC7F8A"/>
    <w:rsid w:val="00AD530A"/>
    <w:rsid w:val="00AD6221"/>
    <w:rsid w:val="00AE0FEF"/>
    <w:rsid w:val="00AE1839"/>
    <w:rsid w:val="00AE1BB0"/>
    <w:rsid w:val="00AE6145"/>
    <w:rsid w:val="00AF0DFE"/>
    <w:rsid w:val="00AF27C3"/>
    <w:rsid w:val="00AF27D8"/>
    <w:rsid w:val="00AF38AB"/>
    <w:rsid w:val="00AF3A02"/>
    <w:rsid w:val="00AF4054"/>
    <w:rsid w:val="00AF606C"/>
    <w:rsid w:val="00AF6822"/>
    <w:rsid w:val="00AF6B21"/>
    <w:rsid w:val="00AF7C95"/>
    <w:rsid w:val="00B04224"/>
    <w:rsid w:val="00B05839"/>
    <w:rsid w:val="00B06C66"/>
    <w:rsid w:val="00B15E16"/>
    <w:rsid w:val="00B2054B"/>
    <w:rsid w:val="00B21808"/>
    <w:rsid w:val="00B2218D"/>
    <w:rsid w:val="00B22AF2"/>
    <w:rsid w:val="00B25302"/>
    <w:rsid w:val="00B32E2C"/>
    <w:rsid w:val="00B32F7D"/>
    <w:rsid w:val="00B41E97"/>
    <w:rsid w:val="00B43CA7"/>
    <w:rsid w:val="00B43DB9"/>
    <w:rsid w:val="00B43E5C"/>
    <w:rsid w:val="00B456E1"/>
    <w:rsid w:val="00B519BE"/>
    <w:rsid w:val="00B51D9E"/>
    <w:rsid w:val="00B52D4E"/>
    <w:rsid w:val="00B61D0B"/>
    <w:rsid w:val="00B62D33"/>
    <w:rsid w:val="00B62EB8"/>
    <w:rsid w:val="00B63093"/>
    <w:rsid w:val="00B63820"/>
    <w:rsid w:val="00B63A0D"/>
    <w:rsid w:val="00B663E6"/>
    <w:rsid w:val="00B66FF0"/>
    <w:rsid w:val="00B70459"/>
    <w:rsid w:val="00B7240C"/>
    <w:rsid w:val="00B750B8"/>
    <w:rsid w:val="00B75642"/>
    <w:rsid w:val="00B75C26"/>
    <w:rsid w:val="00B80FE2"/>
    <w:rsid w:val="00B82F68"/>
    <w:rsid w:val="00B86E92"/>
    <w:rsid w:val="00B90956"/>
    <w:rsid w:val="00B942DB"/>
    <w:rsid w:val="00B94AB3"/>
    <w:rsid w:val="00B966D7"/>
    <w:rsid w:val="00BA1F4F"/>
    <w:rsid w:val="00BA2039"/>
    <w:rsid w:val="00BA469B"/>
    <w:rsid w:val="00BA5078"/>
    <w:rsid w:val="00BB02B3"/>
    <w:rsid w:val="00BB2727"/>
    <w:rsid w:val="00BB29B0"/>
    <w:rsid w:val="00BB64D9"/>
    <w:rsid w:val="00BC46CD"/>
    <w:rsid w:val="00BC567F"/>
    <w:rsid w:val="00BC7E41"/>
    <w:rsid w:val="00BD51BE"/>
    <w:rsid w:val="00BE116B"/>
    <w:rsid w:val="00BE1977"/>
    <w:rsid w:val="00BE2C7F"/>
    <w:rsid w:val="00BE32B2"/>
    <w:rsid w:val="00BE7127"/>
    <w:rsid w:val="00BE7AEB"/>
    <w:rsid w:val="00BF375D"/>
    <w:rsid w:val="00BF41CB"/>
    <w:rsid w:val="00BF46DA"/>
    <w:rsid w:val="00BF4AF1"/>
    <w:rsid w:val="00C00447"/>
    <w:rsid w:val="00C01B36"/>
    <w:rsid w:val="00C02170"/>
    <w:rsid w:val="00C074FA"/>
    <w:rsid w:val="00C07CAD"/>
    <w:rsid w:val="00C116D8"/>
    <w:rsid w:val="00C12766"/>
    <w:rsid w:val="00C1505F"/>
    <w:rsid w:val="00C161C3"/>
    <w:rsid w:val="00C17DBF"/>
    <w:rsid w:val="00C22D09"/>
    <w:rsid w:val="00C24221"/>
    <w:rsid w:val="00C260E1"/>
    <w:rsid w:val="00C263FC"/>
    <w:rsid w:val="00C328A8"/>
    <w:rsid w:val="00C32D7A"/>
    <w:rsid w:val="00C337EF"/>
    <w:rsid w:val="00C34969"/>
    <w:rsid w:val="00C3511D"/>
    <w:rsid w:val="00C36295"/>
    <w:rsid w:val="00C4246E"/>
    <w:rsid w:val="00C4260C"/>
    <w:rsid w:val="00C42D3A"/>
    <w:rsid w:val="00C43CD3"/>
    <w:rsid w:val="00C44AEC"/>
    <w:rsid w:val="00C458AC"/>
    <w:rsid w:val="00C47F98"/>
    <w:rsid w:val="00C518F3"/>
    <w:rsid w:val="00C51D96"/>
    <w:rsid w:val="00C5461E"/>
    <w:rsid w:val="00C55308"/>
    <w:rsid w:val="00C56892"/>
    <w:rsid w:val="00C60348"/>
    <w:rsid w:val="00C61870"/>
    <w:rsid w:val="00C61D99"/>
    <w:rsid w:val="00C63744"/>
    <w:rsid w:val="00C64CB6"/>
    <w:rsid w:val="00C70B7E"/>
    <w:rsid w:val="00C72CC8"/>
    <w:rsid w:val="00C73022"/>
    <w:rsid w:val="00C7561D"/>
    <w:rsid w:val="00C762E3"/>
    <w:rsid w:val="00C777A4"/>
    <w:rsid w:val="00C820B3"/>
    <w:rsid w:val="00C83B38"/>
    <w:rsid w:val="00C856B7"/>
    <w:rsid w:val="00C85F71"/>
    <w:rsid w:val="00C87643"/>
    <w:rsid w:val="00C87823"/>
    <w:rsid w:val="00C90D3E"/>
    <w:rsid w:val="00C929E8"/>
    <w:rsid w:val="00CA0F89"/>
    <w:rsid w:val="00CA375A"/>
    <w:rsid w:val="00CB1996"/>
    <w:rsid w:val="00CB19CA"/>
    <w:rsid w:val="00CB1EB2"/>
    <w:rsid w:val="00CB234F"/>
    <w:rsid w:val="00CB3699"/>
    <w:rsid w:val="00CB744C"/>
    <w:rsid w:val="00CC0819"/>
    <w:rsid w:val="00CD3745"/>
    <w:rsid w:val="00CE16FD"/>
    <w:rsid w:val="00CE3D6E"/>
    <w:rsid w:val="00CE47C4"/>
    <w:rsid w:val="00CE4837"/>
    <w:rsid w:val="00CE5D3E"/>
    <w:rsid w:val="00CE6EA9"/>
    <w:rsid w:val="00CF1AA3"/>
    <w:rsid w:val="00CF22DE"/>
    <w:rsid w:val="00CF50E3"/>
    <w:rsid w:val="00CF50F8"/>
    <w:rsid w:val="00CF7E84"/>
    <w:rsid w:val="00D10C05"/>
    <w:rsid w:val="00D13257"/>
    <w:rsid w:val="00D13295"/>
    <w:rsid w:val="00D13CA7"/>
    <w:rsid w:val="00D15645"/>
    <w:rsid w:val="00D15FE8"/>
    <w:rsid w:val="00D20291"/>
    <w:rsid w:val="00D21BCA"/>
    <w:rsid w:val="00D25B1F"/>
    <w:rsid w:val="00D273A5"/>
    <w:rsid w:val="00D32D3F"/>
    <w:rsid w:val="00D33AEF"/>
    <w:rsid w:val="00D368E5"/>
    <w:rsid w:val="00D36B25"/>
    <w:rsid w:val="00D3757C"/>
    <w:rsid w:val="00D40783"/>
    <w:rsid w:val="00D42224"/>
    <w:rsid w:val="00D4512D"/>
    <w:rsid w:val="00D452F2"/>
    <w:rsid w:val="00D53E77"/>
    <w:rsid w:val="00D5425F"/>
    <w:rsid w:val="00D55C3A"/>
    <w:rsid w:val="00D565A5"/>
    <w:rsid w:val="00D620B9"/>
    <w:rsid w:val="00D676E2"/>
    <w:rsid w:val="00D70E71"/>
    <w:rsid w:val="00D734C1"/>
    <w:rsid w:val="00D74CCD"/>
    <w:rsid w:val="00D77292"/>
    <w:rsid w:val="00D77EAA"/>
    <w:rsid w:val="00D81259"/>
    <w:rsid w:val="00D82FB1"/>
    <w:rsid w:val="00D8754B"/>
    <w:rsid w:val="00D9057F"/>
    <w:rsid w:val="00D921EE"/>
    <w:rsid w:val="00D9314D"/>
    <w:rsid w:val="00D95B00"/>
    <w:rsid w:val="00D966CF"/>
    <w:rsid w:val="00DA0C81"/>
    <w:rsid w:val="00DA3178"/>
    <w:rsid w:val="00DA35D1"/>
    <w:rsid w:val="00DA57FC"/>
    <w:rsid w:val="00DA5CD7"/>
    <w:rsid w:val="00DB3C59"/>
    <w:rsid w:val="00DB4818"/>
    <w:rsid w:val="00DC01AA"/>
    <w:rsid w:val="00DC20A0"/>
    <w:rsid w:val="00DC2F20"/>
    <w:rsid w:val="00DC3273"/>
    <w:rsid w:val="00DC4733"/>
    <w:rsid w:val="00DC625A"/>
    <w:rsid w:val="00DC6935"/>
    <w:rsid w:val="00DD02D2"/>
    <w:rsid w:val="00DD042D"/>
    <w:rsid w:val="00DD222A"/>
    <w:rsid w:val="00DD23A0"/>
    <w:rsid w:val="00DD3820"/>
    <w:rsid w:val="00DD418C"/>
    <w:rsid w:val="00DD7921"/>
    <w:rsid w:val="00DD7982"/>
    <w:rsid w:val="00DE1BCF"/>
    <w:rsid w:val="00DF0869"/>
    <w:rsid w:val="00DF0CC5"/>
    <w:rsid w:val="00DF12BE"/>
    <w:rsid w:val="00DF1645"/>
    <w:rsid w:val="00DF1D04"/>
    <w:rsid w:val="00DF244E"/>
    <w:rsid w:val="00DF26FC"/>
    <w:rsid w:val="00E01352"/>
    <w:rsid w:val="00E05253"/>
    <w:rsid w:val="00E053B9"/>
    <w:rsid w:val="00E13215"/>
    <w:rsid w:val="00E14A30"/>
    <w:rsid w:val="00E14DA0"/>
    <w:rsid w:val="00E15821"/>
    <w:rsid w:val="00E16481"/>
    <w:rsid w:val="00E16911"/>
    <w:rsid w:val="00E20052"/>
    <w:rsid w:val="00E219F0"/>
    <w:rsid w:val="00E338BE"/>
    <w:rsid w:val="00E3482D"/>
    <w:rsid w:val="00E3559D"/>
    <w:rsid w:val="00E363E3"/>
    <w:rsid w:val="00E433E0"/>
    <w:rsid w:val="00E436A6"/>
    <w:rsid w:val="00E444F0"/>
    <w:rsid w:val="00E467BA"/>
    <w:rsid w:val="00E46B08"/>
    <w:rsid w:val="00E47D6A"/>
    <w:rsid w:val="00E51305"/>
    <w:rsid w:val="00E55317"/>
    <w:rsid w:val="00E57AD6"/>
    <w:rsid w:val="00E61719"/>
    <w:rsid w:val="00E61A64"/>
    <w:rsid w:val="00E658C4"/>
    <w:rsid w:val="00E65A63"/>
    <w:rsid w:val="00E6701A"/>
    <w:rsid w:val="00E67B26"/>
    <w:rsid w:val="00E70E71"/>
    <w:rsid w:val="00E71670"/>
    <w:rsid w:val="00E72D8B"/>
    <w:rsid w:val="00E73181"/>
    <w:rsid w:val="00E733CB"/>
    <w:rsid w:val="00E733CE"/>
    <w:rsid w:val="00E75D7C"/>
    <w:rsid w:val="00E77D6A"/>
    <w:rsid w:val="00E8019A"/>
    <w:rsid w:val="00E820E8"/>
    <w:rsid w:val="00E827DD"/>
    <w:rsid w:val="00E86891"/>
    <w:rsid w:val="00E90488"/>
    <w:rsid w:val="00E94F5B"/>
    <w:rsid w:val="00E96E7F"/>
    <w:rsid w:val="00EA0088"/>
    <w:rsid w:val="00EA055D"/>
    <w:rsid w:val="00EA059D"/>
    <w:rsid w:val="00EA1481"/>
    <w:rsid w:val="00EA3DD3"/>
    <w:rsid w:val="00EA4B19"/>
    <w:rsid w:val="00EA6B86"/>
    <w:rsid w:val="00EA716F"/>
    <w:rsid w:val="00EA78A1"/>
    <w:rsid w:val="00EB423E"/>
    <w:rsid w:val="00EB601B"/>
    <w:rsid w:val="00EB632F"/>
    <w:rsid w:val="00EB63CC"/>
    <w:rsid w:val="00EB6E38"/>
    <w:rsid w:val="00EB7997"/>
    <w:rsid w:val="00EC39F8"/>
    <w:rsid w:val="00EC6177"/>
    <w:rsid w:val="00EC6E6D"/>
    <w:rsid w:val="00EC6F78"/>
    <w:rsid w:val="00ED00C9"/>
    <w:rsid w:val="00ED18F8"/>
    <w:rsid w:val="00ED5323"/>
    <w:rsid w:val="00EE109F"/>
    <w:rsid w:val="00EE370A"/>
    <w:rsid w:val="00EE4B67"/>
    <w:rsid w:val="00EE4C04"/>
    <w:rsid w:val="00EF6048"/>
    <w:rsid w:val="00EF7B60"/>
    <w:rsid w:val="00F00092"/>
    <w:rsid w:val="00F0310F"/>
    <w:rsid w:val="00F03A21"/>
    <w:rsid w:val="00F0683E"/>
    <w:rsid w:val="00F1164A"/>
    <w:rsid w:val="00F1299C"/>
    <w:rsid w:val="00F13B48"/>
    <w:rsid w:val="00F15133"/>
    <w:rsid w:val="00F21149"/>
    <w:rsid w:val="00F2198B"/>
    <w:rsid w:val="00F2227F"/>
    <w:rsid w:val="00F223EE"/>
    <w:rsid w:val="00F2350C"/>
    <w:rsid w:val="00F251B2"/>
    <w:rsid w:val="00F33DE6"/>
    <w:rsid w:val="00F37303"/>
    <w:rsid w:val="00F41EB7"/>
    <w:rsid w:val="00F42E97"/>
    <w:rsid w:val="00F43ED0"/>
    <w:rsid w:val="00F478E6"/>
    <w:rsid w:val="00F51457"/>
    <w:rsid w:val="00F5564B"/>
    <w:rsid w:val="00F55BAF"/>
    <w:rsid w:val="00F60ABC"/>
    <w:rsid w:val="00F62042"/>
    <w:rsid w:val="00F62A89"/>
    <w:rsid w:val="00F64A3C"/>
    <w:rsid w:val="00F67822"/>
    <w:rsid w:val="00F7050C"/>
    <w:rsid w:val="00F711C7"/>
    <w:rsid w:val="00F72EA8"/>
    <w:rsid w:val="00F73085"/>
    <w:rsid w:val="00F75AD9"/>
    <w:rsid w:val="00F807B7"/>
    <w:rsid w:val="00F87278"/>
    <w:rsid w:val="00F87948"/>
    <w:rsid w:val="00F912F7"/>
    <w:rsid w:val="00F922E2"/>
    <w:rsid w:val="00F95237"/>
    <w:rsid w:val="00F95311"/>
    <w:rsid w:val="00F9635E"/>
    <w:rsid w:val="00F978BD"/>
    <w:rsid w:val="00FA0404"/>
    <w:rsid w:val="00FA24D3"/>
    <w:rsid w:val="00FA2E94"/>
    <w:rsid w:val="00FA440E"/>
    <w:rsid w:val="00FA52A4"/>
    <w:rsid w:val="00FA5A25"/>
    <w:rsid w:val="00FA5F0A"/>
    <w:rsid w:val="00FA7EE8"/>
    <w:rsid w:val="00FB0B38"/>
    <w:rsid w:val="00FB2B3A"/>
    <w:rsid w:val="00FB3748"/>
    <w:rsid w:val="00FB47EA"/>
    <w:rsid w:val="00FB52A3"/>
    <w:rsid w:val="00FB5556"/>
    <w:rsid w:val="00FC0978"/>
    <w:rsid w:val="00FC21AD"/>
    <w:rsid w:val="00FC2E87"/>
    <w:rsid w:val="00FC4B91"/>
    <w:rsid w:val="00FC6918"/>
    <w:rsid w:val="00FD1607"/>
    <w:rsid w:val="00FD1DE4"/>
    <w:rsid w:val="00FD43EF"/>
    <w:rsid w:val="00FD6F98"/>
    <w:rsid w:val="00FE1DF8"/>
    <w:rsid w:val="00FE583F"/>
    <w:rsid w:val="00FE73A4"/>
    <w:rsid w:val="00FF0335"/>
    <w:rsid w:val="00FF0761"/>
    <w:rsid w:val="00FF077D"/>
    <w:rsid w:val="00FF0969"/>
    <w:rsid w:val="00FF1083"/>
    <w:rsid w:val="00FF3917"/>
    <w:rsid w:val="00FF4F7E"/>
    <w:rsid w:val="00FF5AE3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41269841269841E-2"/>
          <c:y val="9.4292803970223327E-2"/>
          <c:w val="0.90317460317460319"/>
          <c:h val="0.799007444168734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000080"/>
            </a:solidFill>
            <a:ln w="25392">
              <a:solidFill>
                <a:srgbClr val="00008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4346411791954078E-5"/>
                  <c:y val="9.3095199956341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6337181978649651E-4"/>
                  <c:y val="9.67441832143087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925613652265085E-3"/>
                  <c:y val="8.204948521992717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74761904761904763"/>
                  <c:y val="0.76674937965260548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39841269841269839"/>
                  <c:y val="0.63523573200992556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46825396825396826"/>
                  <c:y val="0.62779156327543428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53174603174603174"/>
                  <c:y val="0.62531017369727049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Mode val="edge"/>
                  <c:yMode val="edge"/>
                  <c:x val="0.6063492063492063"/>
                  <c:y val="0.62282878411910669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Mode val="edge"/>
                  <c:yMode val="edge"/>
                  <c:x val="0.67301587301587307"/>
                  <c:y val="0.63275434243176176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Mode val="edge"/>
                  <c:yMode val="edge"/>
                  <c:x val="0.74603174603174605"/>
                  <c:y val="0.65012406947890822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Mode val="edge"/>
                  <c:yMode val="edge"/>
                  <c:x val="0.82222222222222219"/>
                  <c:y val="0.63523573200992556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Mode val="edge"/>
                  <c:yMode val="edge"/>
                  <c:x val="0.89047619047619042"/>
                  <c:y val="0.62779156327543428"/>
                </c:manualLayout>
              </c:layout>
              <c:spPr>
                <a:solidFill>
                  <a:srgbClr val="FFFF99"/>
                </a:solidFill>
                <a:ln w="25392">
                  <a:noFill/>
                </a:ln>
              </c:spPr>
              <c:txPr>
                <a:bodyPr/>
                <a:lstStyle/>
                <a:p>
                  <a:pPr>
                    <a:defRPr sz="1125" b="1" i="0" u="none" strike="noStrike" baseline="0">
                      <a:solidFill>
                        <a:srgbClr val="00008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99"/>
              </a:solidFill>
              <a:ln w="25392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январь 2014г</c:v>
                </c:pt>
                <c:pt idx="1">
                  <c:v>февраль 2014г</c:v>
                </c:pt>
                <c:pt idx="2">
                  <c:v>март 2014г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5890</c:v>
                </c:pt>
                <c:pt idx="1">
                  <c:v>5986</c:v>
                </c:pt>
                <c:pt idx="2">
                  <c:v>6348</c:v>
                </c:pt>
              </c:numCache>
            </c:numRef>
          </c:val>
        </c:ser>
        <c:ser>
          <c:idx val="1"/>
          <c:order val="1"/>
          <c:tx>
            <c:strRef>
              <c:f>Sheet1!$J$1</c:f>
              <c:strCache>
                <c:ptCount val="1"/>
              </c:strCache>
            </c:strRef>
          </c:tx>
          <c:spPr>
            <a:solidFill>
              <a:srgbClr val="993366"/>
            </a:solidFill>
            <a:ln w="38089">
              <a:solidFill>
                <a:srgbClr val="FF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5.5381298906363917E-2"/>
                  <c:y val="0.7245657568238212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391791900606507E-2"/>
                  <c:y val="0.7344913151364764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211972841818234E-2"/>
                  <c:y val="0.7468982630272953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70952380952380956"/>
                  <c:y val="0.736972704714640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99"/>
              </a:solidFill>
              <a:ln w="25392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FF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январь 2014г</c:v>
                </c:pt>
                <c:pt idx="1">
                  <c:v>февраль 2014г</c:v>
                </c:pt>
                <c:pt idx="2">
                  <c:v>март 2014г</c:v>
                </c:pt>
              </c:strCache>
            </c:strRef>
          </c:cat>
          <c:val>
            <c:numRef>
              <c:f>Sheet1!$J$2:$J$4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Sheet1!$K$1</c:f>
              <c:strCache>
                <c:ptCount val="1"/>
              </c:strCache>
            </c:strRef>
          </c:tx>
          <c:spPr>
            <a:solidFill>
              <a:srgbClr val="FFFFCC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17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январь 2014г</c:v>
                </c:pt>
                <c:pt idx="1">
                  <c:v>февраль 2014г</c:v>
                </c:pt>
                <c:pt idx="2">
                  <c:v>март 2014г</c:v>
                </c:pt>
              </c:strCache>
            </c:strRef>
          </c:cat>
          <c:val>
            <c:numRef>
              <c:f>Sheet1!$K$2:$K$4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Sheet1!$L$1</c:f>
              <c:strCache>
                <c:ptCount val="1"/>
              </c:strCache>
            </c:strRef>
          </c:tx>
          <c:spPr>
            <a:solidFill>
              <a:srgbClr val="CCFF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17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январь 2014г</c:v>
                </c:pt>
                <c:pt idx="1">
                  <c:v>февраль 2014г</c:v>
                </c:pt>
                <c:pt idx="2">
                  <c:v>март 2014г</c:v>
                </c:pt>
              </c:strCache>
            </c:strRef>
          </c:cat>
          <c:val>
            <c:numRef>
              <c:f>Sheet1!$L$2:$L$4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50"/>
        <c:overlap val="100"/>
        <c:axId val="39482112"/>
        <c:axId val="39484032"/>
      </c:barChart>
      <c:catAx>
        <c:axId val="3948211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4840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484032"/>
        <c:scaling>
          <c:orientation val="minMax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9482112"/>
        <c:crosses val="autoZero"/>
        <c:crossBetween val="between"/>
        <c:majorUnit val="2000"/>
        <c:minorUnit val="1000"/>
      </c:valAx>
      <c:spPr>
        <a:solidFill>
          <a:srgbClr val="FFFF99"/>
        </a:solidFill>
        <a:ln w="12696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00"/>
    </a:solidFill>
    <a:ln>
      <a:noFill/>
    </a:ln>
  </c:spPr>
  <c:txPr>
    <a:bodyPr/>
    <a:lstStyle/>
    <a:p>
      <a:pPr>
        <a:defRPr sz="17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0"/>
      <c:perspective val="3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037885213227826"/>
          <c:y val="1.9698198432541444E-2"/>
          <c:w val="0.81548599670510713"/>
          <c:h val="0.71524805320197116"/>
        </c:manualLayout>
      </c:layout>
      <c:bar3DChart>
        <c:barDir val="col"/>
        <c:grouping val="standar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контрольные</c:v>
                </c:pt>
              </c:strCache>
            </c:strRef>
          </c:tx>
          <c:spPr>
            <a:solidFill>
              <a:srgbClr val="FF00FF"/>
            </a:solidFill>
            <a:ln w="25367">
              <a:solidFill>
                <a:srgbClr val="FF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525876573120667E-2"/>
                  <c:y val="2.308777021927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188067837674142E-2"/>
                  <c:y val="1.7638942574430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2632579581398479E-2"/>
                  <c:y val="1.97865048150395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90444810543657328"/>
                  <c:y val="0.312236286919831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94069192751235586"/>
                  <c:y val="0.295358649789029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95551894563426687"/>
                  <c:y val="0.295358649789029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95551894563426687"/>
                  <c:y val="0.316455696202531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Mode val="edge"/>
                  <c:yMode val="edge"/>
                  <c:x val="0.96869851729818779"/>
                  <c:y val="0.303797468354430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Mode val="edge"/>
                  <c:yMode val="edge"/>
                  <c:x val="0.97528830313014825"/>
                  <c:y val="0.278481012658227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Mode val="edge"/>
                  <c:yMode val="edge"/>
                  <c:x val="0.96375617792421742"/>
                  <c:y val="0.198312236286919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Mode val="edge"/>
                  <c:yMode val="edge"/>
                  <c:x val="0.97858319604612853"/>
                  <c:y val="0.19409282700421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Mode val="edge"/>
                  <c:yMode val="edge"/>
                  <c:x val="0.98517298187808899"/>
                  <c:y val="0.335443037974683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7">
                <a:noFill/>
              </a:ln>
            </c:spPr>
            <c:txPr>
              <a:bodyPr/>
              <a:lstStyle/>
              <a:p>
                <a:pPr>
                  <a:defRPr sz="137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167</c:v>
                </c:pt>
                <c:pt idx="1">
                  <c:v>176</c:v>
                </c:pt>
                <c:pt idx="2">
                  <c:v>191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всего </c:v>
                </c:pt>
              </c:strCache>
            </c:strRef>
          </c:tx>
          <c:spPr>
            <a:solidFill>
              <a:srgbClr val="33CCCC"/>
            </a:solidFill>
            <a:ln w="25367">
              <a:solidFill>
                <a:srgbClr val="339966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284137559728072E-2"/>
                  <c:y val="-1.9107062008750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379130493303722E-2"/>
                  <c:y val="-1.6970465325536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6146611481257151E-2"/>
                  <c:y val="1.0188478952772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90280065897858319"/>
                  <c:y val="0.348101265822784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96869851729818779"/>
                  <c:y val="0.377637130801687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97528830313014825"/>
                  <c:y val="0.352320675105485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95716639209225696"/>
                  <c:y val="0.341772151898734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Mode val="edge"/>
                  <c:yMode val="edge"/>
                  <c:x val="0.97199341021416807"/>
                  <c:y val="0.426160337552742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Mode val="edge"/>
                  <c:yMode val="edge"/>
                  <c:x val="0.96869851729818779"/>
                  <c:y val="0.40717299578059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Mode val="edge"/>
                  <c:yMode val="edge"/>
                  <c:x val="0.97199341021416807"/>
                  <c:y val="0.316455696202531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Mode val="edge"/>
                  <c:yMode val="edge"/>
                  <c:x val="0.98023064250411862"/>
                  <c:y val="0.396624472573839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Mode val="edge"/>
                  <c:yMode val="edge"/>
                  <c:x val="0.9835255354200988"/>
                  <c:y val="0.44725738396624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7">
                <a:noFill/>
              </a:ln>
            </c:spPr>
            <c:txPr>
              <a:bodyPr/>
              <a:lstStyle/>
              <a:p>
                <a:pPr>
                  <a:defRPr sz="137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5890</c:v>
                </c:pt>
                <c:pt idx="1">
                  <c:v>5986</c:v>
                </c:pt>
                <c:pt idx="2">
                  <c:v>6348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96588160"/>
        <c:axId val="96589696"/>
        <c:axId val="38039552"/>
      </c:bar3DChart>
      <c:catAx>
        <c:axId val="96588160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6589696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96589696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6588160"/>
        <c:crosses val="autoZero"/>
        <c:crossBetween val="between"/>
      </c:valAx>
      <c:serAx>
        <c:axId val="38039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6589696"/>
        <c:crosses val="autoZero"/>
        <c:tickLblSkip val="1"/>
        <c:tickMarkSkip val="1"/>
      </c:serAx>
      <c:spPr>
        <a:noFill/>
        <a:ln w="25367">
          <a:noFill/>
        </a:ln>
      </c:spPr>
    </c:plotArea>
    <c:legend>
      <c:legendPos val="r"/>
      <c:layout>
        <c:manualLayout>
          <c:xMode val="edge"/>
          <c:yMode val="edge"/>
          <c:x val="6.0088505338275165E-2"/>
          <c:y val="0.85398969512798473"/>
          <c:w val="0.79242174629324547"/>
          <c:h val="5.2742616033755275E-2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283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373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764331210191077E-2"/>
          <c:y val="0.10551558752997602"/>
          <c:w val="0.47611464968152867"/>
          <c:h val="0.71702637889688248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1.702386885921249E-2"/>
                  <c:y val="6.918630814736716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0133">
                <a:noFill/>
              </a:ln>
            </c:spPr>
            <c:txPr>
              <a:bodyPr/>
              <a:lstStyle/>
              <a:p>
                <a:pPr>
                  <a:defRPr sz="99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Sheet1!$A$2:$A$8</c:f>
              <c:strCache>
                <c:ptCount val="7"/>
                <c:pt idx="0">
                  <c:v>оказание первичной медицинской помощи</c:v>
                </c:pt>
                <c:pt idx="1">
                  <c:v>оказание специализированной медицинской помощи</c:v>
                </c:pt>
                <c:pt idx="2">
                  <c:v>оказание высокотехнологичной медицинской помощи</c:v>
                </c:pt>
                <c:pt idx="3">
                  <c:v>лекарственное обеспечение</c:v>
                </c:pt>
                <c:pt idx="4">
                  <c:v>кадровое обеспечение медицинских и фармацевтических работников</c:v>
                </c:pt>
                <c:pt idx="5">
                  <c:v>направление на лечение за пределы России</c:v>
                </c:pt>
                <c:pt idx="6">
                  <c:v>другие вопросы 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96</c:v>
                </c:pt>
                <c:pt idx="1">
                  <c:v>162</c:v>
                </c:pt>
                <c:pt idx="2">
                  <c:v>122</c:v>
                </c:pt>
                <c:pt idx="3">
                  <c:v>59</c:v>
                </c:pt>
                <c:pt idx="4" formatCode="0">
                  <c:v>24</c:v>
                </c:pt>
                <c:pt idx="5">
                  <c:v>57</c:v>
                </c:pt>
                <c:pt idx="6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6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834394904458595"/>
          <c:y val="0"/>
          <c:w val="0.31847133757961782"/>
          <c:h val="0.97841726618705038"/>
        </c:manualLayout>
      </c:layout>
      <c:overlay val="0"/>
      <c:spPr>
        <a:solidFill>
          <a:srgbClr val="FFFFFF"/>
        </a:solidFill>
        <a:ln w="2517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4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074380165289261E-2"/>
          <c:y val="0.12638580931263857"/>
          <c:w val="0.50413223140495866"/>
          <c:h val="0.67627494456762749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5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0114">
                <a:noFill/>
              </a:ln>
            </c:spPr>
            <c:txPr>
              <a:bodyPr/>
              <a:lstStyle/>
              <a:p>
                <a:pPr>
                  <a:defRPr sz="102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</c:v>
                </c:pt>
                <c:pt idx="3">
                  <c:v>кадровое обеспечение медицинских и фармацевтических работников</c:v>
                </c:pt>
                <c:pt idx="4">
                  <c:v>Другие вопросы </c:v>
                </c:pt>
                <c:pt idx="5">
                  <c:v>Вопросы других ведомств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8130</c:v>
                </c:pt>
                <c:pt idx="1">
                  <c:v>3793</c:v>
                </c:pt>
                <c:pt idx="2">
                  <c:v>1853</c:v>
                </c:pt>
                <c:pt idx="3">
                  <c:v>1795</c:v>
                </c:pt>
                <c:pt idx="4" formatCode="0">
                  <c:v>2232</c:v>
                </c:pt>
                <c:pt idx="5">
                  <c:v>594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611570247933882"/>
          <c:y val="0"/>
          <c:w val="0.33057851239669422"/>
          <c:h val="0.95343680709534373"/>
        </c:manualLayout>
      </c:layout>
      <c:overlay val="0"/>
      <c:spPr>
        <a:solidFill>
          <a:srgbClr val="FFFFFF"/>
        </a:solidFill>
        <a:ln w="2514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38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555023923444973E-2"/>
          <c:y val="3.7280701754385963E-2"/>
          <c:w val="0.56299840510366828"/>
          <c:h val="0.894736842105263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Москва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36.049999999999997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rgbClr val="00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23.18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Мурманская область</c:v>
                </c:pt>
              </c:strCache>
            </c:strRef>
          </c:tx>
          <c:spPr>
            <a:solidFill>
              <a:srgbClr val="FF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16.5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Калининградская область</c:v>
                </c:pt>
              </c:strCache>
            </c:strRef>
          </c:tx>
          <c:spPr>
            <a:solidFill>
              <a:srgbClr val="0000FF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14.51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Магаданская область</c:v>
                </c:pt>
              </c:strCache>
            </c:strRef>
          </c:tx>
          <c:spPr>
            <a:solidFill>
              <a:srgbClr val="660066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14.11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51788032"/>
        <c:axId val="51806208"/>
        <c:axId val="0"/>
      </c:bar3DChart>
      <c:catAx>
        <c:axId val="51788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18062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1806208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1788032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65709728867623607"/>
          <c:y val="0.21929824561403508"/>
          <c:w val="0.33652312599681022"/>
          <c:h val="0.56140350877192979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7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Сафронова Ольга Викторовна</cp:lastModifiedBy>
  <cp:revision>8</cp:revision>
  <cp:lastPrinted>2013-06-05T14:27:00Z</cp:lastPrinted>
  <dcterms:created xsi:type="dcterms:W3CDTF">2014-04-18T12:40:00Z</dcterms:created>
  <dcterms:modified xsi:type="dcterms:W3CDTF">2014-05-15T07:23:00Z</dcterms:modified>
</cp:coreProperties>
</file>