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CD6">
      <w:pPr>
        <w:spacing w:after="0" w:line="340" w:lineRule="exact"/>
        <w:ind w:left="623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E40CD6">
      <w:pPr>
        <w:spacing w:after="0" w:line="340" w:lineRule="exact"/>
        <w:ind w:left="623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E40CD6">
      <w:pPr>
        <w:spacing w:after="0" w:line="340" w:lineRule="exact"/>
        <w:ind w:left="623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E40CD6">
      <w:pPr>
        <w:spacing w:after="0" w:line="340" w:lineRule="exact"/>
        <w:ind w:left="623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E40CD6">
      <w:pPr>
        <w:spacing w:after="0" w:line="3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000000" w:rsidRDefault="00E40CD6">
      <w:pPr>
        <w:spacing w:after="0" w:line="3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476/12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</w:t>
      </w:r>
      <w:r>
        <w:rPr>
          <w:rFonts w:ascii="Times New Roman CYR" w:hAnsi="Times New Roman CYR" w:cs="Times New Roman CYR"/>
          <w:sz w:val="28"/>
          <w:szCs w:val="28"/>
        </w:rPr>
        <w:t>нии</w:t>
      </w:r>
    </w:p>
    <w:p w:rsidR="00000000" w:rsidRDefault="00E40CD6">
      <w:pPr>
        <w:spacing w:after="0" w:line="3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</w:p>
    <w:p w:rsidR="00000000" w:rsidRDefault="00E40CD6">
      <w:pPr>
        <w:spacing w:after="0" w:line="340" w:lineRule="exact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29.03.2012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000000" w:rsidRDefault="00E40CD6">
      <w:pPr>
        <w:spacing w:after="0" w:line="340" w:lineRule="exact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Комиссия Федеральной антимонопольной службы по контролю в сфере размещ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заказов (далее – Комиссия) </w:t>
      </w:r>
      <w:r>
        <w:rPr>
          <w:rFonts w:ascii="Times New Roman CYR" w:hAnsi="Times New Roman CYR" w:cs="Times New Roman CYR"/>
          <w:sz w:val="28"/>
          <w:szCs w:val="28"/>
        </w:rPr>
        <w:t>рассмотрев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жалобу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Автотехпрайд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Северная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Осетия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Алания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Заказчик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Северная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Осетия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Алания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Уполномоченный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содержащие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</w:t>
      </w:r>
      <w:r>
        <w:rPr>
          <w:rFonts w:ascii="Times New Roman CYR" w:hAnsi="Times New Roman CYR" w:cs="Times New Roman CYR"/>
          <w:sz w:val="28"/>
          <w:szCs w:val="28"/>
        </w:rPr>
        <w:t>дательства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открытого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заключения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программно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аппаратного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внедрения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республиканских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сервисов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анали</w:t>
      </w:r>
      <w:r>
        <w:rPr>
          <w:rFonts w:ascii="Times New Roman CYR" w:hAnsi="Times New Roman CYR" w:cs="Times New Roman CYR"/>
          <w:sz w:val="28"/>
          <w:szCs w:val="28"/>
        </w:rPr>
        <w:t>тической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ЕМИАС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РСО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Алания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«Модернизация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РСО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Алания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2011-2012 </w:t>
      </w:r>
      <w:r>
        <w:rPr>
          <w:rFonts w:ascii="Times New Roman CYR" w:hAnsi="Times New Roman CYR" w:cs="Times New Roman CYR"/>
          <w:sz w:val="28"/>
          <w:szCs w:val="28"/>
        </w:rPr>
        <w:t>годы»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задания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реестровый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торгов</w:t>
      </w:r>
      <w:r>
        <w:rPr>
          <w:rFonts w:ascii="Times New Roman CYR" w:hAnsi="Times New Roman CYR" w:cs="Times New Roman CYR"/>
          <w:sz w:val="28"/>
          <w:szCs w:val="28"/>
        </w:rPr>
        <w:t xml:space="preserve"> 0310200000312000167)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Конкурс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внеплановой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21.07.2005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94-</w:t>
      </w:r>
      <w:r>
        <w:rPr>
          <w:rFonts w:ascii="Times New Roman CYR" w:hAnsi="Times New Roman CYR" w:cs="Times New Roman CYR"/>
          <w:sz w:val="28"/>
          <w:szCs w:val="28"/>
        </w:rPr>
        <w:t>ФЗ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нужд»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</w:t>
      </w:r>
      <w:r>
        <w:rPr>
          <w:rFonts w:ascii="Times New Roman CYR" w:hAnsi="Times New Roman CYR" w:cs="Times New Roman CYR"/>
          <w:sz w:val="28"/>
          <w:szCs w:val="28"/>
        </w:rPr>
        <w:t>нтом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приказом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14.11.2007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379,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УСТАНОВИЛА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Федеральную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антимонопольную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поступила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жалоба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</w:t>
      </w:r>
      <w:r>
        <w:rPr>
          <w:rFonts w:ascii="Times New Roman CYR" w:hAnsi="Times New Roman CYR" w:cs="Times New Roman CYR"/>
          <w:sz w:val="28"/>
          <w:szCs w:val="28"/>
        </w:rPr>
        <w:t>есы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Заказчиком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неверный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поскольку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включено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аукциона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27.02.2008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236-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Заказчик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</w:t>
      </w:r>
      <w:r>
        <w:rPr>
          <w:rFonts w:ascii="Times New Roman CYR" w:hAnsi="Times New Roman CYR" w:cs="Times New Roman CYR"/>
          <w:sz w:val="28"/>
          <w:szCs w:val="28"/>
        </w:rPr>
        <w:t>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ограничивающие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Конкурсная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содержит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противоречивые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Представители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согласились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доводами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сообщили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действовали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жалобы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</w:t>
      </w:r>
      <w:r>
        <w:rPr>
          <w:rFonts w:ascii="Times New Roman CYR" w:hAnsi="Times New Roman CYR" w:cs="Times New Roman CYR"/>
          <w:sz w:val="28"/>
          <w:szCs w:val="28"/>
        </w:rPr>
        <w:t>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17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внеплановой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установила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следующее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02.03.2012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официальном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извещение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максимальной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ценой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93 307 000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извещением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вскрытия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конвертов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заявками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Конкурсе</w:t>
      </w:r>
      <w:r>
        <w:rPr>
          <w:rFonts w:ascii="Times New Roman CYR" w:hAnsi="Times New Roman CYR" w:cs="Times New Roman CYR"/>
          <w:sz w:val="28"/>
          <w:szCs w:val="28"/>
        </w:rPr>
        <w:t xml:space="preserve"> - 12.04.2012;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Конкурсе</w:t>
      </w:r>
      <w:r>
        <w:rPr>
          <w:rFonts w:ascii="Times New Roman CYR" w:hAnsi="Times New Roman CYR" w:cs="Times New Roman CYR"/>
          <w:sz w:val="28"/>
          <w:szCs w:val="28"/>
        </w:rPr>
        <w:t xml:space="preserve"> - 19.04.2012;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>
        <w:rPr>
          <w:rFonts w:ascii="Times New Roman CYR" w:hAnsi="Times New Roman CYR" w:cs="Times New Roman CYR"/>
          <w:sz w:val="28"/>
          <w:szCs w:val="28"/>
        </w:rPr>
        <w:t xml:space="preserve"> - 26.04.2012.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>
        <w:rPr>
          <w:rFonts w:ascii="Times New Roman CYR" w:hAnsi="Times New Roman CYR" w:cs="Times New Roman CYR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производятся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выполняются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оказываются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заявкам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функционирующий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рынок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сравнивать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ценам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аукциона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Перечни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соответственно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аукциона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z w:val="28"/>
          <w:szCs w:val="28"/>
        </w:rPr>
        <w:t xml:space="preserve"> 4.2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 CYR" w:hAnsi="Times New Roman CYR" w:cs="Times New Roman CYR"/>
          <w:sz w:val="28"/>
          <w:szCs w:val="28"/>
        </w:rPr>
        <w:t>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аукциона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исполнителю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необходимо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осуществить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аппаратного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автоматизации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лечебно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профилактических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блейд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сервера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>
        <w:rPr>
          <w:rFonts w:ascii="Times New Roman CYR" w:hAnsi="Times New Roman CYR" w:cs="Times New Roman CYR"/>
          <w:sz w:val="28"/>
          <w:szCs w:val="28"/>
        </w:rPr>
        <w:t xml:space="preserve"> 1-5);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криптомаршрутизатора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>
        <w:rPr>
          <w:rFonts w:ascii="Times New Roman CYR" w:hAnsi="Times New Roman CYR" w:cs="Times New Roman CYR"/>
          <w:sz w:val="28"/>
          <w:szCs w:val="28"/>
        </w:rPr>
        <w:t xml:space="preserve"> 1-4; </w:t>
      </w:r>
      <w:r>
        <w:rPr>
          <w:rFonts w:ascii="Times New Roman CYR" w:hAnsi="Times New Roman CYR" w:cs="Times New Roman CYR"/>
          <w:sz w:val="28"/>
          <w:szCs w:val="28"/>
        </w:rPr>
        <w:t>аппаратно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программного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модуля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доверенной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загрузки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блейд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серверов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>
        <w:rPr>
          <w:rFonts w:ascii="Times New Roman CYR" w:hAnsi="Times New Roman CYR" w:cs="Times New Roman CYR"/>
          <w:sz w:val="28"/>
          <w:szCs w:val="28"/>
        </w:rPr>
        <w:t xml:space="preserve"> 1-5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>
        <w:rPr>
          <w:rFonts w:ascii="Times New Roman CYR" w:hAnsi="Times New Roman CYR" w:cs="Times New Roman CYR"/>
          <w:sz w:val="28"/>
          <w:szCs w:val="28"/>
        </w:rPr>
        <w:t xml:space="preserve"> 1-4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клавиатура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ЛПУ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>
        <w:rPr>
          <w:rFonts w:ascii="Times New Roman CYR" w:hAnsi="Times New Roman CYR" w:cs="Times New Roman CYR"/>
          <w:sz w:val="28"/>
          <w:szCs w:val="28"/>
        </w:rPr>
        <w:t xml:space="preserve"> 1-5; </w:t>
      </w:r>
      <w:r>
        <w:rPr>
          <w:rFonts w:ascii="Times New Roman CYR" w:hAnsi="Times New Roman CYR" w:cs="Times New Roman CYR"/>
          <w:sz w:val="28"/>
          <w:szCs w:val="28"/>
        </w:rPr>
        <w:t>манипулятор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«мышь»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ЛПУ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>
        <w:rPr>
          <w:rFonts w:ascii="Times New Roman CYR" w:hAnsi="Times New Roman CYR" w:cs="Times New Roman CYR"/>
          <w:sz w:val="28"/>
          <w:szCs w:val="28"/>
        </w:rPr>
        <w:t xml:space="preserve"> 1-5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распределитель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фильтр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ЛПУ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>
        <w:rPr>
          <w:rFonts w:ascii="Times New Roman CYR" w:hAnsi="Times New Roman CYR" w:cs="Times New Roman CYR"/>
          <w:sz w:val="28"/>
          <w:szCs w:val="28"/>
        </w:rPr>
        <w:t xml:space="preserve"> 1-5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Общероссийским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классификатором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экономической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продукции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z w:val="28"/>
          <w:szCs w:val="28"/>
        </w:rPr>
        <w:t xml:space="preserve"> 004-93 </w:t>
      </w:r>
      <w:r>
        <w:rPr>
          <w:rFonts w:ascii="Times New Roman CYR" w:hAnsi="Times New Roman CYR" w:cs="Times New Roman CYR"/>
          <w:sz w:val="28"/>
          <w:szCs w:val="28"/>
        </w:rPr>
        <w:t>товары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ходе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отнесены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коду</w:t>
      </w:r>
      <w:r>
        <w:rPr>
          <w:rFonts w:ascii="Times New Roman CYR" w:hAnsi="Times New Roman CYR" w:cs="Times New Roman CYR"/>
          <w:sz w:val="28"/>
          <w:szCs w:val="28"/>
        </w:rPr>
        <w:t xml:space="preserve"> 3020000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Электронно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вычислительная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детали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принадлежности»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содержит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оказание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аукциона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27.02.2008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236-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учетом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>
        <w:rPr>
          <w:rFonts w:ascii="Times New Roman CYR" w:hAnsi="Times New Roman CYR" w:cs="Times New Roman CYR"/>
          <w:sz w:val="28"/>
          <w:szCs w:val="28"/>
        </w:rPr>
        <w:t xml:space="preserve"> 4.2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аукциона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Заказчик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частей</w:t>
      </w:r>
      <w:r>
        <w:rPr>
          <w:rFonts w:ascii="Times New Roman CYR" w:hAnsi="Times New Roman CYR" w:cs="Times New Roman CYR"/>
          <w:sz w:val="28"/>
          <w:szCs w:val="28"/>
        </w:rPr>
        <w:t xml:space="preserve"> 4, 4.2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Указанные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7.29 </w:t>
      </w:r>
      <w:r>
        <w:rPr>
          <w:rFonts w:ascii="Times New Roman CYR" w:hAnsi="Times New Roman CYR" w:cs="Times New Roman CYR"/>
          <w:sz w:val="28"/>
          <w:szCs w:val="28"/>
        </w:rPr>
        <w:t>Кодекса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правонарушениях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КоАП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22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</w:t>
      </w:r>
      <w:r>
        <w:rPr>
          <w:rFonts w:ascii="Times New Roman CYR" w:hAnsi="Times New Roman CYR" w:cs="Times New Roman CYR"/>
          <w:sz w:val="28"/>
          <w:szCs w:val="28"/>
        </w:rPr>
        <w:t>лено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знаки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фирменные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патенты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полезные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модели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промышленные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происхождения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производителя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>
        <w:rPr>
          <w:rFonts w:ascii="Times New Roman CYR" w:hAnsi="Times New Roman CYR" w:cs="Times New Roman CYR"/>
          <w:sz w:val="28"/>
          <w:szCs w:val="28"/>
        </w:rPr>
        <w:t>ебования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товару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работам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услугам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влекут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заказа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Пунктом</w:t>
      </w:r>
      <w:r>
        <w:rPr>
          <w:rFonts w:ascii="Times New Roman CYR" w:hAnsi="Times New Roman CYR" w:cs="Times New Roman CYR"/>
          <w:sz w:val="28"/>
          <w:szCs w:val="28"/>
        </w:rPr>
        <w:t xml:space="preserve"> 4.2 </w:t>
      </w:r>
      <w:r>
        <w:rPr>
          <w:rFonts w:ascii="Times New Roman CYR" w:hAnsi="Times New Roman CYR" w:cs="Times New Roman CYR"/>
          <w:sz w:val="28"/>
          <w:szCs w:val="28"/>
        </w:rPr>
        <w:t>«Основные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задачи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полномасштабной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информатизации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лечебно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профилактические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компьютерным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серверным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сетевой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инфраструктурой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общесистемным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</w:t>
      </w:r>
      <w:r>
        <w:rPr>
          <w:rFonts w:ascii="Times New Roman CYR" w:hAnsi="Times New Roman CYR" w:cs="Times New Roman CYR"/>
          <w:sz w:val="28"/>
          <w:szCs w:val="28"/>
        </w:rPr>
        <w:t>чением»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пунктом</w:t>
      </w:r>
      <w:r>
        <w:rPr>
          <w:rFonts w:ascii="Times New Roman CYR" w:hAnsi="Times New Roman CYR" w:cs="Times New Roman CYR"/>
          <w:sz w:val="28"/>
          <w:szCs w:val="28"/>
        </w:rPr>
        <w:t xml:space="preserve"> 1.11.1 </w:t>
      </w:r>
      <w:r>
        <w:rPr>
          <w:rFonts w:ascii="Times New Roman CYR" w:hAnsi="Times New Roman CYR" w:cs="Times New Roman CYR"/>
          <w:sz w:val="28"/>
          <w:szCs w:val="28"/>
        </w:rPr>
        <w:t>технического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поставляемого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</w:t>
      </w:r>
      <w:r>
        <w:rPr>
          <w:rFonts w:ascii="Times New Roman CYR" w:hAnsi="Times New Roman CYR" w:cs="Times New Roman CYR"/>
          <w:sz w:val="28"/>
          <w:szCs w:val="28"/>
        </w:rPr>
        <w:t>кса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ПТК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компоненты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«Подсистема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«МИС»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Подсистема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«Электронная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регистратура»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Подсистема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«Статистика»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Подсистема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PACs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РИС»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Подсистема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«Аптека»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Автоматизированная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удаленных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телемедицинских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консультаций»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заседании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доказательства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того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производителей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продуктов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имеющих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определенную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специализацию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областях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представлено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рынке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компьютерное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серверное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компаний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Таким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компании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поставщики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компьютерного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серверного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торгах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поскольку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заседание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доказательств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того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невозможно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закупку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лотами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компьютерного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серверного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нарушив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целостность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аппаратного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внедрени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республиканских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сервисов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медицинской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аналитической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ЕМИАС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РСО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Алания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«Модернизация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РСО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Алания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2011-2012 </w:t>
      </w:r>
      <w:r>
        <w:rPr>
          <w:rFonts w:ascii="Times New Roman CYR" w:hAnsi="Times New Roman CYR" w:cs="Times New Roman CYR"/>
          <w:sz w:val="28"/>
          <w:szCs w:val="28"/>
        </w:rPr>
        <w:t>годы»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выразившееся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ограничении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</w:t>
      </w:r>
      <w:r>
        <w:rPr>
          <w:rFonts w:ascii="Times New Roman CYR" w:hAnsi="Times New Roman CYR" w:cs="Times New Roman CYR"/>
          <w:sz w:val="28"/>
          <w:szCs w:val="28"/>
        </w:rPr>
        <w:t>ичества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объединения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компьютерного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серверного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нарушают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22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пунктом</w:t>
      </w:r>
      <w:r>
        <w:rPr>
          <w:rFonts w:ascii="Times New Roman CYR" w:hAnsi="Times New Roman CYR" w:cs="Times New Roman CYR"/>
          <w:sz w:val="28"/>
          <w:szCs w:val="28"/>
        </w:rPr>
        <w:t xml:space="preserve"> 15.2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>
        <w:rPr>
          <w:rFonts w:ascii="Times New Roman CYR" w:hAnsi="Times New Roman CYR" w:cs="Times New Roman CYR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стат</w:t>
      </w:r>
      <w:r>
        <w:rPr>
          <w:rFonts w:ascii="Times New Roman CYR" w:hAnsi="Times New Roman CYR" w:cs="Times New Roman CYR"/>
          <w:sz w:val="28"/>
          <w:szCs w:val="28"/>
        </w:rPr>
        <w:t>ьи</w:t>
      </w:r>
      <w:r>
        <w:rPr>
          <w:rFonts w:ascii="Times New Roman CYR" w:hAnsi="Times New Roman CYR" w:cs="Times New Roman CYR"/>
          <w:sz w:val="28"/>
          <w:szCs w:val="28"/>
        </w:rPr>
        <w:t xml:space="preserve"> 22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случае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пункту</w:t>
      </w:r>
      <w:r>
        <w:rPr>
          <w:rFonts w:ascii="Times New Roman CYR" w:hAnsi="Times New Roman CYR" w:cs="Times New Roman CYR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</w:rPr>
        <w:t>«Информационная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карта»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 20%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максимальной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Пунктом</w:t>
      </w:r>
      <w:r>
        <w:rPr>
          <w:rFonts w:ascii="Times New Roman CYR" w:hAnsi="Times New Roman CYR" w:cs="Times New Roman CYR"/>
          <w:sz w:val="28"/>
          <w:szCs w:val="28"/>
        </w:rPr>
        <w:t xml:space="preserve"> 9.1.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включенного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установлен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размере</w:t>
      </w:r>
      <w:r>
        <w:rPr>
          <w:rFonts w:ascii="Times New Roman CYR" w:hAnsi="Times New Roman CYR" w:cs="Times New Roman CYR"/>
          <w:sz w:val="28"/>
          <w:szCs w:val="28"/>
        </w:rPr>
        <w:t xml:space="preserve"> 5%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максимальной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цены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контракта</w:t>
      </w:r>
      <w:r>
        <w:rPr>
          <w:rFonts w:ascii="Times New Roman CYR" w:hAnsi="Times New Roman CYR" w:cs="Times New Roman CYR"/>
          <w:sz w:val="28"/>
          <w:szCs w:val="28"/>
        </w:rPr>
        <w:t xml:space="preserve">.   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Заказчик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</w:t>
      </w:r>
      <w:r>
        <w:rPr>
          <w:rFonts w:ascii="Times New Roman CYR" w:hAnsi="Times New Roman CYR" w:cs="Times New Roman CYR"/>
          <w:sz w:val="28"/>
          <w:szCs w:val="28"/>
        </w:rPr>
        <w:t>кта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>
        <w:rPr>
          <w:rFonts w:ascii="Times New Roman CYR" w:hAnsi="Times New Roman CYR" w:cs="Times New Roman CYR"/>
          <w:sz w:val="28"/>
          <w:szCs w:val="28"/>
        </w:rPr>
        <w:t xml:space="preserve"> 15.2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>
        <w:rPr>
          <w:rFonts w:ascii="Times New Roman CYR" w:hAnsi="Times New Roman CYR" w:cs="Times New Roman CYR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22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установленных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выше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предусмотренного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</w:t>
      </w:r>
      <w:r>
        <w:rPr>
          <w:rFonts w:ascii="Times New Roman CYR" w:hAnsi="Times New Roman CYR" w:cs="Times New Roman CYR"/>
          <w:sz w:val="28"/>
          <w:szCs w:val="28"/>
        </w:rPr>
        <w:t>стью</w:t>
      </w:r>
      <w:r>
        <w:rPr>
          <w:rFonts w:ascii="Times New Roman CYR" w:hAnsi="Times New Roman CYR" w:cs="Times New Roman CYR"/>
          <w:sz w:val="28"/>
          <w:szCs w:val="28"/>
        </w:rPr>
        <w:t xml:space="preserve"> 4.2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7.30 </w:t>
      </w:r>
      <w:r>
        <w:rPr>
          <w:rFonts w:ascii="Times New Roman CYR" w:hAnsi="Times New Roman CYR" w:cs="Times New Roman CYR"/>
          <w:sz w:val="28"/>
          <w:szCs w:val="28"/>
        </w:rPr>
        <w:t>Кодекса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изложенного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руководствуясь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частями</w:t>
      </w:r>
      <w:r>
        <w:rPr>
          <w:rFonts w:ascii="Times New Roman CYR" w:hAnsi="Times New Roman CYR" w:cs="Times New Roman CYR"/>
          <w:sz w:val="28"/>
          <w:szCs w:val="28"/>
        </w:rPr>
        <w:t xml:space="preserve"> 5, 9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17,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z w:val="28"/>
          <w:szCs w:val="28"/>
        </w:rPr>
        <w:t xml:space="preserve"> 6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60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приказом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АС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14.11.2007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379, </w:t>
      </w:r>
      <w:r>
        <w:rPr>
          <w:rFonts w:ascii="Times New Roman CYR" w:hAnsi="Times New Roman CYR" w:cs="Times New Roman CYR"/>
          <w:sz w:val="28"/>
          <w:szCs w:val="28"/>
        </w:rPr>
        <w:t>Комиссия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00000" w:rsidRDefault="00E40CD6">
      <w:pPr>
        <w:spacing w:after="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жалоб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Автотехпрайд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обоснованной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частей</w:t>
      </w:r>
      <w:r>
        <w:rPr>
          <w:rFonts w:ascii="Times New Roman CYR" w:hAnsi="Times New Roman CYR" w:cs="Times New Roman CYR"/>
          <w:sz w:val="28"/>
          <w:szCs w:val="28"/>
        </w:rPr>
        <w:t xml:space="preserve"> 4, 4.2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10,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>
        <w:rPr>
          <w:rFonts w:ascii="Times New Roman CYR" w:hAnsi="Times New Roman CYR" w:cs="Times New Roman CYR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22, </w:t>
      </w:r>
      <w:r>
        <w:rPr>
          <w:rFonts w:ascii="Times New Roman CYR" w:hAnsi="Times New Roman CYR" w:cs="Times New Roman CYR"/>
          <w:sz w:val="28"/>
          <w:szCs w:val="28"/>
        </w:rPr>
        <w:t>пункта</w:t>
      </w:r>
      <w:r>
        <w:rPr>
          <w:rFonts w:ascii="Times New Roman CYR" w:hAnsi="Times New Roman CYR" w:cs="Times New Roman CYR"/>
          <w:sz w:val="28"/>
          <w:szCs w:val="28"/>
        </w:rPr>
        <w:t xml:space="preserve"> 15.2 </w:t>
      </w:r>
      <w:r>
        <w:rPr>
          <w:rFonts w:ascii="Times New Roman CYR" w:hAnsi="Times New Roman CYR" w:cs="Times New Roman CYR"/>
          <w:sz w:val="28"/>
          <w:szCs w:val="28"/>
        </w:rPr>
        <w:t>части</w:t>
      </w:r>
      <w:r>
        <w:rPr>
          <w:rFonts w:ascii="Times New Roman CYR" w:hAnsi="Times New Roman CYR" w:cs="Times New Roman CYR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22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Выда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Заказчику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Уполномоченному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предписание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устранении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Передать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29.03.2012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-476/12 </w:t>
      </w:r>
      <w:r>
        <w:rPr>
          <w:rFonts w:ascii="Times New Roman CYR" w:hAnsi="Times New Roman CYR" w:cs="Times New Roman CYR"/>
          <w:sz w:val="28"/>
          <w:szCs w:val="28"/>
        </w:rPr>
        <w:t>соответствующему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должностному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рассмотрения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возбуждении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правонарушении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ind w:firstLine="69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обжаловано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арбитражном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месяцев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порядке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40CD6">
      <w:pPr>
        <w:spacing w:after="0" w:line="340" w:lineRule="exact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rPr>
          <w:rFonts w:ascii="Times New Roman CYR" w:hAnsi="Times New Roman CYR" w:cs="Times New Roman CYR"/>
          <w:sz w:val="28"/>
          <w:szCs w:val="28"/>
        </w:rPr>
      </w:pPr>
    </w:p>
    <w:p w:rsidR="00000000" w:rsidRDefault="00E40CD6">
      <w:pPr>
        <w:spacing w:after="0" w:line="3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заседание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252C11" w:rsidRDefault="00252C11" w:rsidP="00252C11">
      <w:pPr>
        <w:spacing w:after="0" w:line="340" w:lineRule="exac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52C11" w:rsidRDefault="00252C11" w:rsidP="00252C11">
      <w:pPr>
        <w:spacing w:after="0" w:line="340" w:lineRule="exac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40CD6" w:rsidRDefault="00E40CD6" w:rsidP="00252C11">
      <w:pPr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</w:t>
      </w:r>
    </w:p>
    <w:sectPr w:rsidR="00E40CD6">
      <w:headerReference w:type="default" r:id="rId7"/>
      <w:footerReference w:type="default" r:id="rId8"/>
      <w:pgSz w:w="11907" w:h="16840"/>
      <w:pgMar w:top="1123" w:right="849" w:bottom="1123" w:left="1411" w:header="45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D6" w:rsidRDefault="00E40CD6">
      <w:pPr>
        <w:spacing w:after="0"/>
      </w:pPr>
      <w:r>
        <w:separator/>
      </w:r>
    </w:p>
  </w:endnote>
  <w:endnote w:type="continuationSeparator" w:id="0">
    <w:p w:rsidR="00E40CD6" w:rsidRDefault="00E40C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CD6">
    <w:pPr>
      <w:pStyle w:val="a3"/>
      <w:tabs>
        <w:tab w:val="center" w:pos="4677"/>
        <w:tab w:val="right" w:pos="9355"/>
      </w:tabs>
      <w:spacing w:after="192"/>
      <w:jc w:val="center"/>
      <w:rPr>
        <w:color w:val="auto"/>
        <w:sz w:val="22"/>
        <w:szCs w:val="22"/>
      </w:rPr>
    </w:pPr>
  </w:p>
  <w:p w:rsidR="00000000" w:rsidRDefault="00E40CD6">
    <w:pPr>
      <w:pStyle w:val="a3"/>
      <w:tabs>
        <w:tab w:val="center" w:pos="4677"/>
        <w:tab w:val="right" w:pos="9355"/>
      </w:tabs>
      <w:spacing w:after="192"/>
      <w:rPr>
        <w:color w:val="auto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D6" w:rsidRDefault="00E40CD6">
      <w:pPr>
        <w:spacing w:after="0"/>
      </w:pPr>
      <w:r>
        <w:separator/>
      </w:r>
    </w:p>
  </w:footnote>
  <w:footnote w:type="continuationSeparator" w:id="0">
    <w:p w:rsidR="00E40CD6" w:rsidRDefault="00E40C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0CD6">
    <w:pPr>
      <w:pStyle w:val="a5"/>
      <w:tabs>
        <w:tab w:val="center" w:pos="4677"/>
        <w:tab w:val="right" w:pos="9355"/>
      </w:tabs>
      <w:spacing w:after="192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252C1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F086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D1B6CEB4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D1B6CEB4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D1B6CEB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D1B6CEB4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D1B6CEB4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D1B6CEB4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>
    <w:nsid w:val="3310243C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9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32" w:hanging="168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52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92" w:hanging="168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12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52" w:hanging="168"/>
      </w:pPr>
      <w:rPr>
        <w:color w:val="00000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C11"/>
    <w:rsid w:val="00252C11"/>
    <w:rsid w:val="00E4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 w:line="240" w:lineRule="auto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Calibri" w:hAnsi="Calibri" w:cs="Calibri"/>
      <w:color w:val="000000"/>
    </w:rPr>
  </w:style>
  <w:style w:type="paragraph" w:styleId="a5">
    <w:name w:val="header"/>
    <w:basedOn w:val="a"/>
    <w:link w:val="a6"/>
    <w:uiPriority w:val="99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Calibri" w:hAnsi="Calibri" w:cs="Calibri"/>
      <w:color w:val="000000"/>
    </w:rPr>
  </w:style>
  <w:style w:type="paragraph" w:customStyle="1" w:styleId="cecef1f1ededeeeee2e2ededeeeee9e9f2f2e5e5eaeaf1f1f2f2f1f1eeeef2f2f1f1f2f2f3f3efefeeeeecec21">
    <w:name w:val="Оceceсf1f1нededоeeeeвe2e2нededоeeeeйe9e9 тf2f2еe5e5кeaeaсf1f1тf2f2 сf1f1 оeeeeтf2f2сf1f1тf2f2уf3f3пefefоeeeeмecec 21"/>
    <w:basedOn w:val="a"/>
    <w:uiPriority w:val="99"/>
    <w:pPr>
      <w:spacing w:after="0"/>
      <w:ind w:firstLine="69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ecee1e1fbfbf7f7ededfbfbe9e913efeff2f2">
    <w:name w:val="Оceceбe1e1ыfbfbчf7f7нededыfbfbйe9e9 + 13 пefefтf2f2"/>
    <w:basedOn w:val="a"/>
    <w:uiPriority w:val="99"/>
    <w:pPr>
      <w:spacing w:after="0"/>
      <w:ind w:left="5664"/>
    </w:pPr>
    <w:rPr>
      <w:rFonts w:ascii="Times New Roman" w:hAnsi="Times New Roman" w:cs="Times New Roman"/>
      <w:sz w:val="28"/>
      <w:szCs w:val="28"/>
    </w:rPr>
  </w:style>
  <w:style w:type="paragraph" w:customStyle="1" w:styleId="c7c7edede0e0eaea">
    <w:name w:val="Зc7c7нededаe0e0к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character" w:customStyle="1" w:styleId="LineNumber">
    <w:name w:val="Line Number"/>
    <w:basedOn w:val="a0"/>
    <w:uiPriority w:val="99"/>
    <w:rPr>
      <w:color w:val="000000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Calibri" w:hAnsi="Calibri" w:cs="Calibri"/>
      <w:color w:val="000000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Глеб Авоевич</dc:creator>
  <cp:lastModifiedBy>Абрамов Глеб Авоевич</cp:lastModifiedBy>
  <cp:revision>2</cp:revision>
  <dcterms:created xsi:type="dcterms:W3CDTF">2012-04-06T15:56:00Z</dcterms:created>
  <dcterms:modified xsi:type="dcterms:W3CDTF">2012-04-06T15:56:00Z</dcterms:modified>
</cp:coreProperties>
</file>