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Утверждена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2580-р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C3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4"/>
      <w:bookmarkEnd w:id="1"/>
      <w:r>
        <w:rPr>
          <w:rFonts w:ascii="Calibri" w:hAnsi="Calibri" w:cs="Calibri"/>
          <w:b/>
          <w:bCs/>
        </w:rPr>
        <w:t>стратегия</w:t>
      </w:r>
    </w:p>
    <w:p w:rsidR="00AD4811" w:rsidRDefault="00C3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медицинской науки в российской федерации на период</w:t>
      </w:r>
    </w:p>
    <w:p w:rsidR="00AD4811" w:rsidRDefault="00C3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 2025 года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Цели и задачи Стратегии развития 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на период до 2025 года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Общая характеристика, цели и задачи Стратегии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Стратегия развития медицинской науки в Российской Федерации на период до 2025 года (далее - Стратегия) разработана в соответствии с указами Президента Российской Федерации от 7 июля 2011 г. </w:t>
      </w:r>
      <w:hyperlink r:id="rId5" w:history="1">
        <w:r>
          <w:rPr>
            <w:rFonts w:ascii="Calibri" w:hAnsi="Calibri" w:cs="Calibri"/>
            <w:color w:val="0000FF"/>
          </w:rPr>
          <w:t>N 899</w:t>
        </w:r>
      </w:hyperlink>
      <w:r>
        <w:rPr>
          <w:rFonts w:ascii="Calibri" w:hAnsi="Calibri" w:cs="Calibri"/>
        </w:rPr>
        <w:t xml:space="preserve">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Федерации", от 7 мая 2012 г. </w:t>
      </w:r>
      <w:hyperlink r:id="rId6" w:history="1">
        <w:r>
          <w:rPr>
            <w:rFonts w:ascii="Calibri" w:hAnsi="Calibri" w:cs="Calibri"/>
            <w:color w:val="0000FF"/>
          </w:rPr>
          <w:t>N 598</w:t>
        </w:r>
      </w:hyperlink>
      <w:r>
        <w:rPr>
          <w:rFonts w:ascii="Calibri" w:hAnsi="Calibri" w:cs="Calibri"/>
        </w:rPr>
        <w:t xml:space="preserve"> "О совершенствовании государственной политики в сфере</w:t>
      </w:r>
      <w:proofErr w:type="gramEnd"/>
      <w:r>
        <w:rPr>
          <w:rFonts w:ascii="Calibri" w:hAnsi="Calibri" w:cs="Calibri"/>
        </w:rPr>
        <w:t xml:space="preserve"> здравоохранения" и от 7 мая 2012 г. </w:t>
      </w:r>
      <w:hyperlink r:id="rId7" w:history="1">
        <w:r>
          <w:rPr>
            <w:rFonts w:ascii="Calibri" w:hAnsi="Calibri" w:cs="Calibri"/>
            <w:color w:val="0000FF"/>
          </w:rPr>
          <w:t>N 599</w:t>
        </w:r>
      </w:hyperlink>
      <w:r>
        <w:rPr>
          <w:rFonts w:ascii="Calibri" w:hAnsi="Calibri" w:cs="Calibri"/>
        </w:rPr>
        <w:t xml:space="preserve"> "О мерах по реализации государственной политики в области образования и науки", а также </w:t>
      </w:r>
      <w:hyperlink r:id="rId8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г. N 2227-р.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Стратегия основывается на федеральной целевой </w:t>
      </w:r>
      <w:hyperlink r:id="rId9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"Исследования и разработки по приоритетным направлениям развития научно-технологического комплекса России на 2007 - 2013 годы", утвержденной постановлением Правительства Российской Федерации от 17 октября 2006 г. N 613, комплексном плане мероприятий по реализации Основ политики Российской Федерации в области развития науки и технологий на период до 2020 года и дальнейшую перспективу, утвержденном Председателем Правительства 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 марта 2012 г. N 1207п-П8, Комплексной </w:t>
      </w:r>
      <w:hyperlink r:id="rId10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развития биотехнологий в Российской Федерации на период до 2020 года, утвержденной Председателем Правительства Российской Федерации 24 апреля 2012 г. N 1853п-П8, государственной </w:t>
      </w:r>
      <w:hyperlink r:id="rId11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Российской Федерации "Развитие фармацевтической и медицинской промышленности" на 2013 - 2020 годы, а также на </w:t>
      </w:r>
      <w:hyperlink r:id="rId12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фундаментальных научных исследований государственных академий наук на 2013 - 2020 годы, утвержденной распоряжением Правительства Российской</w:t>
      </w:r>
      <w:proofErr w:type="gramEnd"/>
      <w:r>
        <w:rPr>
          <w:rFonts w:ascii="Calibri" w:hAnsi="Calibri" w:cs="Calibri"/>
        </w:rPr>
        <w:t xml:space="preserve"> Федерации от 3 декабря 2012 г. N 2237-р.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Стратегии учтены положения федеральных законов "</w:t>
      </w:r>
      <w:hyperlink r:id="rId13" w:history="1">
        <w:r>
          <w:rPr>
            <w:rFonts w:ascii="Calibri" w:hAnsi="Calibri" w:cs="Calibri"/>
            <w:color w:val="0000FF"/>
          </w:rPr>
          <w:t>О науке</w:t>
        </w:r>
      </w:hyperlink>
      <w:r>
        <w:rPr>
          <w:rFonts w:ascii="Calibri" w:hAnsi="Calibri" w:cs="Calibri"/>
        </w:rPr>
        <w:t xml:space="preserve"> и государственной научно-технической политике", "</w:t>
      </w:r>
      <w:hyperlink r:id="rId14" w:history="1">
        <w:r>
          <w:rPr>
            <w:rFonts w:ascii="Calibri" w:hAnsi="Calibri" w:cs="Calibri"/>
            <w:color w:val="0000FF"/>
          </w:rPr>
          <w:t>О высшем</w:t>
        </w:r>
      </w:hyperlink>
      <w:r>
        <w:rPr>
          <w:rFonts w:ascii="Calibri" w:hAnsi="Calibri" w:cs="Calibri"/>
        </w:rPr>
        <w:t xml:space="preserve"> и послевузовском профессиональном образовании", "</w:t>
      </w:r>
      <w:hyperlink r:id="rId15" w:history="1">
        <w:r>
          <w:rPr>
            <w:rFonts w:ascii="Calibri" w:hAnsi="Calibri" w:cs="Calibri"/>
            <w:color w:val="0000FF"/>
          </w:rPr>
          <w:t>Об основах охраны</w:t>
        </w:r>
      </w:hyperlink>
      <w:r>
        <w:rPr>
          <w:rFonts w:ascii="Calibri" w:hAnsi="Calibri" w:cs="Calibri"/>
        </w:rPr>
        <w:t xml:space="preserve"> здоровья граждан в Российской Федерации", "</w:t>
      </w:r>
      <w:hyperlink r:id="rId16" w:history="1">
        <w:r>
          <w:rPr>
            <w:rFonts w:ascii="Calibri" w:hAnsi="Calibri" w:cs="Calibri"/>
            <w:color w:val="0000FF"/>
          </w:rPr>
          <w:t>О внесении изменений</w:t>
        </w:r>
      </w:hyperlink>
      <w:r>
        <w:rPr>
          <w:rFonts w:ascii="Calibri" w:hAnsi="Calibri" w:cs="Calibri"/>
        </w:rPr>
        <w:t xml:space="preserve">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"</w:t>
      </w:r>
      <w:hyperlink r:id="rId17" w:history="1">
        <w:r>
          <w:rPr>
            <w:rFonts w:ascii="Calibri" w:hAnsi="Calibri" w:cs="Calibri"/>
            <w:color w:val="0000FF"/>
          </w:rPr>
          <w:t>Об обращении лекарственных</w:t>
        </w:r>
      </w:hyperlink>
      <w:r>
        <w:rPr>
          <w:rFonts w:ascii="Calibri" w:hAnsi="Calibri" w:cs="Calibri"/>
        </w:rPr>
        <w:t xml:space="preserve"> средств".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Координатором реализации Стратегии является Министерство здравоохранения Российской Федерации.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Исполнителями Стратегии являются главные распорядители бюджетных средств, государственные корпорации и иные организации, осуществляющие научные медицинские исследования в целях реализации Стратегии.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мероприятий по реализации Стратегии являются научные и научно-педагогические коллективы, научные и образовательные организации, осуществляющие научную деятельность в области медицины.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Стратегии является развитие медицинской науки, направленное на создание высокотехнологичных инновационных продуктов, обеспечивающих на основе трансфера инновационных технологий в практическое здравоохранение сохранение и укрепление здоровья населения.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Стратегия направлена на реализацию государственной политики в сфере здравоохранения, повышение качества и доступности медицинской помощи населению Российской Федерации, включая разработку инновационной продукции, освоение критически важных технологий и развитие компетенций. Для достижения поставленной цели предусмотрено решение следующих задач: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медицинской науки и инноваций в сфере здравоохранения;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сектора медицинских исследований и разработок до мирового уровня и интеграция российской медицинской науки в глобальное научное пространство;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результативности фундаментальных и прикладных научных исследований, укрепление кадрового научного потенциала;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механизмов консолидации прав на использование объектов интеллектуальной собственности для вывода на рынок инновационных продуктов и технологий;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экспертизы (обоснованного выбора) перспективных и приоритетных направлений, оценки качества и результативности научных исследований;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устойчивого спроса на инновационную продукцию и ее внедрения в практическое здравоохранение;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управления медицинской наукой на основе развития системы стратегического и проектного управления, внедрения программно-целевого метода финансирования и проведения институциональных преобразований;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механизмов мотивации научных сотрудников;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дальнейшее развитие международного сотрудничества;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трансляционной медицины.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Стратегия реализуется в соответствии со следующими принципами: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концентрация ресурсов на приоритетных направлениях медицинской науки и внедрение ее результатов в практическое здравоохранение;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исследовательских и образовательных процессов;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и доказательность результатов научных исследований;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персонализация финансирования научных проектов;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независимость экспертизы результатов научных исследований;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научной конкуренции.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Мировые тенденции развития 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Глобализация экономики, развитие науки и технологий, открытия конца 1990-х - начала 2000-х годов в области исследования генома человека способствовали взрывному росту медицинской науки.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Отличительной чертой современной медицинской науки является развитие молекулярной и клеточной биологии. Молекулярная медицина формирует базис персонализированной медицины, основанной на прогностическом и профилактическом принципах, что позволяет раскрыть потенциальные и адаптационные возможности организма человека и увеличить продолжительность его активной жизни.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интеграции смежных дисциплин развивается биомедицина - одна из важнейших наук о жизни.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Мировой тенденцией развития науки является технологический принцип, предполагающий использование единых научно-методических или аппаратурно-технологических подходов для решения широкого круга задач.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Стирается грань между фундаментальными и прикладными исследованиями. Путь от открытия до практики становится предельно коротким, что стало основой для появления трансляционной медицины.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Усиление влияния социально-экономической среды на жизнедеятельность и здоровье человека, а также технологический прогресс создают критические нагрузки на человека, его физическое и интеллектуальное состояние. Это требует широкого внедрения эпидемиологических и социологических методов исследования, разработки адаптационных и реабилитационных программ для людей всех возрастов и социальных групп вне зависимости от состояния их </w:t>
      </w:r>
      <w:r>
        <w:rPr>
          <w:rFonts w:ascii="Calibri" w:hAnsi="Calibri" w:cs="Calibri"/>
        </w:rPr>
        <w:lastRenderedPageBreak/>
        <w:t>здоровья.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Усиливается роль исследований, направленных на развитие и внедрение стратегических и проектно-целевых методов и систем управления качеством в здравоохранении.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Современное состояние 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приоритетных задач для достижения цели Стратегии является развитие медицинской науки и инноваций в сфере здравоохранения, предполагающее формирование и выполнение научных программ по приоритетным направлениям поддержания здоровья населения и формирования здорового образа жизни, разработке и внедрению технологий профилактики, диагностики, лечения заболеваний и состояний и медицинской реабилитации.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медицинской науке активно внедряются программно-целевое финансирование научных исследований, современные компьютерные технологии обработки и анализа результатов научных исследований, а также международные кооперативные исследовательские программы.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Развивается </w:t>
      </w:r>
      <w:proofErr w:type="spellStart"/>
      <w:r>
        <w:rPr>
          <w:rFonts w:ascii="Calibri" w:hAnsi="Calibri" w:cs="Calibri"/>
        </w:rPr>
        <w:t>неинвазивная</w:t>
      </w:r>
      <w:proofErr w:type="spellEnd"/>
      <w:r>
        <w:rPr>
          <w:rFonts w:ascii="Calibri" w:hAnsi="Calibri" w:cs="Calibri"/>
        </w:rPr>
        <w:t xml:space="preserve"> диагностика на основе биотехнологических методов. Это позволяет достоверно поставить диагноз пациенту любого возраста и в любом состоянии.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Разработаны высокотехнологичные комплексные методы лечения новорожденных, в том числе недоношенных, и детей 1-го года жизни с врожденными пороками развития, включая гибридные методы лечения и экстренной помощи в критических ситуациях.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Развиваются клеточные и </w:t>
      </w:r>
      <w:proofErr w:type="spellStart"/>
      <w:r>
        <w:rPr>
          <w:rFonts w:ascii="Calibri" w:hAnsi="Calibri" w:cs="Calibri"/>
        </w:rPr>
        <w:t>нейрокогнитивные</w:t>
      </w:r>
      <w:proofErr w:type="spellEnd"/>
      <w:r>
        <w:rPr>
          <w:rFonts w:ascii="Calibri" w:hAnsi="Calibri" w:cs="Calibri"/>
        </w:rPr>
        <w:t xml:space="preserve"> технологии, геномные и </w:t>
      </w:r>
      <w:proofErr w:type="spellStart"/>
      <w:r>
        <w:rPr>
          <w:rFonts w:ascii="Calibri" w:hAnsi="Calibri" w:cs="Calibri"/>
        </w:rPr>
        <w:t>протеомные</w:t>
      </w:r>
      <w:proofErr w:type="spellEnd"/>
      <w:r>
        <w:rPr>
          <w:rFonts w:ascii="Calibri" w:hAnsi="Calibri" w:cs="Calibri"/>
        </w:rPr>
        <w:t xml:space="preserve"> исследования.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Министерства здравоохранения Российской Федерации, Федерального медико-биологического агентства, Федеральной службы по надзору в сфере защиты прав потребителей и благополучия человека и Российской академии медицинских наук существуют 214 подведомственных научных организаций и 6672 научных коллектива. Однако только 225 лабораторий проводят исследования мирового уровня и 431 лаборатория - национального уровня.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общему числу ученых Россия занимает лидирующее положение и находится на 4-м месте после Китая, США и Японии. При этом число молодых ученых не превышает 25 процентов. По уровню финансирования научных исследований Россия занимает 9-е место в мире. По числу научных публикаций - находится на 15 - 18 месте. По уровню цитирования публикаций - за списком из 20 ведущих стран. В медицинской науке России наблюдаются те же тенденции.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Практически отсутствует система оценки перспективности патентов, зарубежного патентования и управления правами на результаты интеллектуальной деятельности.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Разобщенность медицинской науки снижает эффективность научных исследований. </w:t>
      </w:r>
      <w:proofErr w:type="spellStart"/>
      <w:r>
        <w:rPr>
          <w:rFonts w:ascii="Calibri" w:hAnsi="Calibri" w:cs="Calibri"/>
        </w:rPr>
        <w:t>Одноплановые</w:t>
      </w:r>
      <w:proofErr w:type="spellEnd"/>
      <w:r>
        <w:rPr>
          <w:rFonts w:ascii="Calibri" w:hAnsi="Calibri" w:cs="Calibri"/>
        </w:rPr>
        <w:t xml:space="preserve"> работы могут выполняться в учреждениях Министерства здравоохранения Российской Федерации, Министерства образования и науки Российской Федерации, Российской академии медицинских наук, Российской академии наук и Федерального медико-биологического агентства, деятельность которых в сфере медицинских исследований не координируется. Профиль научных организаций часто не соответствует основным мировым трендам развития медицинской науки, не существует приоритетов в постановке научных задач, отсутствуют инновационные цепочки "идея - лаборатория - производитель - клиника".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 низкую структурную эффективность медицинской науки. Большинство учреждений не соответствуют требованиям надлежащей лабораторной практики, надлежащей клинической практики и испытаний инновационных препаратов с использованием моделей патологических процессов на животных. Научно-исследовательские институты недостаточно разрабатывают </w:t>
      </w:r>
      <w:proofErr w:type="spellStart"/>
      <w:r>
        <w:rPr>
          <w:rFonts w:ascii="Calibri" w:hAnsi="Calibri" w:cs="Calibri"/>
        </w:rPr>
        <w:t>кандидатные</w:t>
      </w:r>
      <w:proofErr w:type="spellEnd"/>
      <w:r>
        <w:rPr>
          <w:rFonts w:ascii="Calibri" w:hAnsi="Calibri" w:cs="Calibri"/>
        </w:rPr>
        <w:t xml:space="preserve"> молекулы, мишени и способы доставки лекарственных препаратов. Недостаточно сертифицированных центров доклинических испытаний новых лекарственных препаратов.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наука остается зависимой от импорта. При этом в силу высоких таможенных сборов и транспортных расходов цены на приборы и реактивы выше в 1,5 - 1,8 раза, чем в США и Европейском союзе.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Из-за низкого уровня заработной платы только 9 процентов россиян считают профессию </w:t>
      </w:r>
      <w:r>
        <w:rPr>
          <w:rFonts w:ascii="Calibri" w:hAnsi="Calibri" w:cs="Calibri"/>
        </w:rPr>
        <w:lastRenderedPageBreak/>
        <w:t>ученого престижной (в США 51 процент населения назвали профессию ученого в высшей степени престижной, 25 процентов - весьма престижной и 20 процентов - престижной).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Отсутствует эффективный механизм отбора и передачи результатов фундаментальных исследований, переходящих на стадию прикладных работ для получения опытных образцов инновационных продуктов, а также технологий для их создания.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Отсутствуют механизмы коммуникации представителей практического здравоохранения с научными работниками в части доведения информации о проблемах и неудовлетворенных потребностях в новых методах профилактики, диагностики, лечения заболеваний и состояний, медицинской реабилитации.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наука остается неконкурентоспособной, непривлекательной для инвестиций, с высокими барьерами к внедрению инновационных разработок.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этих проблем предлагаются меры по реорганизации медицинской науки, развитию трансляционной и доказательной медицины.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конкурентоспособности и инвестиционной привлекательности российской медицинской науки необходимо поддерживать приоритетные направления. Основными направлениями станут </w:t>
      </w:r>
      <w:proofErr w:type="spellStart"/>
      <w:r>
        <w:rPr>
          <w:rFonts w:ascii="Calibri" w:hAnsi="Calibri" w:cs="Calibri"/>
        </w:rPr>
        <w:t>геномика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протеомика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эпигеномика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биоинформатика</w:t>
      </w:r>
      <w:proofErr w:type="spellEnd"/>
      <w:r>
        <w:rPr>
          <w:rFonts w:ascii="Calibri" w:hAnsi="Calibri" w:cs="Calibri"/>
        </w:rPr>
        <w:t xml:space="preserve">, системная биология, </w:t>
      </w:r>
      <w:proofErr w:type="spellStart"/>
      <w:r>
        <w:rPr>
          <w:rFonts w:ascii="Calibri" w:hAnsi="Calibri" w:cs="Calibri"/>
        </w:rPr>
        <w:t>нанобиотехнологии</w:t>
      </w:r>
      <w:proofErr w:type="spellEnd"/>
      <w:r>
        <w:rPr>
          <w:rFonts w:ascii="Calibri" w:hAnsi="Calibri" w:cs="Calibri"/>
        </w:rPr>
        <w:t xml:space="preserve">, клеточные технологии, </w:t>
      </w:r>
      <w:proofErr w:type="spellStart"/>
      <w:r>
        <w:rPr>
          <w:rFonts w:ascii="Calibri" w:hAnsi="Calibri" w:cs="Calibri"/>
        </w:rPr>
        <w:t>фармакогенетика</w:t>
      </w:r>
      <w:proofErr w:type="spellEnd"/>
      <w:r>
        <w:rPr>
          <w:rFonts w:ascii="Calibri" w:hAnsi="Calibri" w:cs="Calibri"/>
        </w:rPr>
        <w:t>, персонализированная медицина и ряд других. Особое место должно быть отведено междисциплинарным научным исследованиям, выполняющимся на стыке наук.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развития становятся повышение результативности, улучшение научно-методической подготовки специалистов, повышение качественного уровня научных публикаций и создание системы инновационных потоков на принципах трансляционной медицины, то есть быстрого доведения результатов научных исследований до медицинского продукта - лекарственного средства, прибора и тест-системы.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выполнения этих задач требуется сбалансировать между собой целевые установки, интеллектуальный потенциал и ресурсное обеспечение медицинской науки, необходимо выявить неэффективные организации с последующим их перепрофилированием и объединением. Требуется развить инфраструктуру организаций науки, создать биобанки, </w:t>
      </w:r>
      <w:proofErr w:type="spellStart"/>
      <w:r>
        <w:rPr>
          <w:rFonts w:ascii="Calibri" w:hAnsi="Calibri" w:cs="Calibri"/>
        </w:rPr>
        <w:t>биоколлекции</w:t>
      </w:r>
      <w:proofErr w:type="spellEnd"/>
      <w:r>
        <w:rPr>
          <w:rFonts w:ascii="Calibri" w:hAnsi="Calibri" w:cs="Calibri"/>
        </w:rPr>
        <w:t xml:space="preserve">, центры доклинических исследований, </w:t>
      </w:r>
      <w:proofErr w:type="spellStart"/>
      <w:r>
        <w:rPr>
          <w:rFonts w:ascii="Calibri" w:hAnsi="Calibri" w:cs="Calibri"/>
        </w:rPr>
        <w:t>биоинформатики</w:t>
      </w:r>
      <w:proofErr w:type="spellEnd"/>
      <w:r>
        <w:rPr>
          <w:rFonts w:ascii="Calibri" w:hAnsi="Calibri" w:cs="Calibri"/>
        </w:rPr>
        <w:t>, а также центр стратегических биомедицинских технологий и биобезопасности. Следует развивать проектный метод управления научными исследованиями, а также активно использовать управленческий консалтинг при подготовке проектов.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позволит сконцентрировать ресурсы на решении актуальных задач медицинской науки, сформировать научные платформы по основным направлениям медицины и центры лидерства в стратегически важных и приоритетных областях медицинской науки.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Приоритетные направления развития 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медицинскими исследованиями будет осуществляться на основе сформированных научных платформ.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Научной платформой является интегрированная программа исследований по приоритетным направлениям и критическим технологиям развития медицинской науки, направленная на создание инновационных продуктов и технологий, реализуемая ведущими научными коллективами и исследователями.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После широкого обсуждения ведущими учеными и специалистами Министерства здравоохранения Российской Федерации, Министерства образования и науки Российской Федерации, Российской академии медицинских наук, Российской академии наук, Федерального медико-биологического агентства и медицинских вузов определено 14 научных платформ, в том числе онкология, кардиология и ангиология, неврология, эндокринология, педиатрия, психиатрия и зависимости, иммунология, микробиология, фармакология, профилактическая среда, репродуктивное здоровье, регенеративная медицина, инвазивные технологии и инновационные</w:t>
      </w:r>
      <w:proofErr w:type="gramEnd"/>
      <w:r>
        <w:rPr>
          <w:rFonts w:ascii="Calibri" w:hAnsi="Calibri" w:cs="Calibri"/>
        </w:rPr>
        <w:t xml:space="preserve"> фундаментальные технологии в медицине.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выполнения задач развития научных платформ участники реализации </w:t>
      </w:r>
      <w:r>
        <w:rPr>
          <w:rFonts w:ascii="Calibri" w:hAnsi="Calibri" w:cs="Calibri"/>
        </w:rPr>
        <w:lastRenderedPageBreak/>
        <w:t>мероприятий Стратегии формируют и актуализируют тематики исследований, выполняют информационную и экспертную функции, готовят технологические дорожные карты для планирования разработки конкретных технологий и продуктов, формируют приоритеты и координируют реализацию научно-технических проектов. Дорожные карты научных платформ, детализированные до проектов и продуктов, станут основой для формирования государственных заданий государственным учреждениям, а также для программно-целевого финансирования науки.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реализации Стратегии предполагается вносить на основе широкого обсуждения с научной общественностью изменения в механизмы научных платформ.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 научных платформ позволит сконцентрировать финансовые и организационные усилия на исследованиях, обеспечивающих максимальный эффе</w:t>
      </w:r>
      <w:proofErr w:type="gramStart"/>
      <w:r>
        <w:rPr>
          <w:rFonts w:ascii="Calibri" w:hAnsi="Calibri" w:cs="Calibri"/>
        </w:rPr>
        <w:t>кт в ср</w:t>
      </w:r>
      <w:proofErr w:type="gramEnd"/>
      <w:r>
        <w:rPr>
          <w:rFonts w:ascii="Calibri" w:hAnsi="Calibri" w:cs="Calibri"/>
        </w:rPr>
        <w:t>еднесрочной и долгосрочной перспективе. Координацию деятельности научных коллективов, поиск и создание недостающих компетенций, анализ тенденций развития научной платформы должны осуществлять головные институты - центры лидерства.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Организационное и правовое обеспечение Стратегии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Межведомственная координация 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межведомственной координации необходимо сформировать межведомственный совет по медицинской науке, в состав которого войдут представители федеральных органов исполнительной власти, государственных академий наук и научных и образовательных организаций. Министерство здравоохранения Российской Федерации выступает как координатор этого совета.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Деятельность межведомственного совета по медицинской науке должна быть направлена на обеспечение эффективного взаимодействия федеральных органов исполнительной власти и соответствующих организаций в целях реализации Стратегии, повышение эффективности расходования бюджетных средств, разработку единых критериев экспертного отбора проектов, методологических подходов к созданию баз данных по финансируемым и реализуемым проектам, формирование консолидированного сообщества экспертов, а также на создание полного цикла инновационного процесса.</w:t>
      </w:r>
      <w:proofErr w:type="gramEnd"/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Задачей межведомственного совета по медицинской науке будет рассмотрение и согласование ведомственных планов реализации Стратегии, которые координируются между собой по мероприятиям и этапам реализации и учитывают мероприятия, осуществляемые в рамках технологических платформ "Медицина будущего", "</w:t>
      </w:r>
      <w:proofErr w:type="spellStart"/>
      <w:r>
        <w:rPr>
          <w:rFonts w:ascii="Calibri" w:hAnsi="Calibri" w:cs="Calibri"/>
        </w:rPr>
        <w:t>Биоиндустрия</w:t>
      </w:r>
      <w:proofErr w:type="spellEnd"/>
      <w:r>
        <w:rPr>
          <w:rFonts w:ascii="Calibri" w:hAnsi="Calibri" w:cs="Calibri"/>
        </w:rPr>
        <w:t xml:space="preserve"> и биоресурсы "БиоТех2030", "Биоэнергетика" и других технологических платформ в сфере медицины.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ведомственных планов реализации Стратегии должны учитываться исполнителями Стратегии при формировании государственного задания подведомственным федеральным органам исполнительной власти учреждениям.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Стратегии планируется разработать программу мероприятий по развитию медицинской науки. Разработка и реализация указанной программы мероприятий должны обеспечить консолидацию новых компетенций в области медицинской науки, вывод на рынок инновационных продуктов.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Финансовое обеспечение 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мероприятий Стратегии за счет средств федерального бюджета предусматривается осуществлять в рамках государственных программ Российской Федерации </w:t>
      </w:r>
      <w:hyperlink r:id="rId18" w:history="1">
        <w:r>
          <w:rPr>
            <w:rFonts w:ascii="Calibri" w:hAnsi="Calibri" w:cs="Calibri"/>
            <w:color w:val="0000FF"/>
          </w:rPr>
          <w:t>"Развитие здравоохранения"</w:t>
        </w:r>
      </w:hyperlink>
      <w:r>
        <w:rPr>
          <w:rFonts w:ascii="Calibri" w:hAnsi="Calibri" w:cs="Calibri"/>
        </w:rPr>
        <w:t xml:space="preserve"> на 2013 - 2020 годы, </w:t>
      </w:r>
      <w:hyperlink r:id="rId19" w:history="1">
        <w:r>
          <w:rPr>
            <w:rFonts w:ascii="Calibri" w:hAnsi="Calibri" w:cs="Calibri"/>
            <w:color w:val="0000FF"/>
          </w:rPr>
          <w:t>"Развитие образования"</w:t>
        </w:r>
      </w:hyperlink>
      <w:r>
        <w:rPr>
          <w:rFonts w:ascii="Calibri" w:hAnsi="Calibri" w:cs="Calibri"/>
        </w:rPr>
        <w:t xml:space="preserve"> на 2013 - 2020 годы, </w:t>
      </w:r>
      <w:hyperlink r:id="rId20" w:history="1">
        <w:r>
          <w:rPr>
            <w:rFonts w:ascii="Calibri" w:hAnsi="Calibri" w:cs="Calibri"/>
            <w:color w:val="0000FF"/>
          </w:rPr>
          <w:t>"Развитие науки и технологий"</w:t>
        </w:r>
      </w:hyperlink>
      <w:r>
        <w:rPr>
          <w:rFonts w:ascii="Calibri" w:hAnsi="Calibri" w:cs="Calibri"/>
        </w:rPr>
        <w:t xml:space="preserve"> и "</w:t>
      </w:r>
      <w:hyperlink r:id="rId21" w:history="1">
        <w:r>
          <w:rPr>
            <w:rFonts w:ascii="Calibri" w:hAnsi="Calibri" w:cs="Calibri"/>
            <w:color w:val="0000FF"/>
          </w:rPr>
          <w:t>Развитие фармацевтической и медицинской</w:t>
        </w:r>
      </w:hyperlink>
      <w:r>
        <w:rPr>
          <w:rFonts w:ascii="Calibri" w:hAnsi="Calibri" w:cs="Calibri"/>
        </w:rPr>
        <w:t xml:space="preserve"> промышленности" на 2013 - 2020 годы.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фундаментальных и поисковых исследований необходимо осуществлять в соответствии с государственными заданиями, утверждаемыми федеральными органами исполнительной власти, соответствующим подведомственным учреждениям, а также с </w:t>
      </w:r>
      <w:r>
        <w:rPr>
          <w:rFonts w:ascii="Calibri" w:hAnsi="Calibri" w:cs="Calibri"/>
        </w:rPr>
        <w:lastRenderedPageBreak/>
        <w:t xml:space="preserve">использованием механизмов </w:t>
      </w:r>
      <w:proofErr w:type="spellStart"/>
      <w:r>
        <w:rPr>
          <w:rFonts w:ascii="Calibri" w:hAnsi="Calibri" w:cs="Calibri"/>
        </w:rPr>
        <w:t>грантовой</w:t>
      </w:r>
      <w:proofErr w:type="spellEnd"/>
      <w:r>
        <w:rPr>
          <w:rFonts w:ascii="Calibri" w:hAnsi="Calibri" w:cs="Calibri"/>
        </w:rPr>
        <w:t xml:space="preserve"> поддержки в научно-технической сфере.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задания планируется разрабатывать на основе ведомственных планов, сформированных с учетом дорожных карт научных платформ. Научные организации и высшие учебные заведения могут участвовать в реализации нескольких научных платформ.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Критериями результативности ориентированных фундаментальных и поисковых исследований являются показатели публикационной активности и значимости публикаций (</w:t>
      </w:r>
      <w:proofErr w:type="spellStart"/>
      <w:r>
        <w:rPr>
          <w:rFonts w:ascii="Calibri" w:hAnsi="Calibri" w:cs="Calibri"/>
        </w:rPr>
        <w:t>импакт</w:t>
      </w:r>
      <w:proofErr w:type="spellEnd"/>
      <w:r>
        <w:rPr>
          <w:rFonts w:ascii="Calibri" w:hAnsi="Calibri" w:cs="Calibri"/>
        </w:rPr>
        <w:t xml:space="preserve">-фактор журнала, цитируемость автора статьи, индекс </w:t>
      </w:r>
      <w:proofErr w:type="spellStart"/>
      <w:r>
        <w:rPr>
          <w:rFonts w:ascii="Calibri" w:hAnsi="Calibri" w:cs="Calibri"/>
        </w:rPr>
        <w:t>Хирша</w:t>
      </w:r>
      <w:proofErr w:type="spellEnd"/>
      <w:r>
        <w:rPr>
          <w:rFonts w:ascii="Calibri" w:hAnsi="Calibri" w:cs="Calibri"/>
        </w:rPr>
        <w:t>).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прикладных исследований, ориентированных на создание полезных моделей, макетов, экспериментальных образцов и клинических исследований, необходимо осуществлять с использованием механизмов целевого финансирования в рамках программы мероприятий по развитию медицинской науки, проектов институтов развития, государственных корпораций, а также в рамках государственно-частного партнерства.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обеспечить условия, при которых по мере продвижения от ориентированного фундаментального исследования к конечному продукту доля государства в финансировании будет снижаться, тогда как доля частного капитала и финансирования из иных внебюджетных источников - увеличиваться.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Администрирование и коммерциализация </w:t>
      </w:r>
      <w:proofErr w:type="gramStart"/>
      <w:r>
        <w:rPr>
          <w:rFonts w:ascii="Calibri" w:hAnsi="Calibri" w:cs="Calibri"/>
        </w:rPr>
        <w:t>интеллектуальной</w:t>
      </w:r>
      <w:proofErr w:type="gramEnd"/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в медицинской науке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создание условий для эффективной защиты прав на результаты интеллектуальной деятельности, в том числе зарубежного патентования российских разработок на основе формирования патентной службы в научных организациях, реализующих Стратегию, единой базы данных новых разработок и патентов, а также отработки механизмов целевого финансирования патентования российских разработок за рубежом.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Необходима отработка механизмов консолидации прав пользования результатами интеллектуальной деятельности для вывода на рынок инновационных продуктов и технологий, включая независимую оценку рыночной стоимости объектов интеллектуальной собственности в медицинской науке, выкупа, консолидации и отчуждения прав пользования. При этом государство должно иметь возможность влиять на формы и способы использования интеллектуальной собственности. Необходимо внесение изменений в нормативно-правовое регулирование этой сферы.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Планируется создать условия, при которых научные организации, разработавшие и запатентовавшие инновационные продукты, заинтересованы в создании малых инновационных предприятий. Малые инновационные предприятия </w:t>
      </w:r>
      <w:proofErr w:type="gramStart"/>
      <w:r>
        <w:rPr>
          <w:rFonts w:ascii="Calibri" w:hAnsi="Calibri" w:cs="Calibri"/>
        </w:rPr>
        <w:t>опираются</w:t>
      </w:r>
      <w:proofErr w:type="gramEnd"/>
      <w:r>
        <w:rPr>
          <w:rFonts w:ascii="Calibri" w:hAnsi="Calibri" w:cs="Calibri"/>
        </w:rPr>
        <w:t xml:space="preserve"> прежде всего на интеллектуальную собственность, созданную в организации в результате выполнения научных работ.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Предусматривается обеспечение включения инновационных продуктов в клинические протоколы и стандарты медицинской помощи, а также отработка механизмов долгосрочных государственных гарантий закупок инновационных продуктов с использованием особого механизма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коммерциализации разработок с ранних этапов их реализации и на всем протяжении инновационного цикла необходимо создавать условия для формирования центров трансфера технологий, сервисных организаций в сфере медицинской науки, проектных компаний в сфере инновационной деятельности и инвестиционных компаний.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Совершенствование правового регулирования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Научные достижения в новых областях медицины приводят к появлению продуктов и технологий, требующих разработки новых принципов контроля безопасности, эффективности, качества и требований к обороту инновационных продуктов.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инновационного процесса предполагает устранение преград в развитии новых отраслей биомедицины и создание условий для ускоренного внедрения передовых научно-</w:t>
      </w:r>
      <w:r>
        <w:rPr>
          <w:rFonts w:ascii="Calibri" w:hAnsi="Calibri" w:cs="Calibri"/>
        </w:rPr>
        <w:lastRenderedPageBreak/>
        <w:t>технических разработок в практическое здравоохранение. Оптимизация процедур государственной регистрации лекарственных препаратов, медицинских изделий при обязательном обеспечении безопасности, эффективности и качества инновационных продуктов требует постоянного совершенствования нормативной правовой базы.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соответствующего нормативного регулирования является тормозом развития наиболее динамичных областей медицинской науки.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первоочередным нормативным правовым актам, регулирующим оборот инновационных продуктов и требующим разработки, относятся проекты федеральных законов об обращении биомедицинских клеточных продуктов, обращении тканевых медицинских продуктов и о биомедицинской этике.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Институциональные преобразования в медицинской науке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Инновационное развитие здравоохранения невозможно без институциональных преобразований, повышения эффективности научных и образовательных организаций, устранения межведомственной разобщенности и развития научных школ в ведущих медицинских вузах.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 Повышение структурной эффективности 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формирование центров лидерства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планируемых преобразований является формирование единого научного пространства медицинской науки с взаимодополняющими компетенциями научных коллективов, развитием инфраструктуры и развитием технологий трансляционной медицины, охватывающей всю инновационную цепочку от лаборатории до клиники.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преобразования должны создать взаимосвязь между состоянием здоровья нации, проводимыми научно-исследовательскими работами и предоставлением населению качественной доступной медицинской помощи.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Реструктуризацию организаций медицинской науки целесообразно осуществлять в рамках научных платформ, а также перспективных планов развития этих организаций.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определить, какой круг научных организаций требуется для выполнения стратегических функций лидерства в отечественной науке и поддержания необходимой степени эффективности научного потенциала страны.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оценки результативности деятельности научных организаций планируется сформировать программы дальнейшего развития лидирующих и стабильных научных организаций, а также мероприятия по реорганизации или ликвидации неэффективных научных организаций.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Средства, сэкономленные за счет сокращения неэффективных организаций и подразделений, необходимо направить на развитие и расширение деятельности более результативных организаций.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Предполагается технологическое обновление научной инфраструктуры, в частности создание сети центров доклинической и трансляционной медицины, сертифицированных вивариев, банков биологического материала и чистых клеточных линий и центров </w:t>
      </w:r>
      <w:proofErr w:type="spellStart"/>
      <w:r>
        <w:rPr>
          <w:rFonts w:ascii="Calibri" w:hAnsi="Calibri" w:cs="Calibri"/>
        </w:rPr>
        <w:t>биоинформатики</w:t>
      </w:r>
      <w:proofErr w:type="spellEnd"/>
      <w:r>
        <w:rPr>
          <w:rFonts w:ascii="Calibri" w:hAnsi="Calibri" w:cs="Calibri"/>
        </w:rPr>
        <w:t>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формирование системы центров лидерства по приоритетным направлениям, то есть закрепление за лидирующими научными организациями функций по методологическому сопровождению исследовательских проектов.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мотивировать инициирование создания исследовательских групп на базе нескольких ведущих научных организаций или лабораторий, способных к генерации и реализации междисциплинарных исследований.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внедрение методов стратегического и проектного управления.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обмена актуальной научной информацией, формирования единого интеллектуального пространства в области научных медицинских исследований, стимулирования научной кооперации, обсуждения проблем и результатов выполнения мероприятий Стратегии, а </w:t>
      </w:r>
      <w:r>
        <w:rPr>
          <w:rFonts w:ascii="Calibri" w:hAnsi="Calibri" w:cs="Calibri"/>
        </w:rPr>
        <w:lastRenderedPageBreak/>
        <w:t>также в целях доступа к электронным библиотекам в информационно-телекоммуникационной сети "Интернет" планируется создание информационного портала "Медицинская наука".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Формирование </w:t>
      </w:r>
      <w:proofErr w:type="gramStart"/>
      <w:r>
        <w:rPr>
          <w:rFonts w:ascii="Calibri" w:hAnsi="Calibri" w:cs="Calibri"/>
        </w:rPr>
        <w:t>научно-образовательных</w:t>
      </w:r>
      <w:proofErr w:type="gramEnd"/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кластеров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Планируется обеспечить дальнейшее формирование научно-образовательных кластеров, объединяющих научно-исследовательские лаборатории, факультеты и кафедры ведущих вузов страны, клиники научно-исследовательских центров и вузов, инновационные предприятия различных форм собственности. Прежде </w:t>
      </w:r>
      <w:proofErr w:type="gramStart"/>
      <w:r>
        <w:rPr>
          <w:rFonts w:ascii="Calibri" w:hAnsi="Calibri" w:cs="Calibri"/>
        </w:rPr>
        <w:t>всего</w:t>
      </w:r>
      <w:proofErr w:type="gramEnd"/>
      <w:r>
        <w:rPr>
          <w:rFonts w:ascii="Calibri" w:hAnsi="Calibri" w:cs="Calibri"/>
        </w:rPr>
        <w:t xml:space="preserve"> кластеры предусматривается формировать с участием национальных исследовательских университетов.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формирования кластеров необходимо продолжить создание вузами кафедр на базе учреждений науки.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научных объединений, в том числе кластерного типа, возможно в ходе реализации комплексных междисциплинарных проектов, направленных на решение крупных научных или практических проблем.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 Формирование инновационной инфраструктуры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формирования обеспечивающей инновационное развитие инфраструктуры необходимо создание на базе уже имеющихся научных и образовательных организаций центров доклинических трансляционных исследований, центров </w:t>
      </w:r>
      <w:proofErr w:type="spellStart"/>
      <w:r>
        <w:rPr>
          <w:rFonts w:ascii="Calibri" w:hAnsi="Calibri" w:cs="Calibri"/>
        </w:rPr>
        <w:t>биоинформатики</w:t>
      </w:r>
      <w:proofErr w:type="spellEnd"/>
      <w:r>
        <w:rPr>
          <w:rFonts w:ascii="Calibri" w:hAnsi="Calibri" w:cs="Calibri"/>
        </w:rPr>
        <w:t>, высокотехнологичных центров коллективного пользования на базе ведущих высших учебных заведений и научных организаций, а также центра инновационного обучения и национального центра стратегических биомедицинских технологий и биобезопасности.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Результатами реализации направлений по развитию обеспечивающей инфраструктуры научных исследований станет повышение результативности исследований, качественное повышение оснащенности и технической вооруженности организаций, осуществляющих научную деятельность в сфере здравоохранения, а также разработка новых образовательных программ в целях инновационного развития здравоохранения.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стандартизации исследований и проведения качественных научно-исследовательских работ лаборатории научных организаций и научно-клинических центров планируется модернизировать в соответствии с требованиями надлежащей лабораторной и клинической практики.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Предусматривается обеспечить доступ научных организаций к электронным библиотекам и профильным научным журналам, включая </w:t>
      </w:r>
      <w:proofErr w:type="gramStart"/>
      <w:r>
        <w:rPr>
          <w:rFonts w:ascii="Calibri" w:hAnsi="Calibri" w:cs="Calibri"/>
        </w:rPr>
        <w:t>зарубежные</w:t>
      </w:r>
      <w:proofErr w:type="gramEnd"/>
      <w:r>
        <w:rPr>
          <w:rFonts w:ascii="Calibri" w:hAnsi="Calibri" w:cs="Calibri"/>
        </w:rPr>
        <w:t>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11. Развитие кадрового потенциала 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Стратегическими задачами развития кадрового потенциала медицинской науки являются создание условий для эффективного воспроизводства научных и научно-педагогических кадров и закрепления молодежи в сфере науки, образования и высоких технологий, сохранение преемственности поколений, выявление талантливой молодежи на всех этапах обучения, обеспечение развития научных школ и сохранение накопленного потенциала.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597 "О мероприятиях по реализации государственной социальной политики" планируется повысить к 2018 году среднюю заработную плату врачей,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с использованием механизма эффективного контракта.</w:t>
      </w:r>
      <w:proofErr w:type="gramEnd"/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Предусматривается разработать и реализовать специальные программы обучения студентов медицинских вузов технологическим методам научных биомедицинских исследований, принципам доказательной медицины, методам обработки научной информации и др.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целях поддержки карьерного роста одаренных научных работников необходимо обеспечить привлечение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для поддержки исследований молодых ученых и преподавателей, учреждение именных стипендий, создание перспектив профессионального роста и улучшения материального положения.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Планируется расширить программы зарубежных стажировок российских исследователей, участия молодых ученых в международных научно-исследовательских проектах и привлечения зарубежных исследователей к участию в российских научных проектах.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Предусматривается создать условия для разумной конкуренции между ведущими учеными и научными коллективами, включая меры по развитию контроля адекватности проведения исследований и объективной оценки результатов научной деятельности, а также по развитию системы ротации кадров.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Повышению кадрового потенциала российской медицины способствует организация на базе научных организаций лабораторий с участием иностранных партнеров.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Основные результаты реализации Стратегии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Стратегии способствует: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созданию сбалансированного, устойчиво развивающегося в научном пространстве Российской Федерации сектора научных медицинских исследований и инновационных разработок, обеспечивающего расширенное воспроизводство медицинских знаний, конкурентоспособного на мировом рынке и активно взаимодействующего с практическим здравоохранением;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формированию непрерывного цикла внедрения в здравоохранение результатов фундаментальных и прикладных исследований;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повышению инвестиционной привлекательности российских патентов в сфере медицинской науки;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созданию механизма поддержки международного сотрудничества в области ориентированных фундаментальных и прикладных медицинских исследований, в том числе через организацию проектов, лабораторий и центров, с участием иностранных партнеров;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созданию механизмов включения новых лекарственных препаратов, биомедицинских клеточных продуктов и медицинских изделий в стандарты медицинской помощи;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созданию эффективных механизмов анализа, учета, управления и вовлечения в хозяйственный оборот результатов интеллектуальной деятельности в области медицинской науки;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созданию механизмов поддержки патентования, регистрации и продвижения новых российских разработок на международный рынок;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созданию механизмов поддержки российских производителей инновационной продукции и обеспечению возможности использования новых зарегистрированных лекарственных препаратов и продуктов в практике здравоохранения;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укреплению кадрового потенциала медицинской науки и закреплению научной молодежи в научных организациях;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повышению рейтинга Российской Федерации в глобальном рейтинге "Науки о жизни".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Стратегии произойдет интеграция национального сектора медицинских исследований в соответствующий сектор глобальной науки, что приведет к увеличению числа национальных публикаций по медицине, индексируемых в международных </w:t>
      </w:r>
      <w:proofErr w:type="spellStart"/>
      <w:r>
        <w:rPr>
          <w:rFonts w:ascii="Calibri" w:hAnsi="Calibri" w:cs="Calibri"/>
        </w:rPr>
        <w:t>библиометрических</w:t>
      </w:r>
      <w:proofErr w:type="spellEnd"/>
      <w:r>
        <w:rPr>
          <w:rFonts w:ascii="Calibri" w:hAnsi="Calibri" w:cs="Calibri"/>
        </w:rPr>
        <w:t xml:space="preserve"> базах данных.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12. Этапы и сроки реализации Стратегии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Стратегии выделены следующие этапы: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(инфраструктурный) - 2013 - 2016 годы;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(интеграционный) - 2017 - 2020 годы;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этап (масштабирование инновационной деятельности) - 2021 - 2025 годы.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первом этапе планируется сформировать научные платформы по приоритетным </w:t>
      </w:r>
      <w:r>
        <w:rPr>
          <w:rFonts w:ascii="Calibri" w:hAnsi="Calibri" w:cs="Calibri"/>
        </w:rPr>
        <w:lastRenderedPageBreak/>
        <w:t>направлениям медицинской науки и нормативную правовую базу, необходимую для достижения запланированных результатов и индикаторов, разработать ведомственные планы реализации Стратегии, программу мероприятий по развитию медицинской науки и классификатор тематик научных исследований в медицине, уточнить государственные задания для учреждений, подведомственных соответствующим федеральным органам исполнительной власти, создать межведомственный совет по медицинской науке, а также</w:t>
      </w:r>
      <w:proofErr w:type="gramEnd"/>
      <w:r>
        <w:rPr>
          <w:rFonts w:ascii="Calibri" w:hAnsi="Calibri" w:cs="Calibri"/>
        </w:rPr>
        <w:t xml:space="preserve"> учесть особенности администрирования интеллектуальной собственности в медицинской науке.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Планируется проведение аудита научных организаций, результаты которого станут основой для их укрупнения и профилирования в рамках научных платформ и определения центров лидерства (головных институтов), по результатам которого начнется модернизация инфраструктуры медицинской науки и выполнение указанными учреждениями ориентированных фундаментальных исследований в рамках бюджетного финансирования на основе государственного задания, в соответствии с приоритетами научных платформ, а также проведение доклинических и клинических исследований</w:t>
      </w:r>
      <w:proofErr w:type="gramEnd"/>
      <w:r>
        <w:rPr>
          <w:rFonts w:ascii="Calibri" w:hAnsi="Calibri" w:cs="Calibri"/>
        </w:rPr>
        <w:t xml:space="preserve"> инновационных продуктов с использованием программно-целевого финансирования. Планируется создание условий для коммерциализации ранних этапов инновационных разработок, а также конечных результатов на всем протяжении инновационного цикла.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Предусматривается формирование научно-образовательных кластеров и расширение кооперации научно-исследовательских лабораторий, факультетов и кафедр ведущих вузов страны, клиник научно-исследовательских центров и вузов, передовых компаний реального сектора экономики, академических институтов и отраслевых научных организаций, кардинальное расширение международной интеграции российских вузов. Планируется открытие базовых кафедр вузов в научно-исследовательских институтах, национальных исследовательских центрах и государственных научных центрах.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Предусматривается полномасштабное функционирование "инновационного трансфера", в рамках которого планируется взаимодействие ключевых институтов развития, научных фондов, создание открытой базы данных инновационных проектов в медицинской науке.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втором этапе необходимо продолжить укрупнение, профилирование и реорганизацию ведомственных научных организаций в соответствии с научными платформами, а также кардинальное обновление их материально-технической базы, финансирование ориентированных фундаментальных исследований будет сконцентрировано на работах, характеризующихся глобальной конкурентоспособностью. На основании </w:t>
      </w:r>
      <w:proofErr w:type="gramStart"/>
      <w:r>
        <w:rPr>
          <w:rFonts w:ascii="Calibri" w:hAnsi="Calibri" w:cs="Calibri"/>
        </w:rPr>
        <w:t>подготовленных</w:t>
      </w:r>
      <w:proofErr w:type="gramEnd"/>
      <w:r>
        <w:rPr>
          <w:rFonts w:ascii="Calibri" w:hAnsi="Calibri" w:cs="Calibri"/>
        </w:rPr>
        <w:t xml:space="preserve"> на первом этапе регистрационных досье необходимо начать клинические исследования инновационных продуктов. Одновременно планируется провести доклинические испытания следующей серии инновационных продуктов.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Предусматривается увеличение числа стажировок молодых специалистов в ведущих исследовательских и биотехнологических центрах мира.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Планируется создание центров по приоритетным направлениям медицинской науки и технологий с участием зарубежных научных организаций и компаний, а также лабораторий, центров трансфера технологий, будет осуществлена гармонизация российских и международных регламентов и стандартов в области медицинской науки и технологий.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третьем этапе необходимо расширить условия для коммерциализации разработанных инновационных продуктов с гарантированной их закупкой государством. Вывод продуктов на рынок обеспечит возможности возмещения затрат всеми участниками процесса и инвестирования полученных средств в новые проекты и разработки.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Планируется качественно повысить уровень научных исследований российских медицинских учреждений, престиж медицинских научных специальностей для молодых специалистов и удельный вес российских публикаций в общемировом рейтинге.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13. Экономический эффект реализации Стратегии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Экономический эффект реализации Стратегии рассчитывается в конце каждого из этапов ее реализации.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Методика определения оценки эффективности Стратегии приведена в </w:t>
      </w:r>
      <w:hyperlink w:anchor="Par235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14. Мониторинг, управление и контроль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реализацией Стратегии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Стратегии осуществляется межведомственным советом по медицинской науке на основании плана мероприятий по реализации Стратегии, ведомственных планов по ее реализации, отчетов по выполнению программы мероприятий по развитию медицинской науки и соответствующих государственных заданий.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здравоохранения Российской Федерации представляет ежегодно отчет о реализации Стратегии в Правительство Российской Федерации. Основные индикативные показатели реализации Стратегии приведены в </w:t>
      </w:r>
      <w:hyperlink w:anchor="Par272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>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Стратегии развития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период до 2025 года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35"/>
      <w:bookmarkEnd w:id="2"/>
      <w:r>
        <w:rPr>
          <w:rFonts w:ascii="Calibri" w:hAnsi="Calibri" w:cs="Calibri"/>
        </w:rPr>
        <w:t>МЕТОДИКА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ОЦЕНКИ ЭФФЕКТИВНОСТИ СТРАТЕГИИ РАЗВИТИЯ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НАУКИ В РОССИЙСКОЙ ФЕДЕРАЦИИ НА ПЕРИОД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 2025 ГОДА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Настоящая методика осуществляет оценку эффективности </w:t>
      </w:r>
      <w:hyperlink w:anchor="Par24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развития медицинской науки в Российской Федерации на период до 2025 года, утвержденной распоряжением Правительства Российской Федерации от 28 декабря 2012 г. N 2580-р (далее - Стратегия).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настоящей методикой проводится оценка достижения плановых параметров.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достижения целей и решения задач (</w:t>
      </w:r>
      <w:proofErr w:type="spellStart"/>
      <w:r>
        <w:rPr>
          <w:rFonts w:ascii="Calibri" w:hAnsi="Calibri" w:cs="Calibri"/>
        </w:rPr>
        <w:t>Сд</w:t>
      </w:r>
      <w:proofErr w:type="spellEnd"/>
      <w:r>
        <w:rPr>
          <w:rFonts w:ascii="Calibri" w:hAnsi="Calibri" w:cs="Calibri"/>
        </w:rPr>
        <w:t>) Стратегии в целом путем сопоставления фактически достигнутых значений индикаторов Стратегии их плановым значениям (для индикаторов (показателей), желаемой тенденцией развития которых является снижение значений) определяется по формуле: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Сд</w:t>
      </w:r>
      <w:proofErr w:type="spellEnd"/>
      <w:r>
        <w:rPr>
          <w:rFonts w:ascii="Calibri" w:hAnsi="Calibri" w:cs="Calibri"/>
        </w:rPr>
        <w:t xml:space="preserve"> = </w:t>
      </w:r>
      <w:proofErr w:type="spellStart"/>
      <w:r>
        <w:rPr>
          <w:rFonts w:ascii="Calibri" w:hAnsi="Calibri" w:cs="Calibri"/>
        </w:rPr>
        <w:t>Зф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Зп</w:t>
      </w:r>
      <w:proofErr w:type="spellEnd"/>
      <w:r>
        <w:rPr>
          <w:rFonts w:ascii="Calibri" w:hAnsi="Calibri" w:cs="Calibri"/>
        </w:rPr>
        <w:t xml:space="preserve"> x 100%,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Зф</w:t>
      </w:r>
      <w:proofErr w:type="spellEnd"/>
      <w:r>
        <w:rPr>
          <w:rFonts w:ascii="Calibri" w:hAnsi="Calibri" w:cs="Calibri"/>
        </w:rPr>
        <w:t xml:space="preserve"> - фактическое значение индикатора (показателя) Стратегии;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Зп</w:t>
      </w:r>
      <w:proofErr w:type="spellEnd"/>
      <w:r>
        <w:rPr>
          <w:rFonts w:ascii="Calibri" w:hAnsi="Calibri" w:cs="Calibri"/>
        </w:rPr>
        <w:t xml:space="preserve"> - плановое значение индикатора (показателя) Стратегии.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соответствия запланированному уровню затрат (Уз) из федерального бюджета и иных источников ресурсного обеспечения Стратегии путем сопоставления плановых и фактических объемов финансирования мероприятий Стратегии по каждому источнику ресурсного обеспечения определяется по формуле: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Уз = </w:t>
      </w:r>
      <w:proofErr w:type="spellStart"/>
      <w:r>
        <w:rPr>
          <w:rFonts w:ascii="Calibri" w:hAnsi="Calibri" w:cs="Calibri"/>
        </w:rPr>
        <w:t>Фф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Фп</w:t>
      </w:r>
      <w:proofErr w:type="spellEnd"/>
      <w:r>
        <w:rPr>
          <w:rFonts w:ascii="Calibri" w:hAnsi="Calibri" w:cs="Calibri"/>
        </w:rPr>
        <w:t xml:space="preserve"> x 100%,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Фф</w:t>
      </w:r>
      <w:proofErr w:type="spellEnd"/>
      <w:r>
        <w:rPr>
          <w:rFonts w:ascii="Calibri" w:hAnsi="Calibri" w:cs="Calibri"/>
        </w:rPr>
        <w:t xml:space="preserve"> - фактический объем финансовых ресурсов, направленный на реализацию мероприятий Стратегии;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Фп</w:t>
      </w:r>
      <w:proofErr w:type="spellEnd"/>
      <w:r>
        <w:rPr>
          <w:rFonts w:ascii="Calibri" w:hAnsi="Calibri" w:cs="Calibri"/>
        </w:rPr>
        <w:t xml:space="preserve"> - плановый объем финансовых ресурсов на соответствующий отчетный период.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реализации мероприятий Стратегии (достижения ожидаемых непосредственных </w:t>
      </w:r>
      <w:r>
        <w:rPr>
          <w:rFonts w:ascii="Calibri" w:hAnsi="Calibri" w:cs="Calibri"/>
        </w:rPr>
        <w:lastRenderedPageBreak/>
        <w:t>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Стратегии является оценкой достижения плановых параметров.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настоящей методики осуществляется оценка эффекта реализации инвестиционных проектов с государственным участием (далее - эффект поддержки реализации проектов). При оценке эффекта поддержки реализации проектов учитываются: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экономический эффект поддержки реализации проектов (чистый дисконтированный доход от инвестиций, эффект реализации проекта для смежных отраслей, объем привлеченных негосударственных (в том числе зарубежных) инвестиций на 1 рубль бюджетных инвестиций);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социальный эффект поддержки реализации проектов (создание новых рабочих мест, увеличение продолжительности жизни и снижение смертности).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эффекта поддержки реализации проектов отдельно учитываются различные типы проектов (федеральные инвестиции, реализация целевых проектов в рамках государственно-частного партнерства).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Стратегии развития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науки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период до 2025 года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D4811" w:rsidSect="00A16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72"/>
      <w:bookmarkEnd w:id="3"/>
      <w:r>
        <w:rPr>
          <w:rFonts w:ascii="Calibri" w:hAnsi="Calibri" w:cs="Calibri"/>
        </w:rPr>
        <w:t>ПРОГНОЗ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ИНДИКАТИВНЫХ ПОКАЗАТЕЛЕЙ В ХОДЕ РЕАЛИЗАЦИИ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СТРАТЕГИИ </w:t>
      </w:r>
      <w:hyperlink w:anchor="Par47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┬──────┬─────┬─────┬─────┬─────┬─────┬─────┬─────┬─────┬─────┬─────┬─────┬─────┬──────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Индикативные   │ 2013 │2014 │2015 │2016 │2017 │2018 │2019 │2020 │2021 │2022 │2023 │2024 │2025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│И</w:t>
      </w:r>
      <w:proofErr w:type="gramEnd"/>
      <w:r>
        <w:rPr>
          <w:rFonts w:ascii="Courier New" w:hAnsi="Courier New" w:cs="Courier New"/>
          <w:sz w:val="20"/>
          <w:szCs w:val="20"/>
        </w:rPr>
        <w:t>того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показатели    │ год  │ </w:t>
      </w:r>
      <w:proofErr w:type="gramStart"/>
      <w:r>
        <w:rPr>
          <w:rFonts w:ascii="Courier New" w:hAnsi="Courier New" w:cs="Courier New"/>
          <w:sz w:val="20"/>
          <w:szCs w:val="20"/>
        </w:rPr>
        <w:t>год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год │ год │ год │ год │ год │ год │ год │ год │ год │ год │ год │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┴──────┴─────┴─────┴─────┴─────┴─────┴─────┴─────┴─────┴─────┴─────┴─────┴─────┴──────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Смертность от всех   13   12,8  12,5   12,3  12,1 11,8  11,6  11,4  11,2   11   10,8  10,6  10,4  10,4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причин (на 1000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человек населения)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Ожидаемая           70,8  71,6  72,2   72,7  73,4  74   74,2  74,3  74,5  74,7  74,9  75,1  75,3  75,3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продолжительность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жизни при рождении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(лет)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Доля                 -     -      5     7     7    10    15    20    25    30    35    40    50    50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модернизированных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лабораторий,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надлежащей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лабораторной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практики, в общем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их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7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(процентов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нарастающим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итогом)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Доля                 -     -      -     5     10   15    20    30    50    70    75    85   100    100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модернизированных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клинических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подразделений,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надлежащей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клинической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практики, в общем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их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75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(процентов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нарастающим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итогом)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               -     -      -     1     1     2    2      3    3      4     5    5     5      5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модернизированных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лабораторий,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требованиям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надлежащей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клеточной и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тканевой практики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(единиц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нарастающим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итогом)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</w:t>
      </w:r>
      <w:proofErr w:type="gramStart"/>
      <w:r>
        <w:rPr>
          <w:rFonts w:ascii="Courier New" w:hAnsi="Courier New" w:cs="Courier New"/>
          <w:sz w:val="20"/>
          <w:szCs w:val="20"/>
        </w:rPr>
        <w:t>введенных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-     -      -     2     3     4    5      5    5      5     5    5     5      5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эксплуатацию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вивариев,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питомников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лабораторных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животных и центров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доклинических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исследований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(единиц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нарастающим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итогом)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Процент              -     -      -     10    15   20    25    50    55    60    70    80    90    90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загруженности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введенных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строй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инфраструктурных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объектов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(процентов)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Средний возраст      49    47    46     45    45   44    44    43    43    43    42    42    42    42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сотрудников (лет)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Доля </w:t>
      </w:r>
      <w:proofErr w:type="gramStart"/>
      <w:r>
        <w:rPr>
          <w:rFonts w:ascii="Courier New" w:hAnsi="Courier New" w:cs="Courier New"/>
          <w:sz w:val="20"/>
          <w:szCs w:val="20"/>
        </w:rPr>
        <w:t>научных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25    25    26     27    28   29    30    31    32    33    33    33    33    33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сотрудников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возрасте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 39 лет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общем числе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сотрудников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(процентов)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</w:t>
      </w:r>
      <w:proofErr w:type="gramStart"/>
      <w:r>
        <w:rPr>
          <w:rFonts w:ascii="Courier New" w:hAnsi="Courier New" w:cs="Courier New"/>
          <w:sz w:val="20"/>
          <w:szCs w:val="20"/>
        </w:rPr>
        <w:t>научных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-     50    75    100   125   150  175    200  225    250   275  300   300    300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сотрудников,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прошедших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международные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стажировки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рубежом (человек)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</w:t>
      </w:r>
      <w:proofErr w:type="gramStart"/>
      <w:r>
        <w:rPr>
          <w:rFonts w:ascii="Courier New" w:hAnsi="Courier New" w:cs="Courier New"/>
          <w:sz w:val="20"/>
          <w:szCs w:val="20"/>
        </w:rPr>
        <w:t>научных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28    30    30     35    40   45    50    58    65    75    85    95   100    100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сотрудников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индексом </w:t>
      </w:r>
      <w:proofErr w:type="spellStart"/>
      <w:r>
        <w:rPr>
          <w:rFonts w:ascii="Courier New" w:hAnsi="Courier New" w:cs="Courier New"/>
          <w:sz w:val="20"/>
          <w:szCs w:val="20"/>
        </w:rPr>
        <w:t>Хирша</w:t>
      </w:r>
      <w:proofErr w:type="spell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больше 10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(человек)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</w:t>
      </w:r>
      <w:proofErr w:type="gramStart"/>
      <w:r>
        <w:rPr>
          <w:rFonts w:ascii="Courier New" w:hAnsi="Courier New" w:cs="Courier New"/>
          <w:sz w:val="20"/>
          <w:szCs w:val="20"/>
        </w:rPr>
        <w:t>введенных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-     2      3     4     6     8    9     10    10    10    10    10    10    10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эксплуатацию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центров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коллективного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пользования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(единиц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нарастающим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итогом)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Удельный вес        0,6   0,6    0,6   0,7   0,8   0,9   1      1   1,1    1,2   1,3  1,4   1,5    1,5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научных публикаций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медицинской науки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общемировом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публикаций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(процент общего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числа публикаций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журналах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индексируемых в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Вэб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оф </w:t>
      </w:r>
      <w:proofErr w:type="spellStart"/>
      <w:r>
        <w:rPr>
          <w:rFonts w:ascii="Courier New" w:hAnsi="Courier New" w:cs="Courier New"/>
          <w:sz w:val="20"/>
          <w:szCs w:val="20"/>
        </w:rPr>
        <w:t>Скинз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Web</w:t>
      </w:r>
      <w:proofErr w:type="spellEnd"/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Science</w:t>
      </w:r>
      <w:proofErr w:type="spellEnd"/>
      <w:r>
        <w:rPr>
          <w:rFonts w:ascii="Courier New" w:hAnsi="Courier New" w:cs="Courier New"/>
          <w:sz w:val="20"/>
          <w:szCs w:val="20"/>
        </w:rPr>
        <w:t>))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</w:t>
      </w:r>
      <w:proofErr w:type="gramStart"/>
      <w:r>
        <w:rPr>
          <w:rFonts w:ascii="Courier New" w:hAnsi="Courier New" w:cs="Courier New"/>
          <w:sz w:val="20"/>
          <w:szCs w:val="20"/>
        </w:rPr>
        <w:t>научных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1     1      1     1     2     2    2      3    3      3     3    4     8      8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медицинской науки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Российской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Федерации,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входящих в мировой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рейтинг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публикационной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активности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(единиц, по данным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Сци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Верз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Скопус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SciVerse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Scopus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               1     2      6     12    14   14    15    17    18    19    21    22    24    24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международных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патентов (единиц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нарастающим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итогом)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</w:t>
      </w:r>
      <w:proofErr w:type="gramStart"/>
      <w:r>
        <w:rPr>
          <w:rFonts w:ascii="Courier New" w:hAnsi="Courier New" w:cs="Courier New"/>
          <w:sz w:val="20"/>
          <w:szCs w:val="20"/>
        </w:rPr>
        <w:t>новых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-     2      4     12    12   13    13    13    14    15    16    18    20    20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лекарственных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средств,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доведенных до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стадии </w:t>
      </w:r>
      <w:proofErr w:type="gramStart"/>
      <w:r>
        <w:rPr>
          <w:rFonts w:ascii="Courier New" w:hAnsi="Courier New" w:cs="Courier New"/>
          <w:sz w:val="20"/>
          <w:szCs w:val="20"/>
        </w:rPr>
        <w:t>клинических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исследований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(единиц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нарастающим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итогом)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               -     -      -     1     2     2    2      3    3      3     4    4     5      5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зарегистрированных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инновационных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лекарственных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препаратов,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защищенных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зарубежными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патентами (единиц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нарастающим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итогом)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               1     2      3     4     5     5    5      6    6      7     7    8     9      9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зарегистрированных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инновационных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изделий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биомедицинского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назначения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(единиц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нарастающим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итогом)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               -     1      5     6     7     8    9     10    11    12    13    14    15    15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зарегистрированных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биосовместимых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материалов (единиц</w:t>
      </w:r>
      <w:proofErr w:type="gramEnd"/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нарастающим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итогом)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               -     1      2     2     2     2    2      3    3      3     3    3     3     29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зарегистрированных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клеточных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продуктов (единиц)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Число                3     5     10     5     5     5    5      5    5      5     5    5     5     68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диагностических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тест-систем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(единиц)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Доля </w:t>
      </w:r>
      <w:proofErr w:type="gramStart"/>
      <w:r>
        <w:rPr>
          <w:rFonts w:ascii="Courier New" w:hAnsi="Courier New" w:cs="Courier New"/>
          <w:sz w:val="20"/>
          <w:szCs w:val="20"/>
        </w:rPr>
        <w:t>инновационных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-     1      3     4     5     5    6      6    7      7     8    9     10    10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продуктов,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выведенных на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рынок, в числе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впервые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зарегистрированных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продуктов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(процентов)</w:t>
      </w:r>
    </w:p>
    <w:p w:rsidR="00AD4811" w:rsidRDefault="00AD48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3"/>
      <w:bookmarkEnd w:id="4"/>
      <w:r>
        <w:rPr>
          <w:rFonts w:ascii="Calibri" w:hAnsi="Calibri" w:cs="Calibri"/>
        </w:rPr>
        <w:t xml:space="preserve">&lt;*&gt; Приведенные показатели разработаны на основе государственной </w:t>
      </w:r>
      <w:hyperlink r:id="rId2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"Развитие здравоохранения".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4"/>
      <w:bookmarkEnd w:id="5"/>
      <w:r>
        <w:rPr>
          <w:rFonts w:ascii="Calibri" w:hAnsi="Calibri" w:cs="Calibri"/>
        </w:rPr>
        <w:lastRenderedPageBreak/>
        <w:t>&lt;**&gt; Процентов общего числа лабораторий - участников проекта.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75"/>
      <w:bookmarkEnd w:id="6"/>
      <w:r>
        <w:rPr>
          <w:rFonts w:ascii="Calibri" w:hAnsi="Calibri" w:cs="Calibri"/>
        </w:rPr>
        <w:t>&lt;***&gt; Процентов числа клинических подразделений, проводящих клинические исследования.</w:t>
      </w: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811" w:rsidRDefault="00AD48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54EA" w:rsidRDefault="007554EA"/>
    <w:sectPr w:rsidR="007554E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11"/>
    <w:rsid w:val="004C0097"/>
    <w:rsid w:val="007554EA"/>
    <w:rsid w:val="00AD4811"/>
    <w:rsid w:val="00C3430E"/>
    <w:rsid w:val="00C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D4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D4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2CE3D7E8A1EF87A13CA98183AA7B1C7EF3FE41AD2F712B2831200462CDBC867AC6FACDD366ACDl9v1G" TargetMode="External"/><Relationship Id="rId13" Type="http://schemas.openxmlformats.org/officeDocument/2006/relationships/hyperlink" Target="consultantplus://offline/ref=D2C2CE3D7E8A1EF87A13CA98183AA7B1C7E93AE11CD5F712B2831200462CDBC867AC6FACD9l3v5G" TargetMode="External"/><Relationship Id="rId18" Type="http://schemas.openxmlformats.org/officeDocument/2006/relationships/hyperlink" Target="consultantplus://offline/ref=D2C2CE3D7E8A1EF87A13CA98183AA7B1C7EE35E81CD7F712B283120046l2vC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C2CE3D7E8A1EF87A13CA98183AA7B1C7EE3BE41DD2F712B283120046l2vCG" TargetMode="External"/><Relationship Id="rId7" Type="http://schemas.openxmlformats.org/officeDocument/2006/relationships/hyperlink" Target="consultantplus://offline/ref=D2C2CE3D7E8A1EF87A13CA98183AA7B1C7EF35E31AD0F712B2831200462CDBC867AC6FACDD366ACCl9v0G" TargetMode="External"/><Relationship Id="rId12" Type="http://schemas.openxmlformats.org/officeDocument/2006/relationships/hyperlink" Target="consultantplus://offline/ref=D2C2CE3D7E8A1EF87A13CA98183AA7B1C7E939E016D3F712B2831200462CDBC867AC6FACDD366ACDl9vEG" TargetMode="External"/><Relationship Id="rId17" Type="http://schemas.openxmlformats.org/officeDocument/2006/relationships/hyperlink" Target="consultantplus://offline/ref=D2C2CE3D7E8A1EF87A13CA98183AA7B1C7E93CE01AD1F712B2831200462CDBC867AC6FACDD366ACAl9v1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C2CE3D7E8A1EF87A13CA98183AA7B1C7E93AE117D2F712B283120046l2vCG" TargetMode="External"/><Relationship Id="rId20" Type="http://schemas.openxmlformats.org/officeDocument/2006/relationships/hyperlink" Target="consultantplus://offline/ref=D2C2CE3D7E8A1EF87A13CA98183AA7B1C7EE35E51DD0F712B283120046l2v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2CE3D7E8A1EF87A13CA98183AA7B1C7EF35E31AD3F712B2831200462CDBC867AC6FACDD366ACCl9vEG" TargetMode="External"/><Relationship Id="rId11" Type="http://schemas.openxmlformats.org/officeDocument/2006/relationships/hyperlink" Target="consultantplus://offline/ref=D2C2CE3D7E8A1EF87A13CA98183AA7B1C7EE3BE116D3F712B2831200462CDBC867AC6FACDD366ACCl9v8G" TargetMode="External"/><Relationship Id="rId24" Type="http://schemas.openxmlformats.org/officeDocument/2006/relationships/hyperlink" Target="consultantplus://offline/ref=D2C2CE3D7E8A1EF87A13CA98183AA7B1C7EE35E81CD7F712B2831200462CDBC867AC6FACDD366ACDl9vFG" TargetMode="External"/><Relationship Id="rId5" Type="http://schemas.openxmlformats.org/officeDocument/2006/relationships/hyperlink" Target="consultantplus://offline/ref=D2C2CE3D7E8A1EF87A13CA98183AA7B1C7EC3AE119DEF712B283120046l2vCG" TargetMode="External"/><Relationship Id="rId15" Type="http://schemas.openxmlformats.org/officeDocument/2006/relationships/hyperlink" Target="consultantplus://offline/ref=D2C2CE3D7E8A1EF87A13CA98183AA7B1C7E934E51CD6F712B2831200462CDBC867AC6FACDD366BCFl9v8G" TargetMode="External"/><Relationship Id="rId23" Type="http://schemas.openxmlformats.org/officeDocument/2006/relationships/hyperlink" Target="consultantplus://offline/ref=D2C2CE3D7E8A1EF87A13CA98183AA7B1C7EF35E31AD2F712B283120046l2vCG" TargetMode="External"/><Relationship Id="rId10" Type="http://schemas.openxmlformats.org/officeDocument/2006/relationships/hyperlink" Target="consultantplus://offline/ref=D2C2CE3D7E8A1EF87A13CA98183AA7B1C7EE3CE01AD5F712B283120046l2vCG" TargetMode="External"/><Relationship Id="rId19" Type="http://schemas.openxmlformats.org/officeDocument/2006/relationships/hyperlink" Target="consultantplus://offline/ref=D2C2CE3D7E8A1EF87A13CA98183AA7B1C7EE34E118D0F712B283120046l2v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2CE3D7E8A1EF87A13CA98183AA7B1C7EE34E119D7F712B2831200462CDBC867AC6FlAv9G" TargetMode="External"/><Relationship Id="rId14" Type="http://schemas.openxmlformats.org/officeDocument/2006/relationships/hyperlink" Target="consultantplus://offline/ref=D2C2CE3D7E8A1EF87A13CA98183AA7B1C7EF3DE81DD2F712B283120046l2vCG" TargetMode="External"/><Relationship Id="rId22" Type="http://schemas.openxmlformats.org/officeDocument/2006/relationships/hyperlink" Target="consultantplus://offline/ref=D2C2CE3D7E8A1EF87A13CA98183AA7B1C7E934E51AD3F712B283120046l2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6981</Words>
  <Characters>39794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Чуткова Галина Вячеславовна</dc:creator>
  <cp:keywords/>
  <dc:description/>
  <cp:lastModifiedBy>Чуткова Галина Вячеславовна</cp:lastModifiedBy>
  <cp:revision>2</cp:revision>
  <dcterms:created xsi:type="dcterms:W3CDTF">2013-07-18T07:12:00Z</dcterms:created>
  <dcterms:modified xsi:type="dcterms:W3CDTF">2013-07-18T07:12:00Z</dcterms:modified>
</cp:coreProperties>
</file>