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4B214F" w:rsidRPr="004B214F" w:rsidRDefault="004B214F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</w:rPr>
            </w:pPr>
            <w:proofErr w:type="spellStart"/>
            <w:r w:rsidRPr="004B214F">
              <w:rPr>
                <w:i/>
              </w:rPr>
              <w:t>Цефа</w:t>
            </w:r>
            <w:r w:rsidRPr="004B214F">
              <w:rPr>
                <w:i/>
                <w:color w:val="333333"/>
                <w:shd w:val="clear" w:color="auto" w:fill="FFFFFF"/>
              </w:rPr>
              <w:t>элис</w:t>
            </w:r>
            <w:proofErr w:type="spellEnd"/>
            <w:r w:rsidRPr="004B214F">
              <w:rPr>
                <w:bCs w:val="0"/>
                <w:i/>
                <w:color w:val="333333"/>
                <w:shd w:val="clear" w:color="auto" w:fill="FFFFFF"/>
              </w:rPr>
              <w:t xml:space="preserve"> ипекакуана</w:t>
            </w:r>
          </w:p>
          <w:p w:rsidR="004B214F" w:rsidRPr="004B214F" w:rsidRDefault="004B214F" w:rsidP="004B214F">
            <w:pPr>
              <w:pStyle w:val="32"/>
              <w:spacing w:line="276" w:lineRule="auto"/>
              <w:jc w:val="both"/>
              <w:rPr>
                <w:sz w:val="24"/>
                <w:szCs w:val="24"/>
              </w:rPr>
            </w:pPr>
            <w:r w:rsidRPr="004B214F">
              <w:rPr>
                <w:color w:val="333333"/>
                <w:shd w:val="clear" w:color="auto" w:fill="FFFFFF"/>
              </w:rPr>
              <w:t> </w:t>
            </w:r>
            <w:r w:rsidRPr="004B214F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Ипекакуана</w:t>
            </w:r>
          </w:p>
          <w:p w:rsidR="00967BE2" w:rsidRPr="002F73C2" w:rsidRDefault="002F73C2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Cephaelis</w:t>
            </w:r>
            <w:proofErr w:type="spellEnd"/>
            <w:r w:rsidRPr="002F73C2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ipecacuanha</w:t>
            </w:r>
            <w:proofErr w:type="spellEnd"/>
          </w:p>
          <w:p w:rsidR="001273CD" w:rsidRPr="004B214F" w:rsidRDefault="002F73C2" w:rsidP="004B214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4B214F">
              <w:rPr>
                <w:b/>
                <w:i/>
                <w:sz w:val="24"/>
                <w:szCs w:val="24"/>
                <w:lang w:val="en-US"/>
              </w:rPr>
              <w:t>Ipecacuanha</w:t>
            </w:r>
            <w:proofErr w:type="spellEnd"/>
          </w:p>
          <w:p w:rsidR="00967BE2" w:rsidRPr="00821591" w:rsidRDefault="00967BE2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2F73C2" w:rsidRDefault="00967BE2" w:rsidP="00BC2308">
      <w:pPr>
        <w:spacing w:line="360" w:lineRule="auto"/>
        <w:ind w:firstLine="709"/>
        <w:jc w:val="both"/>
        <w:rPr>
          <w:sz w:val="28"/>
          <w:szCs w:val="28"/>
        </w:rPr>
      </w:pPr>
      <w:r w:rsidRPr="00BC2308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BC2308" w:rsidRPr="00BC2308">
        <w:rPr>
          <w:i/>
          <w:sz w:val="28"/>
          <w:szCs w:val="28"/>
        </w:rPr>
        <w:t>Цефаэлис</w:t>
      </w:r>
      <w:proofErr w:type="spellEnd"/>
      <w:r w:rsidR="00BC2308" w:rsidRPr="00BC2308">
        <w:rPr>
          <w:i/>
          <w:sz w:val="28"/>
          <w:szCs w:val="28"/>
        </w:rPr>
        <w:t xml:space="preserve"> ипекакуана (Ипекакуана)</w:t>
      </w:r>
      <w:r w:rsidR="00BC2308">
        <w:rPr>
          <w:sz w:val="28"/>
          <w:szCs w:val="28"/>
        </w:rPr>
        <w:t xml:space="preserve"> - </w:t>
      </w:r>
      <w:proofErr w:type="spellStart"/>
      <w:r w:rsidR="002F73C2" w:rsidRPr="002F73C2">
        <w:rPr>
          <w:i/>
          <w:sz w:val="28"/>
          <w:szCs w:val="28"/>
          <w:lang w:val="en-US"/>
        </w:rPr>
        <w:t>Cephaelis</w:t>
      </w:r>
      <w:proofErr w:type="spellEnd"/>
      <w:r w:rsidR="002F73C2" w:rsidRPr="002F73C2">
        <w:rPr>
          <w:i/>
          <w:sz w:val="28"/>
          <w:szCs w:val="28"/>
        </w:rPr>
        <w:t xml:space="preserve"> </w:t>
      </w:r>
      <w:proofErr w:type="spellStart"/>
      <w:r w:rsidR="002F73C2" w:rsidRPr="002F73C2">
        <w:rPr>
          <w:i/>
          <w:sz w:val="28"/>
          <w:szCs w:val="28"/>
          <w:lang w:val="en-US"/>
        </w:rPr>
        <w:t>ipecacuanha</w:t>
      </w:r>
      <w:proofErr w:type="spellEnd"/>
      <w:r w:rsidR="000D70D2" w:rsidRPr="002F73C2">
        <w:rPr>
          <w:i/>
          <w:sz w:val="28"/>
          <w:szCs w:val="28"/>
        </w:rPr>
        <w:t xml:space="preserve"> </w:t>
      </w:r>
      <w:r w:rsidR="001273CD" w:rsidRPr="002F73C2">
        <w:rPr>
          <w:color w:val="000000"/>
          <w:spacing w:val="-1"/>
          <w:sz w:val="28"/>
          <w:szCs w:val="28"/>
        </w:rPr>
        <w:t>(</w:t>
      </w:r>
      <w:proofErr w:type="spellStart"/>
      <w:r w:rsidR="002F73C2" w:rsidRPr="00B96326">
        <w:rPr>
          <w:i/>
          <w:sz w:val="28"/>
          <w:szCs w:val="28"/>
          <w:lang w:val="en-US"/>
        </w:rPr>
        <w:t>Ipecacuanha</w:t>
      </w:r>
      <w:proofErr w:type="spellEnd"/>
      <w:r w:rsidR="001273CD" w:rsidRPr="002F73C2">
        <w:rPr>
          <w:sz w:val="28"/>
          <w:szCs w:val="28"/>
        </w:rPr>
        <w:t xml:space="preserve">) </w:t>
      </w:r>
      <w:r w:rsidRPr="002F73C2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2F73C2">
        <w:rPr>
          <w:i/>
          <w:sz w:val="28"/>
          <w:szCs w:val="28"/>
        </w:rPr>
        <w:t>,</w:t>
      </w:r>
      <w:r w:rsidRPr="002F73C2">
        <w:rPr>
          <w:sz w:val="28"/>
          <w:szCs w:val="28"/>
        </w:rPr>
        <w:t xml:space="preserve"> получаемую из </w:t>
      </w:r>
      <w:r w:rsidR="002F73C2">
        <w:rPr>
          <w:sz w:val="28"/>
          <w:szCs w:val="28"/>
        </w:rPr>
        <w:t>высушенных</w:t>
      </w:r>
      <w:r w:rsidR="006E71ED" w:rsidRPr="002F73C2">
        <w:rPr>
          <w:sz w:val="28"/>
          <w:szCs w:val="28"/>
        </w:rPr>
        <w:t xml:space="preserve"> корн</w:t>
      </w:r>
      <w:r w:rsidR="002F73C2">
        <w:rPr>
          <w:sz w:val="28"/>
          <w:szCs w:val="28"/>
        </w:rPr>
        <w:t>ей</w:t>
      </w:r>
      <w:r w:rsidR="006E71ED" w:rsidRPr="002F73C2">
        <w:rPr>
          <w:sz w:val="28"/>
          <w:szCs w:val="28"/>
        </w:rPr>
        <w:t xml:space="preserve"> </w:t>
      </w:r>
      <w:r w:rsidR="002F73C2">
        <w:rPr>
          <w:sz w:val="28"/>
          <w:szCs w:val="28"/>
        </w:rPr>
        <w:t>ипекакуаны обыкновенной</w:t>
      </w:r>
      <w:r w:rsidR="00113878" w:rsidRPr="002F73C2">
        <w:rPr>
          <w:sz w:val="28"/>
          <w:szCs w:val="28"/>
        </w:rPr>
        <w:t xml:space="preserve"> – </w:t>
      </w:r>
      <w:proofErr w:type="spellStart"/>
      <w:r w:rsidR="00DC40F5" w:rsidRPr="00DC40F5">
        <w:rPr>
          <w:i/>
          <w:sz w:val="28"/>
          <w:szCs w:val="28"/>
        </w:rPr>
        <w:t>Cephaelis</w:t>
      </w:r>
      <w:proofErr w:type="spellEnd"/>
      <w:r w:rsidR="00DC40F5" w:rsidRPr="00DC40F5">
        <w:rPr>
          <w:i/>
          <w:sz w:val="28"/>
          <w:szCs w:val="28"/>
        </w:rPr>
        <w:t xml:space="preserve"> </w:t>
      </w:r>
      <w:proofErr w:type="spellStart"/>
      <w:r w:rsidR="00DC40F5" w:rsidRPr="00DC40F5">
        <w:rPr>
          <w:i/>
          <w:sz w:val="28"/>
          <w:szCs w:val="28"/>
        </w:rPr>
        <w:t>ipecacuanha</w:t>
      </w:r>
      <w:proofErr w:type="spellEnd"/>
      <w:r w:rsidR="00DC40F5" w:rsidRPr="00DC40F5">
        <w:rPr>
          <w:i/>
          <w:sz w:val="28"/>
          <w:szCs w:val="28"/>
        </w:rPr>
        <w:t xml:space="preserve"> (</w:t>
      </w:r>
      <w:proofErr w:type="spellStart"/>
      <w:r w:rsidR="00DC40F5" w:rsidRPr="00DC40F5">
        <w:rPr>
          <w:i/>
          <w:sz w:val="28"/>
          <w:szCs w:val="28"/>
          <w:lang w:val="en-US"/>
        </w:rPr>
        <w:t>Brot</w:t>
      </w:r>
      <w:proofErr w:type="spellEnd"/>
      <w:r w:rsidR="00DC40F5" w:rsidRPr="00DC40F5">
        <w:rPr>
          <w:i/>
          <w:sz w:val="28"/>
          <w:szCs w:val="28"/>
        </w:rPr>
        <w:t xml:space="preserve">.) </w:t>
      </w:r>
      <w:r w:rsidR="00DC40F5" w:rsidRPr="00DC40F5">
        <w:rPr>
          <w:i/>
          <w:sz w:val="28"/>
          <w:szCs w:val="28"/>
          <w:lang w:val="en-US"/>
        </w:rPr>
        <w:t>A</w:t>
      </w:r>
      <w:r w:rsidR="00DC40F5" w:rsidRPr="00DC40F5">
        <w:rPr>
          <w:i/>
          <w:sz w:val="28"/>
          <w:szCs w:val="28"/>
        </w:rPr>
        <w:t xml:space="preserve">. </w:t>
      </w:r>
      <w:proofErr w:type="gramStart"/>
      <w:r w:rsidR="00DC40F5" w:rsidRPr="00DC40F5">
        <w:rPr>
          <w:i/>
          <w:sz w:val="28"/>
          <w:szCs w:val="28"/>
          <w:lang w:val="en-US"/>
        </w:rPr>
        <w:t>Rich</w:t>
      </w:r>
      <w:r w:rsidR="00DC40F5" w:rsidRPr="00DC40F5">
        <w:rPr>
          <w:i/>
          <w:sz w:val="28"/>
          <w:szCs w:val="28"/>
        </w:rPr>
        <w:t xml:space="preserve"> </w:t>
      </w:r>
      <w:r w:rsidR="00113878" w:rsidRPr="00DC40F5">
        <w:rPr>
          <w:sz w:val="28"/>
          <w:szCs w:val="28"/>
        </w:rPr>
        <w:t>.</w:t>
      </w:r>
      <w:proofErr w:type="gramEnd"/>
      <w:r w:rsidR="00113878" w:rsidRPr="00DC40F5">
        <w:rPr>
          <w:sz w:val="28"/>
          <w:szCs w:val="28"/>
        </w:rPr>
        <w:t>, сем</w:t>
      </w:r>
      <w:r w:rsidR="00DC40F5" w:rsidRPr="00DC40F5">
        <w:rPr>
          <w:sz w:val="28"/>
          <w:szCs w:val="28"/>
        </w:rPr>
        <w:t xml:space="preserve"> </w:t>
      </w:r>
      <w:proofErr w:type="spellStart"/>
      <w:r w:rsidR="00DC40F5" w:rsidRPr="00DC40F5">
        <w:rPr>
          <w:sz w:val="28"/>
          <w:szCs w:val="28"/>
        </w:rPr>
        <w:t>сем</w:t>
      </w:r>
      <w:proofErr w:type="spellEnd"/>
      <w:r w:rsidR="00DC40F5" w:rsidRPr="00DC40F5">
        <w:rPr>
          <w:sz w:val="28"/>
          <w:szCs w:val="28"/>
        </w:rPr>
        <w:t xml:space="preserve">. мареновых – </w:t>
      </w:r>
      <w:r w:rsidR="00DC40F5" w:rsidRPr="00DC40F5">
        <w:rPr>
          <w:i/>
          <w:iCs/>
          <w:sz w:val="28"/>
          <w:szCs w:val="28"/>
          <w:lang w:val="la-Latn"/>
        </w:rPr>
        <w:t>Rubiaceae</w:t>
      </w:r>
      <w:r w:rsidRPr="00DC40F5">
        <w:rPr>
          <w:i/>
          <w:sz w:val="28"/>
          <w:szCs w:val="28"/>
        </w:rPr>
        <w:t xml:space="preserve">, </w:t>
      </w:r>
      <w:proofErr w:type="gramStart"/>
      <w:r w:rsidRPr="00DC40F5">
        <w:rPr>
          <w:sz w:val="28"/>
          <w:szCs w:val="28"/>
        </w:rPr>
        <w:t>применяемую</w:t>
      </w:r>
      <w:proofErr w:type="gramEnd"/>
      <w:r w:rsidRPr="002F73C2">
        <w:rPr>
          <w:sz w:val="28"/>
          <w:szCs w:val="28"/>
        </w:rPr>
        <w:t xml:space="preserve">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DC40F5" w:rsidP="00DC40F5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Ипекакуаны обыкновенной корней высушенных (измельченных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4E0384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C40F5">
        <w:rPr>
          <w:sz w:val="28"/>
        </w:rPr>
        <w:t>4</w:t>
      </w:r>
      <w:r>
        <w:rPr>
          <w:sz w:val="28"/>
        </w:rPr>
        <w:t xml:space="preserve"> ОФС «Настойки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r w:rsidR="00113878" w:rsidRPr="00113878">
        <w:rPr>
          <w:sz w:val="28"/>
        </w:rPr>
        <w:t>желто</w:t>
      </w:r>
      <w:r w:rsidR="00D6343E">
        <w:rPr>
          <w:sz w:val="28"/>
        </w:rPr>
        <w:t>вато-коричневого цвета без</w:t>
      </w:r>
      <w:r w:rsidR="00113878" w:rsidRPr="00113878">
        <w:rPr>
          <w:sz w:val="28"/>
        </w:rPr>
        <w:t xml:space="preserve"> характерн</w:t>
      </w:r>
      <w:r w:rsidR="00D6343E">
        <w:rPr>
          <w:sz w:val="28"/>
        </w:rPr>
        <w:t>ого</w:t>
      </w:r>
      <w:r w:rsidR="00113878" w:rsidRPr="00113878">
        <w:rPr>
          <w:sz w:val="28"/>
        </w:rPr>
        <w:t xml:space="preserve"> запах</w:t>
      </w:r>
      <w:r w:rsidR="00D6343E">
        <w:rPr>
          <w:sz w:val="28"/>
        </w:rPr>
        <w:t>а</w:t>
      </w:r>
      <w:r w:rsidR="00113878" w:rsidRPr="00113878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DC40F5" w:rsidRPr="00534791" w:rsidRDefault="0097292B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97292B">
        <w:rPr>
          <w:i/>
          <w:sz w:val="28"/>
        </w:rPr>
        <w:t>1</w:t>
      </w:r>
      <w:r w:rsidR="00DC40F5" w:rsidRPr="0097292B">
        <w:rPr>
          <w:i/>
          <w:sz w:val="28"/>
        </w:rPr>
        <w:t>.</w:t>
      </w:r>
      <w:r w:rsidR="00DC40F5" w:rsidRPr="00534791">
        <w:rPr>
          <w:sz w:val="28"/>
        </w:rPr>
        <w:t xml:space="preserve"> </w:t>
      </w:r>
      <w:r w:rsidR="00DC40F5" w:rsidRPr="00534791">
        <w:rPr>
          <w:b/>
          <w:i/>
          <w:sz w:val="28"/>
        </w:rPr>
        <w:t>Тонкослойная хроматография</w:t>
      </w:r>
    </w:p>
    <w:p w:rsidR="00DC40F5" w:rsidRPr="00534791" w:rsidRDefault="00DC40F5" w:rsidP="00DC40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DC40F5" w:rsidRPr="00534791" w:rsidRDefault="00DC40F5" w:rsidP="00DC40F5">
      <w:pPr>
        <w:pStyle w:val="21"/>
        <w:spacing w:line="240" w:lineRule="auto"/>
        <w:ind w:firstLine="709"/>
        <w:jc w:val="both"/>
        <w:rPr>
          <w:szCs w:val="28"/>
        </w:rPr>
      </w:pPr>
      <w:r w:rsidRPr="00534791">
        <w:rPr>
          <w:i/>
          <w:szCs w:val="28"/>
        </w:rPr>
        <w:lastRenderedPageBreak/>
        <w:t>Раствор стандартного образца (</w:t>
      </w:r>
      <w:proofErr w:type="gramStart"/>
      <w:r w:rsidRPr="00534791">
        <w:rPr>
          <w:i/>
          <w:szCs w:val="28"/>
        </w:rPr>
        <w:t>СО</w:t>
      </w:r>
      <w:proofErr w:type="gramEnd"/>
      <w:r w:rsidRPr="00534791">
        <w:rPr>
          <w:i/>
          <w:szCs w:val="28"/>
        </w:rPr>
        <w:t xml:space="preserve">) </w:t>
      </w:r>
      <w:r>
        <w:rPr>
          <w:i/>
          <w:szCs w:val="28"/>
        </w:rPr>
        <w:t xml:space="preserve">эметина </w:t>
      </w:r>
      <w:proofErr w:type="spellStart"/>
      <w:r>
        <w:rPr>
          <w:i/>
          <w:szCs w:val="28"/>
        </w:rPr>
        <w:t>дигидрохлорида</w:t>
      </w:r>
      <w:proofErr w:type="spellEnd"/>
      <w:r w:rsidRPr="00534791">
        <w:rPr>
          <w:i/>
          <w:szCs w:val="28"/>
        </w:rPr>
        <w:t>.</w:t>
      </w:r>
      <w:r w:rsidRPr="00534791">
        <w:rPr>
          <w:szCs w:val="28"/>
        </w:rPr>
        <w:t xml:space="preserve"> 2</w:t>
      </w:r>
      <w:r>
        <w:rPr>
          <w:szCs w:val="28"/>
        </w:rPr>
        <w:t>,5</w:t>
      </w:r>
      <w:r w:rsidRPr="00534791">
        <w:rPr>
          <w:szCs w:val="28"/>
        </w:rPr>
        <w:t xml:space="preserve"> мг </w:t>
      </w:r>
      <w:r w:rsidR="0097292B">
        <w:rPr>
          <w:szCs w:val="28"/>
        </w:rPr>
        <w:t xml:space="preserve">СО </w:t>
      </w:r>
      <w:r>
        <w:rPr>
          <w:szCs w:val="28"/>
        </w:rPr>
        <w:t xml:space="preserve">эметина </w:t>
      </w:r>
      <w:proofErr w:type="spellStart"/>
      <w:r>
        <w:rPr>
          <w:szCs w:val="28"/>
        </w:rPr>
        <w:t>дигидрохлорида</w:t>
      </w:r>
      <w:proofErr w:type="spellEnd"/>
      <w:r w:rsidRPr="00534791">
        <w:rPr>
          <w:szCs w:val="28"/>
        </w:rPr>
        <w:t xml:space="preserve"> растворяют в 10 мл </w:t>
      </w:r>
      <w:r>
        <w:rPr>
          <w:szCs w:val="28"/>
        </w:rPr>
        <w:t>метанола</w:t>
      </w:r>
      <w:r w:rsidRPr="00534791">
        <w:rPr>
          <w:szCs w:val="28"/>
        </w:rPr>
        <w:t xml:space="preserve">. Срок годности раствора не более 30 </w:t>
      </w:r>
      <w:proofErr w:type="spellStart"/>
      <w:r w:rsidRPr="00534791">
        <w:rPr>
          <w:szCs w:val="28"/>
        </w:rPr>
        <w:t>сут</w:t>
      </w:r>
      <w:proofErr w:type="spellEnd"/>
      <w:r w:rsidRPr="00534791">
        <w:rPr>
          <w:snapToGrid w:val="0"/>
          <w:szCs w:val="28"/>
        </w:rPr>
        <w:t xml:space="preserve"> при хранении </w:t>
      </w:r>
      <w:r w:rsidRPr="00534791">
        <w:rPr>
          <w:szCs w:val="28"/>
        </w:rPr>
        <w:t>в прохладном, защищенном от света месте.</w:t>
      </w:r>
    </w:p>
    <w:p w:rsidR="0097292B" w:rsidRDefault="0097292B" w:rsidP="00DC40F5">
      <w:pPr>
        <w:ind w:firstLine="709"/>
        <w:jc w:val="both"/>
        <w:rPr>
          <w:sz w:val="28"/>
          <w:szCs w:val="28"/>
        </w:rPr>
      </w:pPr>
    </w:p>
    <w:p w:rsidR="00DC40F5" w:rsidRPr="00534791" w:rsidRDefault="00DC40F5" w:rsidP="00DC40F5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534791">
        <w:rPr>
          <w:sz w:val="28"/>
          <w:szCs w:val="28"/>
        </w:rPr>
        <w:t xml:space="preserve">На линию старта аналитической </w:t>
      </w:r>
      <w:proofErr w:type="spellStart"/>
      <w:r w:rsidRPr="00534791">
        <w:rPr>
          <w:sz w:val="28"/>
          <w:szCs w:val="28"/>
        </w:rPr>
        <w:t>хроматографической</w:t>
      </w:r>
      <w:proofErr w:type="spellEnd"/>
      <w:r w:rsidRPr="00534791">
        <w:rPr>
          <w:sz w:val="28"/>
          <w:szCs w:val="28"/>
        </w:rPr>
        <w:t xml:space="preserve"> пластинки (размером 10 × 15 см) со слоем силикагеля на полимерной подложке наносят раздельно </w:t>
      </w:r>
      <w:r>
        <w:rPr>
          <w:sz w:val="28"/>
          <w:szCs w:val="28"/>
        </w:rPr>
        <w:t>1</w:t>
      </w:r>
      <w:r w:rsidRPr="00534791">
        <w:rPr>
          <w:noProof/>
          <w:sz w:val="28"/>
        </w:rPr>
        <w:t>0 </w:t>
      </w:r>
      <w:r w:rsidRPr="00534791">
        <w:rPr>
          <w:sz w:val="28"/>
        </w:rPr>
        <w:t>мкл</w:t>
      </w:r>
      <w:r w:rsidRPr="00534791">
        <w:rPr>
          <w:noProof/>
          <w:sz w:val="28"/>
        </w:rPr>
        <w:t xml:space="preserve"> </w:t>
      </w:r>
      <w:r w:rsidRPr="00534791">
        <w:rPr>
          <w:sz w:val="28"/>
        </w:rPr>
        <w:t>настойки и</w:t>
      </w:r>
      <w:r w:rsidRPr="00534791">
        <w:rPr>
          <w:noProof/>
          <w:sz w:val="28"/>
        </w:rPr>
        <w:t xml:space="preserve"> 10 </w:t>
      </w:r>
      <w:r w:rsidRPr="00534791">
        <w:rPr>
          <w:sz w:val="28"/>
        </w:rPr>
        <w:t xml:space="preserve">мкл раствора </w:t>
      </w:r>
      <w:proofErr w:type="gramStart"/>
      <w:r w:rsidRPr="00534791">
        <w:rPr>
          <w:sz w:val="28"/>
        </w:rPr>
        <w:t>СО</w:t>
      </w:r>
      <w:proofErr w:type="gramEnd"/>
      <w:r>
        <w:rPr>
          <w:sz w:val="28"/>
          <w:szCs w:val="28"/>
        </w:rPr>
        <w:t xml:space="preserve"> эметина </w:t>
      </w:r>
      <w:proofErr w:type="spellStart"/>
      <w:r>
        <w:rPr>
          <w:sz w:val="28"/>
          <w:szCs w:val="28"/>
        </w:rPr>
        <w:t>дигидрохлорида</w:t>
      </w:r>
      <w:proofErr w:type="spellEnd"/>
      <w:r w:rsidRPr="00534791">
        <w:rPr>
          <w:sz w:val="28"/>
          <w:szCs w:val="28"/>
        </w:rPr>
        <w:t xml:space="preserve">. </w:t>
      </w:r>
      <w:r w:rsidRPr="00534791">
        <w:rPr>
          <w:sz w:val="28"/>
        </w:rPr>
        <w:t xml:space="preserve">Пластинку помещают в камеру, предварительно насыщенную в течение </w:t>
      </w:r>
      <w:r w:rsidR="0097292B">
        <w:rPr>
          <w:sz w:val="28"/>
        </w:rPr>
        <w:t>30</w:t>
      </w:r>
      <w:r w:rsidRPr="00534791">
        <w:rPr>
          <w:sz w:val="28"/>
        </w:rPr>
        <w:t> </w:t>
      </w:r>
      <w:r w:rsidR="0097292B">
        <w:rPr>
          <w:sz w:val="28"/>
        </w:rPr>
        <w:t>мин</w:t>
      </w:r>
      <w:r w:rsidRPr="00534791">
        <w:rPr>
          <w:sz w:val="28"/>
        </w:rPr>
        <w:t xml:space="preserve"> смесью растворителей </w:t>
      </w:r>
      <w:r w:rsidRPr="00180FA5">
        <w:rPr>
          <w:sz w:val="28"/>
        </w:rPr>
        <w:t>аммиака раствор концентрированный</w:t>
      </w:r>
      <w:r>
        <w:rPr>
          <w:sz w:val="28"/>
        </w:rPr>
        <w:t xml:space="preserve"> 25 %</w:t>
      </w:r>
      <w:r w:rsidRPr="00534791">
        <w:rPr>
          <w:sz w:val="28"/>
        </w:rPr>
        <w:t xml:space="preserve"> – </w:t>
      </w:r>
      <w:r>
        <w:rPr>
          <w:sz w:val="28"/>
        </w:rPr>
        <w:t>метанол</w:t>
      </w:r>
      <w:r w:rsidRPr="00534791">
        <w:rPr>
          <w:noProof/>
          <w:sz w:val="28"/>
        </w:rPr>
        <w:t xml:space="preserve"> - </w:t>
      </w:r>
      <w:r>
        <w:rPr>
          <w:noProof/>
          <w:sz w:val="28"/>
        </w:rPr>
        <w:t>этилацетат - толуол</w:t>
      </w:r>
      <w:r w:rsidRPr="00534791">
        <w:rPr>
          <w:noProof/>
          <w:sz w:val="28"/>
        </w:rPr>
        <w:t xml:space="preserve"> в соотношении (</w:t>
      </w:r>
      <w:r>
        <w:rPr>
          <w:noProof/>
          <w:sz w:val="28"/>
        </w:rPr>
        <w:t>2</w:t>
      </w:r>
      <w:r w:rsidRPr="00534791">
        <w:rPr>
          <w:noProof/>
          <w:sz w:val="28"/>
        </w:rPr>
        <w:t>:1</w:t>
      </w:r>
      <w:r>
        <w:rPr>
          <w:noProof/>
          <w:sz w:val="28"/>
        </w:rPr>
        <w:t>5</w:t>
      </w:r>
      <w:r w:rsidRPr="00534791">
        <w:rPr>
          <w:noProof/>
          <w:sz w:val="28"/>
        </w:rPr>
        <w:t>:</w:t>
      </w:r>
      <w:r>
        <w:rPr>
          <w:noProof/>
          <w:sz w:val="28"/>
        </w:rPr>
        <w:t>1</w:t>
      </w:r>
      <w:r w:rsidRPr="00534791">
        <w:rPr>
          <w:noProof/>
          <w:sz w:val="28"/>
        </w:rPr>
        <w:t>8</w:t>
      </w:r>
      <w:r>
        <w:rPr>
          <w:noProof/>
          <w:sz w:val="28"/>
        </w:rPr>
        <w:t>:65</w:t>
      </w:r>
      <w:r w:rsidRPr="00534791">
        <w:rPr>
          <w:noProof/>
          <w:sz w:val="28"/>
        </w:rPr>
        <w:t xml:space="preserve">) </w:t>
      </w:r>
      <w:r w:rsidRPr="00534791">
        <w:rPr>
          <w:color w:val="000000"/>
          <w:sz w:val="28"/>
          <w:szCs w:val="28"/>
        </w:rPr>
        <w:t>и хроматографируют восходящим способом</w:t>
      </w:r>
      <w:r w:rsidRPr="00534791">
        <w:rPr>
          <w:noProof/>
          <w:sz w:val="28"/>
        </w:rPr>
        <w:t xml:space="preserve">. </w:t>
      </w:r>
      <w:r w:rsidRPr="00534791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534791">
        <w:rPr>
          <w:noProof/>
          <w:sz w:val="28"/>
          <w:szCs w:val="28"/>
        </w:rPr>
        <w:t>сушат</w:t>
      </w:r>
      <w:r w:rsidRPr="00534791">
        <w:rPr>
          <w:noProof/>
          <w:sz w:val="28"/>
        </w:rPr>
        <w:t xml:space="preserve"> </w:t>
      </w:r>
      <w:r>
        <w:rPr>
          <w:noProof/>
          <w:sz w:val="28"/>
        </w:rPr>
        <w:t>до удаления следов растворителей</w:t>
      </w:r>
      <w:r w:rsidR="0097292B">
        <w:rPr>
          <w:noProof/>
          <w:sz w:val="28"/>
        </w:rPr>
        <w:t>. Затем</w:t>
      </w:r>
      <w:r>
        <w:rPr>
          <w:noProof/>
          <w:sz w:val="28"/>
        </w:rPr>
        <w:t xml:space="preserve"> обрабат</w:t>
      </w:r>
      <w:r w:rsidR="0097292B">
        <w:rPr>
          <w:noProof/>
          <w:sz w:val="28"/>
        </w:rPr>
        <w:t xml:space="preserve">ывают </w:t>
      </w:r>
      <w:r w:rsidR="0097292B">
        <w:rPr>
          <w:sz w:val="28"/>
          <w:szCs w:val="28"/>
        </w:rPr>
        <w:t>й</w:t>
      </w:r>
      <w:r w:rsidR="0097292B" w:rsidRPr="0097292B">
        <w:rPr>
          <w:sz w:val="28"/>
          <w:szCs w:val="28"/>
        </w:rPr>
        <w:t>ода раствор</w:t>
      </w:r>
      <w:r w:rsidR="0097292B">
        <w:rPr>
          <w:sz w:val="28"/>
          <w:szCs w:val="28"/>
        </w:rPr>
        <w:t>ом</w:t>
      </w:r>
      <w:r w:rsidR="0097292B" w:rsidRPr="0097292B">
        <w:rPr>
          <w:sz w:val="28"/>
          <w:szCs w:val="28"/>
        </w:rPr>
        <w:t xml:space="preserve"> спиртов</w:t>
      </w:r>
      <w:r w:rsidR="0097292B">
        <w:rPr>
          <w:sz w:val="28"/>
          <w:szCs w:val="28"/>
        </w:rPr>
        <w:t>ым</w:t>
      </w:r>
      <w:r w:rsidR="0097292B" w:rsidRPr="0097292B">
        <w:rPr>
          <w:sz w:val="28"/>
          <w:szCs w:val="28"/>
        </w:rPr>
        <w:t xml:space="preserve"> 1 %</w:t>
      </w:r>
      <w:r w:rsidRPr="0097292B">
        <w:rPr>
          <w:noProof/>
          <w:sz w:val="28"/>
          <w:szCs w:val="28"/>
        </w:rPr>
        <w:t>,</w:t>
      </w:r>
      <w:r>
        <w:rPr>
          <w:noProof/>
          <w:sz w:val="28"/>
        </w:rPr>
        <w:t xml:space="preserve"> нагревают в течение 10 мин при </w:t>
      </w:r>
      <w:r w:rsidR="0097292B">
        <w:rPr>
          <w:noProof/>
          <w:sz w:val="28"/>
        </w:rPr>
        <w:t xml:space="preserve">температуре </w:t>
      </w:r>
      <w:r>
        <w:rPr>
          <w:noProof/>
          <w:sz w:val="28"/>
        </w:rPr>
        <w:t>60</w:t>
      </w:r>
      <w:proofErr w:type="gramStart"/>
      <w:r>
        <w:rPr>
          <w:noProof/>
          <w:sz w:val="28"/>
        </w:rPr>
        <w:t> </w:t>
      </w:r>
      <w:r w:rsidRPr="00AE300C"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 и просматривают при дневном свете и в УФ-свете при 365 нм.</w:t>
      </w:r>
    </w:p>
    <w:p w:rsidR="00DC40F5" w:rsidRPr="00534791" w:rsidRDefault="00DC40F5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хроматограмме раствора </w:t>
      </w:r>
      <w:proofErr w:type="gramStart"/>
      <w:r w:rsidR="00A01B7B" w:rsidRPr="00534791">
        <w:rPr>
          <w:sz w:val="28"/>
        </w:rPr>
        <w:t>СО</w:t>
      </w:r>
      <w:proofErr w:type="gramEnd"/>
      <w:r w:rsidR="00A01B7B" w:rsidRPr="00534791">
        <w:rPr>
          <w:sz w:val="28"/>
        </w:rPr>
        <w:t xml:space="preserve"> </w:t>
      </w:r>
      <w:r w:rsidR="00A01B7B">
        <w:rPr>
          <w:sz w:val="28"/>
        </w:rPr>
        <w:t xml:space="preserve">эметина </w:t>
      </w:r>
      <w:proofErr w:type="spellStart"/>
      <w:r w:rsidR="00A01B7B">
        <w:rPr>
          <w:sz w:val="28"/>
          <w:szCs w:val="28"/>
        </w:rPr>
        <w:t>дигидрохлорида</w:t>
      </w:r>
      <w:proofErr w:type="spellEnd"/>
      <w:r w:rsidR="00A01B7B" w:rsidRPr="00534791">
        <w:rPr>
          <w:sz w:val="28"/>
        </w:rPr>
        <w:t xml:space="preserve"> </w:t>
      </w:r>
      <w:r w:rsidR="00A01B7B">
        <w:rPr>
          <w:sz w:val="28"/>
        </w:rPr>
        <w:t xml:space="preserve">при дневном свете </w:t>
      </w:r>
      <w:r w:rsidR="00A01B7B" w:rsidRPr="00534791">
        <w:rPr>
          <w:sz w:val="28"/>
          <w:szCs w:val="28"/>
        </w:rPr>
        <w:t xml:space="preserve">в нижней трети </w:t>
      </w:r>
      <w:r w:rsidR="00A01B7B">
        <w:rPr>
          <w:sz w:val="28"/>
          <w:szCs w:val="28"/>
        </w:rPr>
        <w:t>пластинки</w:t>
      </w:r>
      <w:r w:rsidR="00A01B7B" w:rsidRPr="00534791">
        <w:rPr>
          <w:sz w:val="28"/>
        </w:rPr>
        <w:t xml:space="preserve"> </w:t>
      </w:r>
      <w:r w:rsidR="00A01B7B">
        <w:rPr>
          <w:sz w:val="28"/>
        </w:rPr>
        <w:t>должна наблюдаться зона адсорбции желтого цвета, которая</w:t>
      </w:r>
      <w:r w:rsidRPr="00AE300C">
        <w:rPr>
          <w:sz w:val="28"/>
        </w:rPr>
        <w:t xml:space="preserve"> </w:t>
      </w:r>
      <w:r>
        <w:rPr>
          <w:sz w:val="28"/>
        </w:rPr>
        <w:t xml:space="preserve">в УФ-свете </w:t>
      </w:r>
      <w:r w:rsidR="00A01B7B">
        <w:rPr>
          <w:sz w:val="28"/>
        </w:rPr>
        <w:t>имеет</w:t>
      </w:r>
      <w:r>
        <w:rPr>
          <w:sz w:val="28"/>
        </w:rPr>
        <w:t xml:space="preserve"> интенсивн</w:t>
      </w:r>
      <w:r w:rsidR="00A01B7B">
        <w:rPr>
          <w:sz w:val="28"/>
        </w:rPr>
        <w:t>ую</w:t>
      </w:r>
      <w:r>
        <w:rPr>
          <w:sz w:val="28"/>
        </w:rPr>
        <w:t xml:space="preserve"> желт</w:t>
      </w:r>
      <w:r w:rsidR="00A01B7B">
        <w:rPr>
          <w:sz w:val="28"/>
        </w:rPr>
        <w:t>ую</w:t>
      </w:r>
      <w:r>
        <w:rPr>
          <w:sz w:val="28"/>
        </w:rPr>
        <w:t xml:space="preserve"> флуоресценци</w:t>
      </w:r>
      <w:r w:rsidR="00A01B7B">
        <w:rPr>
          <w:sz w:val="28"/>
        </w:rPr>
        <w:t>ю</w:t>
      </w:r>
      <w:r>
        <w:rPr>
          <w:sz w:val="28"/>
        </w:rPr>
        <w:t xml:space="preserve">. </w:t>
      </w:r>
    </w:p>
    <w:p w:rsidR="00702C86" w:rsidRDefault="00A01B7B" w:rsidP="00702C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дневном свете </w:t>
      </w:r>
      <w:r>
        <w:rPr>
          <w:sz w:val="28"/>
        </w:rPr>
        <w:t>н</w:t>
      </w:r>
      <w:r w:rsidR="00DC40F5" w:rsidRPr="00534791">
        <w:rPr>
          <w:sz w:val="28"/>
        </w:rPr>
        <w:t xml:space="preserve">а хроматограмме </w:t>
      </w:r>
      <w:r>
        <w:rPr>
          <w:sz w:val="28"/>
        </w:rPr>
        <w:t>настойки</w:t>
      </w:r>
      <w:r w:rsidR="00DC40F5">
        <w:rPr>
          <w:sz w:val="28"/>
        </w:rPr>
        <w:t xml:space="preserve"> должны обнаруживаться </w:t>
      </w:r>
      <w:r w:rsidR="00DC40F5" w:rsidRPr="00534791">
        <w:rPr>
          <w:sz w:val="28"/>
          <w:szCs w:val="28"/>
        </w:rPr>
        <w:t>зон</w:t>
      </w:r>
      <w:r>
        <w:rPr>
          <w:sz w:val="28"/>
          <w:szCs w:val="28"/>
        </w:rPr>
        <w:t>а</w:t>
      </w:r>
      <w:r w:rsidR="00DC40F5" w:rsidRPr="00534791">
        <w:rPr>
          <w:sz w:val="28"/>
          <w:szCs w:val="28"/>
        </w:rPr>
        <w:t xml:space="preserve"> адсорбции</w:t>
      </w:r>
      <w:r w:rsidRPr="00A01B7B">
        <w:rPr>
          <w:sz w:val="28"/>
          <w:szCs w:val="28"/>
        </w:rPr>
        <w:t xml:space="preserve"> </w:t>
      </w:r>
      <w:r>
        <w:rPr>
          <w:sz w:val="28"/>
          <w:szCs w:val="28"/>
        </w:rPr>
        <w:t>желтого</w:t>
      </w:r>
      <w:r w:rsidRPr="00534791">
        <w:rPr>
          <w:sz w:val="28"/>
          <w:szCs w:val="28"/>
        </w:rPr>
        <w:t xml:space="preserve"> цвет</w:t>
      </w:r>
      <w:r>
        <w:rPr>
          <w:sz w:val="28"/>
          <w:szCs w:val="28"/>
        </w:rPr>
        <w:t xml:space="preserve">а на уровне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эметина </w:t>
      </w:r>
      <w:proofErr w:type="spellStart"/>
      <w:r>
        <w:rPr>
          <w:sz w:val="28"/>
          <w:szCs w:val="28"/>
        </w:rPr>
        <w:t>дигидрохлорида</w:t>
      </w:r>
      <w:proofErr w:type="spellEnd"/>
      <w:r>
        <w:rPr>
          <w:sz w:val="28"/>
          <w:szCs w:val="28"/>
        </w:rPr>
        <w:t xml:space="preserve"> и ниже зона</w:t>
      </w:r>
      <w:r w:rsidR="00DC40F5">
        <w:rPr>
          <w:sz w:val="28"/>
          <w:szCs w:val="28"/>
        </w:rPr>
        <w:t xml:space="preserve"> </w:t>
      </w:r>
      <w:r w:rsidRPr="00534791">
        <w:rPr>
          <w:sz w:val="28"/>
          <w:szCs w:val="28"/>
        </w:rPr>
        <w:t xml:space="preserve">адсорбции </w:t>
      </w:r>
      <w:r w:rsidR="00DC40F5">
        <w:rPr>
          <w:sz w:val="28"/>
          <w:szCs w:val="28"/>
        </w:rPr>
        <w:t>коричневого</w:t>
      </w:r>
      <w:r w:rsidR="00DC40F5" w:rsidRPr="00534791">
        <w:rPr>
          <w:sz w:val="28"/>
          <w:szCs w:val="28"/>
        </w:rPr>
        <w:t xml:space="preserve"> цвета</w:t>
      </w:r>
      <w:r w:rsidR="00702C86">
        <w:rPr>
          <w:sz w:val="28"/>
          <w:szCs w:val="28"/>
        </w:rPr>
        <w:t>, которые в</w:t>
      </w:r>
      <w:r>
        <w:rPr>
          <w:sz w:val="28"/>
          <w:szCs w:val="28"/>
        </w:rPr>
        <w:t xml:space="preserve"> УФ-свете </w:t>
      </w:r>
      <w:r w:rsidR="00702C86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="00702C86">
        <w:rPr>
          <w:sz w:val="28"/>
          <w:szCs w:val="28"/>
        </w:rPr>
        <w:t>ярко желтую и голубую флуоресценцию соответственно.</w:t>
      </w:r>
    </w:p>
    <w:p w:rsidR="0097292B" w:rsidRDefault="00702C86" w:rsidP="0097292B">
      <w:pPr>
        <w:pStyle w:val="ad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97292B">
        <w:rPr>
          <w:sz w:val="28"/>
        </w:rPr>
        <w:t>. К 2 </w:t>
      </w:r>
      <w:r w:rsidR="0097292B" w:rsidRPr="00B9756B">
        <w:rPr>
          <w:sz w:val="28"/>
        </w:rPr>
        <w:t xml:space="preserve">мл </w:t>
      </w:r>
      <w:r w:rsidR="0097292B">
        <w:rPr>
          <w:sz w:val="28"/>
        </w:rPr>
        <w:t>настойки</w:t>
      </w:r>
      <w:r w:rsidR="0097292B" w:rsidRPr="00B9756B">
        <w:rPr>
          <w:sz w:val="28"/>
        </w:rPr>
        <w:t xml:space="preserve"> прибав</w:t>
      </w:r>
      <w:r w:rsidR="0097292B">
        <w:rPr>
          <w:sz w:val="28"/>
        </w:rPr>
        <w:t>ляют</w:t>
      </w:r>
      <w:r w:rsidR="0097292B" w:rsidRPr="00B9756B">
        <w:rPr>
          <w:sz w:val="28"/>
        </w:rPr>
        <w:t xml:space="preserve"> 10</w:t>
      </w:r>
      <w:r w:rsidR="0097292B">
        <w:rPr>
          <w:sz w:val="28"/>
        </w:rPr>
        <w:t> </w:t>
      </w:r>
      <w:r w:rsidR="0097292B" w:rsidRPr="00B9756B">
        <w:rPr>
          <w:sz w:val="28"/>
        </w:rPr>
        <w:t xml:space="preserve">мл </w:t>
      </w:r>
      <w:r w:rsidR="0097292B">
        <w:rPr>
          <w:sz w:val="28"/>
        </w:rPr>
        <w:t xml:space="preserve">эфира и 0,1 мл </w:t>
      </w:r>
      <w:r w:rsidR="0097292B" w:rsidRPr="007C2500">
        <w:rPr>
          <w:sz w:val="28"/>
        </w:rPr>
        <w:t>аммиака раствора концентрированного 25 %.</w:t>
      </w:r>
      <w:r w:rsidR="0097292B">
        <w:rPr>
          <w:sz w:val="28"/>
        </w:rPr>
        <w:t xml:space="preserve"> Отделяют органическую фазу, выпаривают на водяной бане досуха. К остатку прибавляют 0,2 мл </w:t>
      </w:r>
      <w:r w:rsidR="0097292B" w:rsidRPr="00702C86">
        <w:rPr>
          <w:sz w:val="28"/>
        </w:rPr>
        <w:t xml:space="preserve">раствора натрия </w:t>
      </w:r>
      <w:proofErr w:type="spellStart"/>
      <w:r w:rsidR="0097292B" w:rsidRPr="00702C86">
        <w:rPr>
          <w:sz w:val="28"/>
        </w:rPr>
        <w:t>молибдата</w:t>
      </w:r>
      <w:proofErr w:type="spellEnd"/>
      <w:r w:rsidR="0097292B" w:rsidRPr="00702C86">
        <w:rPr>
          <w:sz w:val="28"/>
        </w:rPr>
        <w:t xml:space="preserve"> </w:t>
      </w:r>
      <w:r w:rsidRPr="00702C86">
        <w:rPr>
          <w:sz w:val="28"/>
        </w:rPr>
        <w:t>0,5 %</w:t>
      </w:r>
      <w:r w:rsidRPr="00702C86">
        <w:rPr>
          <w:i/>
          <w:sz w:val="28"/>
        </w:rPr>
        <w:t xml:space="preserve"> </w:t>
      </w:r>
      <w:r w:rsidR="0097292B" w:rsidRPr="00702C86">
        <w:rPr>
          <w:sz w:val="28"/>
        </w:rPr>
        <w:t>в серной кислоте;</w:t>
      </w:r>
      <w:r w:rsidR="0097292B">
        <w:rPr>
          <w:sz w:val="28"/>
        </w:rPr>
        <w:t xml:space="preserve"> должно наблюдаться коричневато-зелёное окрашивание.</w:t>
      </w:r>
    </w:p>
    <w:p w:rsidR="00702C86" w:rsidRPr="0097292B" w:rsidRDefault="00702C86" w:rsidP="00702C86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раствора н</w:t>
      </w:r>
      <w:r w:rsidRPr="007C2500">
        <w:rPr>
          <w:i/>
          <w:sz w:val="28"/>
        </w:rPr>
        <w:t xml:space="preserve">атрия </w:t>
      </w:r>
      <w:proofErr w:type="spellStart"/>
      <w:r w:rsidRPr="007C2500">
        <w:rPr>
          <w:i/>
          <w:sz w:val="28"/>
        </w:rPr>
        <w:t>молибдата</w:t>
      </w:r>
      <w:proofErr w:type="spellEnd"/>
      <w:r w:rsidRPr="007C2500">
        <w:rPr>
          <w:i/>
          <w:sz w:val="28"/>
        </w:rPr>
        <w:t xml:space="preserve"> </w:t>
      </w:r>
      <w:r>
        <w:rPr>
          <w:i/>
          <w:sz w:val="28"/>
        </w:rPr>
        <w:t xml:space="preserve">0,5 % </w:t>
      </w:r>
      <w:r w:rsidRPr="007C2500">
        <w:rPr>
          <w:i/>
          <w:sz w:val="28"/>
        </w:rPr>
        <w:t>в серной кислоте</w:t>
      </w:r>
      <w:r>
        <w:rPr>
          <w:sz w:val="28"/>
        </w:rPr>
        <w:t xml:space="preserve">. 0,25 г натрия </w:t>
      </w:r>
      <w:proofErr w:type="spellStart"/>
      <w:r>
        <w:rPr>
          <w:sz w:val="28"/>
        </w:rPr>
        <w:t>молибдата</w:t>
      </w:r>
      <w:proofErr w:type="spellEnd"/>
      <w:r>
        <w:rPr>
          <w:sz w:val="28"/>
        </w:rPr>
        <w:t xml:space="preserve"> растворяют в 50 мл серной кислоты концентрированной.</w:t>
      </w:r>
    </w:p>
    <w:p w:rsidR="0097292B" w:rsidRDefault="0097292B" w:rsidP="00DC40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DC40F5">
        <w:rPr>
          <w:noProof/>
        </w:rPr>
        <w:t>1</w:t>
      </w:r>
      <w:r w:rsidR="00A07B71">
        <w:rPr>
          <w:noProof/>
        </w:rPr>
        <w:t>,</w:t>
      </w:r>
      <w:r w:rsidR="00EA69A5">
        <w:rPr>
          <w:noProof/>
        </w:rPr>
        <w:t>0</w:t>
      </w:r>
      <w:r w:rsidR="00B83E4A">
        <w:rPr>
          <w:noProof/>
        </w:rPr>
        <w:t> </w:t>
      </w:r>
      <w:r>
        <w:rPr>
          <w:noProof/>
        </w:rPr>
        <w:t>%</w:t>
      </w:r>
      <w:r w:rsidR="00DF1974">
        <w:rPr>
          <w:noProof/>
        </w:rPr>
        <w:t>.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EA69A5">
        <w:rPr>
          <w:noProof/>
          <w:sz w:val="28"/>
        </w:rPr>
        <w:t>9</w:t>
      </w:r>
      <w:r w:rsidR="00DC40F5">
        <w:rPr>
          <w:noProof/>
          <w:sz w:val="28"/>
        </w:rPr>
        <w:t>2</w:t>
      </w:r>
      <w:r>
        <w:rPr>
          <w:noProof/>
          <w:sz w:val="28"/>
        </w:rPr>
        <w:t xml:space="preserve"> до 0,</w:t>
      </w:r>
      <w:r w:rsidR="00EA69A5">
        <w:rPr>
          <w:noProof/>
          <w:sz w:val="28"/>
        </w:rPr>
        <w:t>9</w:t>
      </w:r>
      <w:r w:rsidR="00DC40F5">
        <w:rPr>
          <w:noProof/>
          <w:sz w:val="28"/>
        </w:rPr>
        <w:t>07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F6154D" w:rsidRPr="00197887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887">
        <w:rPr>
          <w:b/>
          <w:sz w:val="28"/>
        </w:rPr>
        <w:t xml:space="preserve">Тяжелые металлы. </w:t>
      </w:r>
      <w:r w:rsidRPr="00197887">
        <w:rPr>
          <w:sz w:val="28"/>
        </w:rPr>
        <w:t>Не более</w:t>
      </w:r>
      <w:r w:rsidRPr="00197887">
        <w:rPr>
          <w:noProof/>
          <w:sz w:val="28"/>
        </w:rPr>
        <w:t xml:space="preserve"> 0,001 %.</w:t>
      </w:r>
      <w:r w:rsidRPr="00197887">
        <w:rPr>
          <w:sz w:val="28"/>
        </w:rPr>
        <w:t xml:space="preserve"> </w:t>
      </w:r>
      <w:r w:rsidRPr="00197887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702C86" w:rsidRDefault="006C7D2D" w:rsidP="00317990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>Содержание суммы алкалоидов в пересчёте на эметин в настойке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>менее 0,</w:t>
      </w:r>
      <w:r w:rsidR="00317990">
        <w:rPr>
          <w:iCs/>
          <w:sz w:val="28"/>
          <w:szCs w:val="28"/>
        </w:rPr>
        <w:t>13</w:t>
      </w:r>
      <w:r w:rsidR="00317990" w:rsidRPr="00581C15">
        <w:rPr>
          <w:iCs/>
          <w:sz w:val="28"/>
          <w:szCs w:val="28"/>
        </w:rPr>
        <w:t> %</w:t>
      </w:r>
      <w:r w:rsidR="00317990">
        <w:rPr>
          <w:iCs/>
          <w:sz w:val="28"/>
          <w:szCs w:val="28"/>
        </w:rPr>
        <w:t xml:space="preserve"> и не более 0,18</w:t>
      </w:r>
      <w:r w:rsidR="00317990" w:rsidRPr="00581C15">
        <w:rPr>
          <w:iCs/>
          <w:sz w:val="28"/>
          <w:szCs w:val="28"/>
        </w:rPr>
        <w:t> %.</w:t>
      </w:r>
      <w:r w:rsidR="00317990">
        <w:rPr>
          <w:iCs/>
        </w:rPr>
        <w:t xml:space="preserve"> </w:t>
      </w:r>
    </w:p>
    <w:p w:rsidR="001C7B2C" w:rsidRDefault="001C7B2C" w:rsidP="001C7B2C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  <w:r w:rsidRPr="00581C15">
        <w:rPr>
          <w:sz w:val="28"/>
          <w:szCs w:val="28"/>
        </w:rPr>
        <w:t>Содержание суммы алкалоидов в пересчёте на эметин в настойке должно быть не</w:t>
      </w:r>
      <w:r w:rsidRPr="00581C15">
        <w:rPr>
          <w:iCs/>
        </w:rPr>
        <w:t xml:space="preserve"> </w:t>
      </w:r>
      <w:r w:rsidRPr="00581C15">
        <w:rPr>
          <w:iCs/>
          <w:sz w:val="28"/>
          <w:szCs w:val="28"/>
        </w:rPr>
        <w:t>менее 0,</w:t>
      </w:r>
      <w:r>
        <w:rPr>
          <w:iCs/>
          <w:sz w:val="28"/>
          <w:szCs w:val="28"/>
        </w:rPr>
        <w:t>13</w:t>
      </w:r>
      <w:r w:rsidRPr="00581C15">
        <w:rPr>
          <w:iCs/>
          <w:sz w:val="28"/>
          <w:szCs w:val="28"/>
        </w:rPr>
        <w:t> %</w:t>
      </w:r>
      <w:r>
        <w:rPr>
          <w:iCs/>
          <w:sz w:val="28"/>
          <w:szCs w:val="28"/>
        </w:rPr>
        <w:t xml:space="preserve"> и не более 0,18</w:t>
      </w:r>
      <w:r w:rsidRPr="00581C15">
        <w:rPr>
          <w:iCs/>
          <w:sz w:val="28"/>
          <w:szCs w:val="28"/>
        </w:rPr>
        <w:t> %.</w:t>
      </w:r>
      <w:r>
        <w:rPr>
          <w:iCs/>
        </w:rPr>
        <w:t xml:space="preserve"> </w:t>
      </w:r>
    </w:p>
    <w:p w:rsidR="001C7B2C" w:rsidRPr="00952580" w:rsidRDefault="001C7B2C" w:rsidP="00725DA1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iCs/>
          <w:sz w:val="28"/>
          <w:szCs w:val="28"/>
        </w:rPr>
        <w:t>10</w:t>
      </w:r>
      <w:r>
        <w:rPr>
          <w:sz w:val="28"/>
          <w:szCs w:val="28"/>
        </w:rPr>
        <w:t>,0</w:t>
      </w:r>
      <w:r w:rsidRPr="001442C9">
        <w:rPr>
          <w:sz w:val="28"/>
          <w:szCs w:val="28"/>
        </w:rPr>
        <w:t xml:space="preserve"> г (точная навеска) настойки </w:t>
      </w:r>
      <w:r>
        <w:rPr>
          <w:sz w:val="28"/>
          <w:szCs w:val="28"/>
        </w:rPr>
        <w:t xml:space="preserve">наносят на хроматографическую колонку длиной 20 см и внутренним диаметром 15 мм, заполненную 8,0 г алюминия оксида основного. После инфильтрации настойки в слой сорбента внутренние стенки колонки промывают трёхкратно 2 мл спирта 70 % (о/о). Проводят порционное элюирование 40 мл спирта 70 %, избегая взбалтывания и высыхания поверхностного слоя алюминия оксида основного. </w:t>
      </w:r>
      <w:proofErr w:type="spellStart"/>
      <w:r>
        <w:rPr>
          <w:sz w:val="28"/>
          <w:szCs w:val="28"/>
        </w:rPr>
        <w:t>Элюат</w:t>
      </w:r>
      <w:proofErr w:type="spellEnd"/>
      <w:r>
        <w:rPr>
          <w:sz w:val="28"/>
          <w:szCs w:val="28"/>
        </w:rPr>
        <w:t xml:space="preserve"> собирают, выпаривают на водяной бане до объёма около 10 мл, охлаждают</w:t>
      </w:r>
      <w:proofErr w:type="gramStart"/>
      <w:r w:rsidR="00725DA1">
        <w:rPr>
          <w:sz w:val="28"/>
          <w:szCs w:val="28"/>
        </w:rPr>
        <w:t>.</w:t>
      </w:r>
      <w:proofErr w:type="gramEnd"/>
      <w:r w:rsidR="00725DA1">
        <w:rPr>
          <w:sz w:val="28"/>
          <w:szCs w:val="28"/>
        </w:rPr>
        <w:t xml:space="preserve"> З</w:t>
      </w:r>
      <w:r>
        <w:rPr>
          <w:sz w:val="28"/>
          <w:szCs w:val="28"/>
        </w:rPr>
        <w:t>атем прибавляют 10 мл х</w:t>
      </w:r>
      <w:r w:rsidRPr="00FE195B">
        <w:rPr>
          <w:sz w:val="28"/>
          <w:szCs w:val="28"/>
        </w:rPr>
        <w:t>лористоводородной кислоты раствор</w:t>
      </w:r>
      <w:r>
        <w:rPr>
          <w:sz w:val="28"/>
          <w:szCs w:val="28"/>
        </w:rPr>
        <w:t>а</w:t>
      </w:r>
      <w:r w:rsidRPr="00FE195B">
        <w:rPr>
          <w:sz w:val="28"/>
          <w:szCs w:val="28"/>
        </w:rPr>
        <w:t xml:space="preserve"> 0,02 М</w:t>
      </w:r>
      <w:r w:rsidR="00725DA1">
        <w:rPr>
          <w:sz w:val="28"/>
          <w:szCs w:val="28"/>
        </w:rPr>
        <w:t>,</w:t>
      </w:r>
      <w:r>
        <w:rPr>
          <w:sz w:val="28"/>
          <w:szCs w:val="28"/>
        </w:rPr>
        <w:t xml:space="preserve"> 20 мл в</w:t>
      </w:r>
      <w:r w:rsidRPr="00FE195B">
        <w:rPr>
          <w:sz w:val="28"/>
          <w:szCs w:val="28"/>
        </w:rPr>
        <w:t>од</w:t>
      </w:r>
      <w:r>
        <w:rPr>
          <w:sz w:val="28"/>
          <w:szCs w:val="28"/>
        </w:rPr>
        <w:t>ы</w:t>
      </w:r>
      <w:r w:rsidRPr="00FE195B">
        <w:rPr>
          <w:sz w:val="28"/>
          <w:szCs w:val="28"/>
        </w:rPr>
        <w:t>, свободн</w:t>
      </w:r>
      <w:r>
        <w:rPr>
          <w:sz w:val="28"/>
          <w:szCs w:val="28"/>
        </w:rPr>
        <w:t>ой</w:t>
      </w:r>
      <w:r w:rsidRPr="00FE195B">
        <w:rPr>
          <w:sz w:val="28"/>
          <w:szCs w:val="28"/>
        </w:rPr>
        <w:t xml:space="preserve"> от углерода диоксида</w:t>
      </w:r>
      <w:r w:rsidR="00725DA1">
        <w:rPr>
          <w:sz w:val="28"/>
          <w:szCs w:val="28"/>
        </w:rPr>
        <w:t>, тщательно перемешивают и титруют</w:t>
      </w:r>
      <w:r>
        <w:rPr>
          <w:sz w:val="28"/>
          <w:szCs w:val="28"/>
        </w:rPr>
        <w:t xml:space="preserve"> натрия гидроксида раствором 0,02 М до появления желто</w:t>
      </w:r>
      <w:r w:rsidR="003E58E1">
        <w:rPr>
          <w:sz w:val="28"/>
          <w:szCs w:val="28"/>
        </w:rPr>
        <w:t>го</w:t>
      </w:r>
      <w:r>
        <w:rPr>
          <w:sz w:val="28"/>
          <w:szCs w:val="28"/>
        </w:rPr>
        <w:t xml:space="preserve"> окра</w:t>
      </w:r>
      <w:r w:rsidR="003E58E1">
        <w:rPr>
          <w:sz w:val="28"/>
          <w:szCs w:val="28"/>
        </w:rPr>
        <w:t>шивания</w:t>
      </w:r>
      <w:r w:rsidR="00725DA1">
        <w:rPr>
          <w:sz w:val="28"/>
          <w:szCs w:val="28"/>
        </w:rPr>
        <w:t xml:space="preserve"> (индикатор - 0,15 мл м</w:t>
      </w:r>
      <w:r w:rsidR="00725DA1" w:rsidRPr="00952580">
        <w:rPr>
          <w:sz w:val="28"/>
          <w:szCs w:val="28"/>
        </w:rPr>
        <w:t>етилового красного раствор</w:t>
      </w:r>
      <w:r w:rsidR="00725DA1">
        <w:rPr>
          <w:sz w:val="28"/>
          <w:szCs w:val="28"/>
        </w:rPr>
        <w:t>а</w:t>
      </w:r>
      <w:r w:rsidR="00725DA1" w:rsidRPr="00952580">
        <w:rPr>
          <w:sz w:val="28"/>
          <w:szCs w:val="28"/>
        </w:rPr>
        <w:t xml:space="preserve"> 0,05 %</w:t>
      </w:r>
      <w:r w:rsidR="00725DA1">
        <w:rPr>
          <w:sz w:val="28"/>
          <w:szCs w:val="28"/>
        </w:rPr>
        <w:t>)</w:t>
      </w:r>
      <w:r w:rsidR="00725DA1" w:rsidRPr="00952580">
        <w:rPr>
          <w:sz w:val="28"/>
          <w:szCs w:val="28"/>
        </w:rPr>
        <w:t>.</w:t>
      </w:r>
    </w:p>
    <w:p w:rsidR="00037E72" w:rsidRPr="00037E72" w:rsidRDefault="001C7B2C" w:rsidP="00037E72">
      <w:pPr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 мл </w:t>
      </w:r>
      <w:r w:rsidR="00725DA1">
        <w:rPr>
          <w:sz w:val="28"/>
          <w:szCs w:val="28"/>
        </w:rPr>
        <w:t>х</w:t>
      </w:r>
      <w:r w:rsidR="00725DA1" w:rsidRPr="00FE195B">
        <w:rPr>
          <w:sz w:val="28"/>
          <w:szCs w:val="28"/>
        </w:rPr>
        <w:t>лористоводородной кислоты раствор</w:t>
      </w:r>
      <w:r w:rsidR="00725DA1">
        <w:rPr>
          <w:sz w:val="28"/>
          <w:szCs w:val="28"/>
        </w:rPr>
        <w:t>а</w:t>
      </w:r>
      <w:r w:rsidR="00725DA1" w:rsidRPr="00FE195B">
        <w:rPr>
          <w:sz w:val="28"/>
          <w:szCs w:val="28"/>
        </w:rPr>
        <w:t xml:space="preserve"> 0,02 М</w:t>
      </w:r>
      <w:r w:rsidR="00725D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4,807 мг суммы а</w:t>
      </w:r>
      <w:r w:rsidR="00725DA1">
        <w:rPr>
          <w:sz w:val="28"/>
          <w:szCs w:val="28"/>
        </w:rPr>
        <w:t>лкалоидов в пересчёте на эметин</w:t>
      </w:r>
      <w:r w:rsidR="00037E72">
        <w:rPr>
          <w:sz w:val="28"/>
          <w:szCs w:val="28"/>
        </w:rPr>
        <w:t xml:space="preserve"> (</w:t>
      </w:r>
      <w:r w:rsidR="00037E72" w:rsidRPr="00037E72">
        <w:rPr>
          <w:color w:val="000000"/>
          <w:sz w:val="28"/>
          <w:szCs w:val="28"/>
        </w:rPr>
        <w:t>C</w:t>
      </w:r>
      <w:r w:rsidR="00037E72" w:rsidRPr="00037E72">
        <w:rPr>
          <w:color w:val="000000"/>
          <w:sz w:val="28"/>
          <w:szCs w:val="28"/>
          <w:vertAlign w:val="subscript"/>
        </w:rPr>
        <w:t>29</w:t>
      </w:r>
      <w:r w:rsidR="00037E72" w:rsidRPr="00037E72">
        <w:rPr>
          <w:color w:val="000000"/>
          <w:sz w:val="28"/>
          <w:szCs w:val="28"/>
        </w:rPr>
        <w:t>H</w:t>
      </w:r>
      <w:r w:rsidR="00037E72" w:rsidRPr="00037E72">
        <w:rPr>
          <w:color w:val="000000"/>
          <w:sz w:val="28"/>
          <w:szCs w:val="28"/>
          <w:vertAlign w:val="subscript"/>
        </w:rPr>
        <w:t>40</w:t>
      </w:r>
      <w:r w:rsidR="00037E72" w:rsidRPr="00037E72">
        <w:rPr>
          <w:color w:val="000000"/>
          <w:sz w:val="28"/>
          <w:szCs w:val="28"/>
        </w:rPr>
        <w:t>N</w:t>
      </w:r>
      <w:r w:rsidR="00037E72" w:rsidRPr="00037E72">
        <w:rPr>
          <w:color w:val="000000"/>
          <w:sz w:val="28"/>
          <w:szCs w:val="28"/>
          <w:vertAlign w:val="subscript"/>
        </w:rPr>
        <w:t>2</w:t>
      </w:r>
      <w:r w:rsidR="00037E72" w:rsidRPr="00037E72">
        <w:rPr>
          <w:color w:val="000000"/>
          <w:sz w:val="28"/>
          <w:szCs w:val="28"/>
        </w:rPr>
        <w:t>O</w:t>
      </w:r>
      <w:r w:rsidR="00037E72" w:rsidRPr="00037E72">
        <w:rPr>
          <w:color w:val="000000"/>
          <w:sz w:val="28"/>
          <w:szCs w:val="28"/>
          <w:vertAlign w:val="subscript"/>
        </w:rPr>
        <w:t>4</w:t>
      </w:r>
      <w:r w:rsidR="00037E72">
        <w:rPr>
          <w:color w:val="000000"/>
          <w:sz w:val="28"/>
          <w:szCs w:val="28"/>
        </w:rPr>
        <w:t>).</w:t>
      </w: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56" w:rsidRDefault="00047056" w:rsidP="006C7D2D">
      <w:r>
        <w:separator/>
      </w:r>
    </w:p>
  </w:endnote>
  <w:endnote w:type="continuationSeparator" w:id="0">
    <w:p w:rsidR="00047056" w:rsidRDefault="00047056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038DB" w:rsidRDefault="00610F24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038DB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BC2308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7038DB" w:rsidRDefault="007038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56" w:rsidRDefault="00047056" w:rsidP="006C7D2D">
      <w:r>
        <w:separator/>
      </w:r>
    </w:p>
  </w:footnote>
  <w:footnote w:type="continuationSeparator" w:id="0">
    <w:p w:rsidR="00047056" w:rsidRDefault="00047056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7E72"/>
    <w:rsid w:val="00044EFC"/>
    <w:rsid w:val="00045887"/>
    <w:rsid w:val="00047056"/>
    <w:rsid w:val="0006435C"/>
    <w:rsid w:val="00064DB6"/>
    <w:rsid w:val="00067633"/>
    <w:rsid w:val="0007483C"/>
    <w:rsid w:val="00077C5C"/>
    <w:rsid w:val="000979CC"/>
    <w:rsid w:val="000B3047"/>
    <w:rsid w:val="000B67D1"/>
    <w:rsid w:val="000C4537"/>
    <w:rsid w:val="000D70D2"/>
    <w:rsid w:val="000E1DBD"/>
    <w:rsid w:val="000E5A11"/>
    <w:rsid w:val="000E6A26"/>
    <w:rsid w:val="000F263C"/>
    <w:rsid w:val="000F295B"/>
    <w:rsid w:val="00113878"/>
    <w:rsid w:val="001210C0"/>
    <w:rsid w:val="001273CD"/>
    <w:rsid w:val="00127611"/>
    <w:rsid w:val="0013505A"/>
    <w:rsid w:val="00140900"/>
    <w:rsid w:val="00144D22"/>
    <w:rsid w:val="0015052D"/>
    <w:rsid w:val="001618B7"/>
    <w:rsid w:val="00162C54"/>
    <w:rsid w:val="001928DC"/>
    <w:rsid w:val="00194D82"/>
    <w:rsid w:val="001A2E4B"/>
    <w:rsid w:val="001C155A"/>
    <w:rsid w:val="001C7B2C"/>
    <w:rsid w:val="0020051C"/>
    <w:rsid w:val="0020645A"/>
    <w:rsid w:val="00214E4B"/>
    <w:rsid w:val="00221F52"/>
    <w:rsid w:val="00246987"/>
    <w:rsid w:val="00247132"/>
    <w:rsid w:val="00256CB2"/>
    <w:rsid w:val="00273A44"/>
    <w:rsid w:val="00276E68"/>
    <w:rsid w:val="00293FBD"/>
    <w:rsid w:val="002965E9"/>
    <w:rsid w:val="002A466A"/>
    <w:rsid w:val="002B665A"/>
    <w:rsid w:val="002C7573"/>
    <w:rsid w:val="002E24F4"/>
    <w:rsid w:val="002E6D16"/>
    <w:rsid w:val="002F73C2"/>
    <w:rsid w:val="00311019"/>
    <w:rsid w:val="003128F0"/>
    <w:rsid w:val="003155A7"/>
    <w:rsid w:val="00315EF4"/>
    <w:rsid w:val="00316C9B"/>
    <w:rsid w:val="00317990"/>
    <w:rsid w:val="00327E4F"/>
    <w:rsid w:val="00336E63"/>
    <w:rsid w:val="003736E8"/>
    <w:rsid w:val="003B73AD"/>
    <w:rsid w:val="003B73CD"/>
    <w:rsid w:val="003C4DE5"/>
    <w:rsid w:val="003C50FD"/>
    <w:rsid w:val="003E0C2E"/>
    <w:rsid w:val="003E58E1"/>
    <w:rsid w:val="00402E71"/>
    <w:rsid w:val="00421E59"/>
    <w:rsid w:val="0042315A"/>
    <w:rsid w:val="00430AC8"/>
    <w:rsid w:val="004546D1"/>
    <w:rsid w:val="00455F76"/>
    <w:rsid w:val="00470ADD"/>
    <w:rsid w:val="0047487B"/>
    <w:rsid w:val="00487924"/>
    <w:rsid w:val="0049605B"/>
    <w:rsid w:val="004A4505"/>
    <w:rsid w:val="004B214F"/>
    <w:rsid w:val="004C1B01"/>
    <w:rsid w:val="004C2267"/>
    <w:rsid w:val="004C3E28"/>
    <w:rsid w:val="004C440B"/>
    <w:rsid w:val="004D7910"/>
    <w:rsid w:val="004E0384"/>
    <w:rsid w:val="005010B9"/>
    <w:rsid w:val="005070ED"/>
    <w:rsid w:val="0052621E"/>
    <w:rsid w:val="0052765E"/>
    <w:rsid w:val="005442D1"/>
    <w:rsid w:val="005571F5"/>
    <w:rsid w:val="005914F7"/>
    <w:rsid w:val="00593632"/>
    <w:rsid w:val="0059737F"/>
    <w:rsid w:val="005A3A42"/>
    <w:rsid w:val="005B5AE3"/>
    <w:rsid w:val="005B769E"/>
    <w:rsid w:val="005E4057"/>
    <w:rsid w:val="005F7798"/>
    <w:rsid w:val="00605F02"/>
    <w:rsid w:val="00610F24"/>
    <w:rsid w:val="00617FE7"/>
    <w:rsid w:val="0064482D"/>
    <w:rsid w:val="006562B4"/>
    <w:rsid w:val="006801BD"/>
    <w:rsid w:val="00687A68"/>
    <w:rsid w:val="0069234B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702C86"/>
    <w:rsid w:val="007038DB"/>
    <w:rsid w:val="0070595F"/>
    <w:rsid w:val="00725DA1"/>
    <w:rsid w:val="0072756E"/>
    <w:rsid w:val="00730260"/>
    <w:rsid w:val="007307B1"/>
    <w:rsid w:val="00734EEE"/>
    <w:rsid w:val="00737FC7"/>
    <w:rsid w:val="00770A05"/>
    <w:rsid w:val="007C505B"/>
    <w:rsid w:val="007D5074"/>
    <w:rsid w:val="007F7372"/>
    <w:rsid w:val="007F7A95"/>
    <w:rsid w:val="00816304"/>
    <w:rsid w:val="00821591"/>
    <w:rsid w:val="00834EB0"/>
    <w:rsid w:val="00835FC6"/>
    <w:rsid w:val="008413E6"/>
    <w:rsid w:val="00850E4F"/>
    <w:rsid w:val="00862915"/>
    <w:rsid w:val="00881C15"/>
    <w:rsid w:val="00885760"/>
    <w:rsid w:val="008864E3"/>
    <w:rsid w:val="008A7CB1"/>
    <w:rsid w:val="008B2AD9"/>
    <w:rsid w:val="008B7F51"/>
    <w:rsid w:val="008D0411"/>
    <w:rsid w:val="008E2948"/>
    <w:rsid w:val="0092031B"/>
    <w:rsid w:val="00922023"/>
    <w:rsid w:val="009244A4"/>
    <w:rsid w:val="0092620F"/>
    <w:rsid w:val="00930449"/>
    <w:rsid w:val="00932F37"/>
    <w:rsid w:val="00934F84"/>
    <w:rsid w:val="00936470"/>
    <w:rsid w:val="00952728"/>
    <w:rsid w:val="00964BF1"/>
    <w:rsid w:val="00967BE2"/>
    <w:rsid w:val="009705A1"/>
    <w:rsid w:val="00971792"/>
    <w:rsid w:val="0097292B"/>
    <w:rsid w:val="00986CC0"/>
    <w:rsid w:val="009A4169"/>
    <w:rsid w:val="009A78FB"/>
    <w:rsid w:val="009B0AE6"/>
    <w:rsid w:val="009C2465"/>
    <w:rsid w:val="009E0C05"/>
    <w:rsid w:val="009E173B"/>
    <w:rsid w:val="00A01B7B"/>
    <w:rsid w:val="00A07B71"/>
    <w:rsid w:val="00A10A6A"/>
    <w:rsid w:val="00A10F1D"/>
    <w:rsid w:val="00A226B1"/>
    <w:rsid w:val="00A32A78"/>
    <w:rsid w:val="00A3640B"/>
    <w:rsid w:val="00A37EC5"/>
    <w:rsid w:val="00A57C1F"/>
    <w:rsid w:val="00A80630"/>
    <w:rsid w:val="00A860BF"/>
    <w:rsid w:val="00AA1F7E"/>
    <w:rsid w:val="00AA73B5"/>
    <w:rsid w:val="00AB17A4"/>
    <w:rsid w:val="00AC6B98"/>
    <w:rsid w:val="00AE3A04"/>
    <w:rsid w:val="00B12BEE"/>
    <w:rsid w:val="00B331B2"/>
    <w:rsid w:val="00B33700"/>
    <w:rsid w:val="00B40E40"/>
    <w:rsid w:val="00B4188B"/>
    <w:rsid w:val="00B44B44"/>
    <w:rsid w:val="00B473E0"/>
    <w:rsid w:val="00B640D8"/>
    <w:rsid w:val="00B65E3F"/>
    <w:rsid w:val="00B722D7"/>
    <w:rsid w:val="00B74FAE"/>
    <w:rsid w:val="00B83E4A"/>
    <w:rsid w:val="00B851D4"/>
    <w:rsid w:val="00B9256E"/>
    <w:rsid w:val="00B944F8"/>
    <w:rsid w:val="00B95564"/>
    <w:rsid w:val="00B95DA3"/>
    <w:rsid w:val="00B96326"/>
    <w:rsid w:val="00B96729"/>
    <w:rsid w:val="00B9756B"/>
    <w:rsid w:val="00BB5C5D"/>
    <w:rsid w:val="00BC2308"/>
    <w:rsid w:val="00C20787"/>
    <w:rsid w:val="00C360C3"/>
    <w:rsid w:val="00C57A4B"/>
    <w:rsid w:val="00C616F6"/>
    <w:rsid w:val="00C85B62"/>
    <w:rsid w:val="00C910B3"/>
    <w:rsid w:val="00C96962"/>
    <w:rsid w:val="00CA79BF"/>
    <w:rsid w:val="00CB72BB"/>
    <w:rsid w:val="00CC6051"/>
    <w:rsid w:val="00CD5EF0"/>
    <w:rsid w:val="00CF5CD7"/>
    <w:rsid w:val="00D17544"/>
    <w:rsid w:val="00D50AAF"/>
    <w:rsid w:val="00D5135A"/>
    <w:rsid w:val="00D56D2A"/>
    <w:rsid w:val="00D6343E"/>
    <w:rsid w:val="00D74DB6"/>
    <w:rsid w:val="00D83E8B"/>
    <w:rsid w:val="00D87206"/>
    <w:rsid w:val="00D95B8E"/>
    <w:rsid w:val="00D95DD3"/>
    <w:rsid w:val="00DC40F5"/>
    <w:rsid w:val="00DF08A5"/>
    <w:rsid w:val="00DF10EF"/>
    <w:rsid w:val="00DF1974"/>
    <w:rsid w:val="00E10697"/>
    <w:rsid w:val="00E424DD"/>
    <w:rsid w:val="00E46E8D"/>
    <w:rsid w:val="00E53DDB"/>
    <w:rsid w:val="00E54430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FC8"/>
    <w:rsid w:val="00EE3116"/>
    <w:rsid w:val="00EF01A2"/>
    <w:rsid w:val="00F06EED"/>
    <w:rsid w:val="00F51596"/>
    <w:rsid w:val="00F5509D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C17A7"/>
    <w:rsid w:val="00FC1E7C"/>
    <w:rsid w:val="00FC7113"/>
    <w:rsid w:val="00FE0449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0755-3D14-4A4E-AFD0-590F0C9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6</cp:revision>
  <cp:lastPrinted>2017-12-07T12:33:00Z</cp:lastPrinted>
  <dcterms:created xsi:type="dcterms:W3CDTF">2017-12-07T10:41:00Z</dcterms:created>
  <dcterms:modified xsi:type="dcterms:W3CDTF">2017-12-07T12:41:00Z</dcterms:modified>
</cp:coreProperties>
</file>