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B7D1D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B7D1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B7D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7D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7D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7D1D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B7D1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32CEC" w:rsidP="0019086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Таурин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F2A09" w:rsidRPr="00D32CEC" w:rsidRDefault="00830350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D32CEC">
        <w:rPr>
          <w:rFonts w:ascii="Times New Roman" w:hAnsi="Times New Roman"/>
          <w:b/>
          <w:color w:val="000000" w:themeColor="text1"/>
          <w:sz w:val="28"/>
          <w:szCs w:val="28"/>
        </w:rPr>
        <w:t>внутриглазного введения</w:t>
      </w:r>
      <w:proofErr w:type="gramStart"/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2CE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D32CEC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8F2A09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F2A09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32CEC">
        <w:rPr>
          <w:rFonts w:ascii="Times New Roman" w:hAnsi="Times New Roman"/>
          <w:b w:val="0"/>
          <w:szCs w:val="28"/>
        </w:rPr>
        <w:t>таурин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D32CEC">
        <w:rPr>
          <w:rFonts w:ascii="Times New Roman" w:hAnsi="Times New Roman"/>
          <w:b w:val="0"/>
          <w:szCs w:val="28"/>
        </w:rPr>
        <w:t>внутриглазного</w:t>
      </w:r>
      <w:r w:rsidR="00F148A4">
        <w:rPr>
          <w:rFonts w:ascii="Times New Roman" w:hAnsi="Times New Roman"/>
          <w:b w:val="0"/>
          <w:szCs w:val="28"/>
        </w:rPr>
        <w:t xml:space="preserve">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D32CEC">
        <w:rPr>
          <w:rFonts w:ascii="Times New Roman" w:hAnsi="Times New Roman"/>
          <w:b w:val="0"/>
          <w:szCs w:val="28"/>
        </w:rPr>
        <w:t xml:space="preserve">ОФС «Глазные лекарственные формы» </w:t>
      </w:r>
      <w:r w:rsidR="00A3721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D32CEC" w:rsidRPr="00DD5ACD">
        <w:rPr>
          <w:rFonts w:ascii="Times New Roman" w:hAnsi="Times New Roman"/>
          <w:b w:val="0"/>
          <w:szCs w:val="28"/>
        </w:rPr>
        <w:t>таурина</w:t>
      </w:r>
      <w:proofErr w:type="spellEnd"/>
      <w:r w:rsidR="00D32CEC" w:rsidRPr="00DD5ACD">
        <w:rPr>
          <w:rFonts w:ascii="Times New Roman" w:hAnsi="Times New Roman"/>
          <w:b w:val="0"/>
          <w:szCs w:val="28"/>
        </w:rPr>
        <w:t xml:space="preserve"> </w:t>
      </w:r>
      <w:r w:rsidR="00D32CEC" w:rsidRPr="00DD5ACD">
        <w:rPr>
          <w:rFonts w:ascii="Times New Roman" w:hAnsi="Times New Roman"/>
          <w:b w:val="0"/>
          <w:szCs w:val="28"/>
          <w:lang w:val="en-US"/>
        </w:rPr>
        <w:t>C</w:t>
      </w:r>
      <w:r w:rsidR="00D32CEC" w:rsidRPr="00DD5ACD">
        <w:rPr>
          <w:rFonts w:ascii="Times New Roman" w:hAnsi="Times New Roman"/>
          <w:b w:val="0"/>
          <w:szCs w:val="28"/>
          <w:vertAlign w:val="subscript"/>
        </w:rPr>
        <w:t>2</w:t>
      </w:r>
      <w:r w:rsidR="00D32CEC" w:rsidRPr="00DD5ACD">
        <w:rPr>
          <w:rFonts w:ascii="Times New Roman" w:hAnsi="Times New Roman"/>
          <w:b w:val="0"/>
          <w:szCs w:val="28"/>
          <w:lang w:val="en-US"/>
        </w:rPr>
        <w:t>H</w:t>
      </w:r>
      <w:r w:rsidR="00D32CEC" w:rsidRPr="00DD5ACD">
        <w:rPr>
          <w:rFonts w:ascii="Times New Roman" w:hAnsi="Times New Roman"/>
          <w:b w:val="0"/>
          <w:szCs w:val="28"/>
          <w:vertAlign w:val="subscript"/>
        </w:rPr>
        <w:t>7</w:t>
      </w:r>
      <w:r w:rsidR="00D32CEC" w:rsidRPr="00DD5ACD">
        <w:rPr>
          <w:rFonts w:ascii="Times New Roman" w:hAnsi="Times New Roman"/>
          <w:b w:val="0"/>
          <w:szCs w:val="28"/>
          <w:lang w:val="en-US"/>
        </w:rPr>
        <w:t>NO</w:t>
      </w:r>
      <w:r w:rsidR="00D32CEC" w:rsidRPr="00DD5ACD">
        <w:rPr>
          <w:rFonts w:ascii="Times New Roman" w:hAnsi="Times New Roman"/>
          <w:b w:val="0"/>
          <w:szCs w:val="28"/>
          <w:vertAlign w:val="subscript"/>
        </w:rPr>
        <w:t>3</w:t>
      </w:r>
      <w:r w:rsidR="00D32CEC" w:rsidRPr="00DD5ACD">
        <w:rPr>
          <w:rFonts w:ascii="Times New Roman" w:hAnsi="Times New Roman"/>
          <w:b w:val="0"/>
          <w:szCs w:val="28"/>
          <w:lang w:val="en-US"/>
        </w:rPr>
        <w:t>S</w:t>
      </w:r>
      <w:r w:rsidR="00D32CEC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>Прозрачная</w:t>
      </w:r>
      <w:r w:rsidR="00F148A4">
        <w:rPr>
          <w:rStyle w:val="8"/>
          <w:color w:val="000000" w:themeColor="text1"/>
          <w:sz w:val="28"/>
          <w:szCs w:val="28"/>
        </w:rPr>
        <w:t xml:space="preserve"> </w:t>
      </w:r>
      <w:r w:rsidR="00D32CEC">
        <w:rPr>
          <w:rStyle w:val="8"/>
          <w:color w:val="000000" w:themeColor="text1"/>
          <w:sz w:val="28"/>
          <w:szCs w:val="28"/>
        </w:rPr>
        <w:t>бесцветная жидкость.</w:t>
      </w:r>
    </w:p>
    <w:p w:rsidR="00583FCC" w:rsidRDefault="00C73848" w:rsidP="00583FCC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E7126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83FCC" w:rsidRPr="006E2F40">
        <w:rPr>
          <w:i/>
          <w:sz w:val="28"/>
          <w:szCs w:val="28"/>
        </w:rPr>
        <w:t xml:space="preserve">1. </w:t>
      </w:r>
      <w:r w:rsidR="00583FCC">
        <w:rPr>
          <w:i/>
          <w:sz w:val="28"/>
          <w:szCs w:val="28"/>
        </w:rPr>
        <w:t>Тонкослойная хроматография.</w:t>
      </w:r>
      <w:r w:rsidR="00583FCC">
        <w:rPr>
          <w:sz w:val="28"/>
          <w:szCs w:val="28"/>
        </w:rPr>
        <w:t xml:space="preserve"> </w:t>
      </w:r>
      <w:r w:rsidR="00583FCC" w:rsidRPr="00BD5F9C">
        <w:rPr>
          <w:sz w:val="28"/>
          <w:szCs w:val="28"/>
        </w:rPr>
        <w:t>Основная зона адсорбции на хром</w:t>
      </w:r>
      <w:r w:rsidR="00583FCC">
        <w:rPr>
          <w:sz w:val="28"/>
          <w:szCs w:val="28"/>
        </w:rPr>
        <w:t>атограмме испытуемого раствора</w:t>
      </w:r>
      <w:proofErr w:type="gramStart"/>
      <w:r w:rsidR="00583FCC">
        <w:rPr>
          <w:sz w:val="28"/>
          <w:szCs w:val="28"/>
        </w:rPr>
        <w:t xml:space="preserve"> А</w:t>
      </w:r>
      <w:proofErr w:type="gramEnd"/>
      <w:r w:rsidR="00583FCC" w:rsidRPr="00BD5F9C">
        <w:rPr>
          <w:sz w:val="28"/>
          <w:szCs w:val="28"/>
        </w:rPr>
        <w:t>, полученной в испытании «Родственные примеси», по положению, интенсивнос</w:t>
      </w:r>
      <w:r w:rsidR="00583FCC">
        <w:rPr>
          <w:sz w:val="28"/>
          <w:szCs w:val="28"/>
        </w:rPr>
        <w:t xml:space="preserve">ти окраски </w:t>
      </w:r>
      <w:r w:rsidR="00583FCC" w:rsidRPr="00BD5F9C">
        <w:rPr>
          <w:sz w:val="28"/>
          <w:szCs w:val="28"/>
        </w:rPr>
        <w:t xml:space="preserve">и величине должна соответствовать основной зоне адсорбции на хроматограмме раствора </w:t>
      </w:r>
      <w:r w:rsidR="00583FCC">
        <w:rPr>
          <w:sz w:val="28"/>
          <w:szCs w:val="28"/>
        </w:rPr>
        <w:t xml:space="preserve">стандартного образца </w:t>
      </w:r>
      <w:proofErr w:type="spellStart"/>
      <w:r w:rsidR="00583FCC">
        <w:rPr>
          <w:sz w:val="28"/>
          <w:szCs w:val="28"/>
        </w:rPr>
        <w:t>таурина</w:t>
      </w:r>
      <w:proofErr w:type="spellEnd"/>
      <w:r w:rsidR="00583FCC" w:rsidRPr="00BD5F9C">
        <w:rPr>
          <w:sz w:val="28"/>
          <w:szCs w:val="28"/>
        </w:rPr>
        <w:t>.</w:t>
      </w:r>
    </w:p>
    <w:p w:rsidR="00583FCC" w:rsidRPr="003E5175" w:rsidRDefault="00583FCC" w:rsidP="00583FC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5175">
        <w:rPr>
          <w:b w:val="0"/>
          <w:i/>
          <w:szCs w:val="28"/>
        </w:rPr>
        <w:t>2. Качественная реакция</w:t>
      </w:r>
      <w:r w:rsidRPr="00A3768A">
        <w:rPr>
          <w:b w:val="0"/>
          <w:i/>
          <w:szCs w:val="28"/>
        </w:rPr>
        <w:t xml:space="preserve">. </w:t>
      </w:r>
      <w:r w:rsidRPr="00A3768A">
        <w:rPr>
          <w:b w:val="0"/>
          <w:szCs w:val="28"/>
        </w:rPr>
        <w:t>К</w:t>
      </w:r>
      <w:r>
        <w:rPr>
          <w:b w:val="0"/>
          <w:szCs w:val="28"/>
        </w:rPr>
        <w:t xml:space="preserve"> объему препарата, содержащему около </w:t>
      </w:r>
      <w:r w:rsidRPr="00686D91">
        <w:rPr>
          <w:rFonts w:ascii="Times New Roman" w:hAnsi="Times New Roman"/>
          <w:b w:val="0"/>
          <w:szCs w:val="28"/>
        </w:rPr>
        <w:t>0,04 г</w:t>
      </w:r>
      <w:r w:rsidR="00DA4EFD" w:rsidRPr="00686D9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A4EFD" w:rsidRPr="00686D91">
        <w:rPr>
          <w:rFonts w:ascii="Times New Roman" w:hAnsi="Times New Roman"/>
          <w:b w:val="0"/>
          <w:szCs w:val="28"/>
        </w:rPr>
        <w:t>таурина</w:t>
      </w:r>
      <w:proofErr w:type="spellEnd"/>
      <w:r w:rsidR="00DA4EFD" w:rsidRPr="00686D91">
        <w:rPr>
          <w:rFonts w:ascii="Times New Roman" w:hAnsi="Times New Roman"/>
          <w:b w:val="0"/>
          <w:szCs w:val="28"/>
        </w:rPr>
        <w:t>,</w:t>
      </w:r>
      <w:r w:rsidRPr="00686D91">
        <w:rPr>
          <w:rFonts w:ascii="Times New Roman" w:hAnsi="Times New Roman"/>
          <w:b w:val="0"/>
          <w:szCs w:val="28"/>
        </w:rPr>
        <w:t xml:space="preserve"> прибавляют 1 мл 0,1 М раствора натрия </w:t>
      </w:r>
      <w:proofErr w:type="spellStart"/>
      <w:r w:rsidRPr="00686D91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686D91">
        <w:rPr>
          <w:rFonts w:ascii="Times New Roman" w:hAnsi="Times New Roman"/>
          <w:b w:val="0"/>
          <w:szCs w:val="28"/>
        </w:rPr>
        <w:t xml:space="preserve"> и </w:t>
      </w:r>
      <w:r w:rsidR="00DA4EFD" w:rsidRPr="00686D91">
        <w:rPr>
          <w:rFonts w:ascii="Times New Roman" w:hAnsi="Times New Roman"/>
          <w:b w:val="0"/>
          <w:szCs w:val="28"/>
        </w:rPr>
        <w:t>60</w:t>
      </w:r>
      <w:r w:rsidRPr="00686D91">
        <w:rPr>
          <w:rFonts w:ascii="Times New Roman" w:hAnsi="Times New Roman"/>
          <w:b w:val="0"/>
          <w:szCs w:val="28"/>
        </w:rPr>
        <w:t> м</w:t>
      </w:r>
      <w:r w:rsidR="00DA4EFD" w:rsidRPr="00686D91">
        <w:rPr>
          <w:rFonts w:ascii="Times New Roman" w:hAnsi="Times New Roman"/>
          <w:b w:val="0"/>
          <w:szCs w:val="28"/>
        </w:rPr>
        <w:t>к</w:t>
      </w:r>
      <w:r w:rsidRPr="00686D91">
        <w:rPr>
          <w:rFonts w:ascii="Times New Roman" w:hAnsi="Times New Roman"/>
          <w:b w:val="0"/>
          <w:szCs w:val="28"/>
        </w:rPr>
        <w:t>л</w:t>
      </w:r>
      <w:r w:rsidRPr="003E5175">
        <w:rPr>
          <w:rFonts w:ascii="Times New Roman" w:hAnsi="Times New Roman"/>
          <w:b w:val="0"/>
          <w:szCs w:val="28"/>
        </w:rPr>
        <w:t xml:space="preserve"> 1 % раствора фенолфталеина; должно появиться малиновое окрашивание, исчезающее при прибавлении к раствору 1 мл раствора формальдегида, предварительно нейтрализованного по фенолфталеину.</w:t>
      </w:r>
    </w:p>
    <w:p w:rsidR="002D0518" w:rsidRDefault="002D0518" w:rsidP="00583FC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583FC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19086C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D44A0C">
        <w:rPr>
          <w:rStyle w:val="8"/>
          <w:color w:val="000000" w:themeColor="text1"/>
          <w:sz w:val="28"/>
          <w:szCs w:val="28"/>
        </w:rPr>
        <w:t>быть бесцветным</w:t>
      </w:r>
      <w:r w:rsidR="00583FC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19086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583FCC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83FCC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BA2FEB" w:rsidRDefault="00D73F5F" w:rsidP="006C601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9086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F80BAE" w:rsidRDefault="004D6A3D" w:rsidP="00F80BA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0BAE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F80BAE" w:rsidRPr="009A7C32" w:rsidRDefault="00F80BAE" w:rsidP="00F80BAE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Спирт 96 % – хлороформ – аммиак водный – вода  6:2:0,5:1,5.</w:t>
      </w:r>
    </w:p>
    <w:p w:rsidR="00F80BAE" w:rsidRPr="009A7C32" w:rsidRDefault="00F80BAE" w:rsidP="00F80B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Испытуемый раствор А.</w:t>
      </w:r>
      <w:r w:rsidRPr="009A7C32"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Объе</w:t>
      </w:r>
      <w:r w:rsidR="00A64B01">
        <w:rPr>
          <w:rFonts w:ascii="Times New Roman" w:hAnsi="Times New Roman"/>
          <w:b w:val="0"/>
        </w:rPr>
        <w:t xml:space="preserve">м препарата, содержащий около </w:t>
      </w:r>
      <w:r w:rsidR="00A64B01" w:rsidRPr="00A64B01">
        <w:rPr>
          <w:rFonts w:ascii="Times New Roman" w:hAnsi="Times New Roman"/>
          <w:b w:val="0"/>
        </w:rPr>
        <w:t>0</w:t>
      </w:r>
      <w:r w:rsidR="00A64B01">
        <w:rPr>
          <w:rFonts w:ascii="Times New Roman" w:hAnsi="Times New Roman"/>
          <w:b w:val="0"/>
        </w:rPr>
        <w:t xml:space="preserve">,4 </w:t>
      </w:r>
      <w:r>
        <w:rPr>
          <w:rFonts w:ascii="Times New Roman" w:hAnsi="Times New Roman"/>
          <w:b w:val="0"/>
        </w:rPr>
        <w:t xml:space="preserve">г </w:t>
      </w:r>
      <w:proofErr w:type="spellStart"/>
      <w:r>
        <w:rPr>
          <w:rFonts w:ascii="Times New Roman" w:hAnsi="Times New Roman"/>
          <w:b w:val="0"/>
        </w:rPr>
        <w:t>таурина</w:t>
      </w:r>
      <w:proofErr w:type="spellEnd"/>
      <w:r>
        <w:rPr>
          <w:rFonts w:ascii="Times New Roman" w:hAnsi="Times New Roman"/>
          <w:b w:val="0"/>
        </w:rPr>
        <w:t xml:space="preserve"> помещают</w:t>
      </w:r>
      <w:proofErr w:type="gramEnd"/>
      <w:r>
        <w:rPr>
          <w:rFonts w:ascii="Times New Roman" w:hAnsi="Times New Roman"/>
          <w:b w:val="0"/>
        </w:rPr>
        <w:t xml:space="preserve"> в мерную колбу вместимостью 100 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</w:t>
      </w:r>
      <w:r w:rsidRPr="009A7C32">
        <w:rPr>
          <w:rFonts w:ascii="Times New Roman" w:hAnsi="Times New Roman"/>
          <w:b w:val="0"/>
        </w:rPr>
        <w:t>.</w:t>
      </w:r>
    </w:p>
    <w:p w:rsidR="00F80BAE" w:rsidRDefault="00F80BAE" w:rsidP="00F80B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Испытуемый раствор Б</w:t>
      </w:r>
      <w:r w:rsidRPr="009A7C32">
        <w:rPr>
          <w:rFonts w:ascii="Times New Roman" w:hAnsi="Times New Roman"/>
          <w:b w:val="0"/>
        </w:rPr>
        <w:t>. 50 мл</w:t>
      </w:r>
      <w:r>
        <w:rPr>
          <w:rFonts w:ascii="Times New Roman" w:hAnsi="Times New Roman"/>
          <w:b w:val="0"/>
        </w:rPr>
        <w:t xml:space="preserve"> испытуемого</w:t>
      </w:r>
      <w:r w:rsidRPr="009A7C32">
        <w:rPr>
          <w:rFonts w:ascii="Times New Roman" w:hAnsi="Times New Roman"/>
          <w:b w:val="0"/>
        </w:rPr>
        <w:t xml:space="preserve"> раствора </w:t>
      </w:r>
      <w:r w:rsidRPr="009A7C32">
        <w:rPr>
          <w:rFonts w:ascii="Times New Roman" w:hAnsi="Times New Roman"/>
          <w:b w:val="0"/>
          <w:i/>
        </w:rPr>
        <w:t>А</w:t>
      </w:r>
      <w:r w:rsidRPr="009A7C32">
        <w:rPr>
          <w:rFonts w:ascii="Times New Roman" w:hAnsi="Times New Roman"/>
          <w:b w:val="0"/>
        </w:rPr>
        <w:t xml:space="preserve"> помещают в колбу вместимостью 100 мл, кипятят с обратным холодильником в течение 3 ч и охлаждают до комнатной температуры.</w:t>
      </w:r>
    </w:p>
    <w:p w:rsidR="00F80BAE" w:rsidRPr="00F812D7" w:rsidRDefault="00F80BAE" w:rsidP="00F80B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D85C1A">
        <w:rPr>
          <w:rFonts w:ascii="Times New Roman" w:hAnsi="Times New Roman"/>
          <w:b w:val="0"/>
          <w:i/>
        </w:rPr>
        <w:t>таурина</w:t>
      </w:r>
      <w:proofErr w:type="spellEnd"/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Pr="006A0056">
        <w:rPr>
          <w:rFonts w:ascii="Times New Roman" w:hAnsi="Times New Roman"/>
          <w:b w:val="0"/>
        </w:rPr>
        <w:t>Навеску стандартног</w:t>
      </w:r>
      <w:r w:rsidR="00A64B01">
        <w:rPr>
          <w:rFonts w:ascii="Times New Roman" w:hAnsi="Times New Roman"/>
          <w:b w:val="0"/>
        </w:rPr>
        <w:t>о образца, содержащую около 40</w:t>
      </w:r>
      <w:r w:rsidRPr="006A0056">
        <w:rPr>
          <w:rFonts w:ascii="Times New Roman" w:hAnsi="Times New Roman"/>
          <w:b w:val="0"/>
        </w:rPr>
        <w:t> </w:t>
      </w:r>
      <w:r w:rsidR="00A64B01">
        <w:rPr>
          <w:rFonts w:ascii="Times New Roman" w:hAnsi="Times New Roman"/>
          <w:b w:val="0"/>
        </w:rPr>
        <w:t xml:space="preserve">мг </w:t>
      </w:r>
      <w:proofErr w:type="spellStart"/>
      <w:r w:rsidR="00A64B01">
        <w:rPr>
          <w:rFonts w:ascii="Times New Roman" w:hAnsi="Times New Roman"/>
          <w:b w:val="0"/>
        </w:rPr>
        <w:t>таурина</w:t>
      </w:r>
      <w:proofErr w:type="spellEnd"/>
      <w:r w:rsidR="00A64B01">
        <w:rPr>
          <w:rFonts w:ascii="Times New Roman" w:hAnsi="Times New Roman"/>
          <w:b w:val="0"/>
        </w:rPr>
        <w:t>, растворяют в 10</w:t>
      </w:r>
      <w:r w:rsidRPr="006A0056">
        <w:rPr>
          <w:rFonts w:ascii="Times New Roman" w:hAnsi="Times New Roman"/>
          <w:b w:val="0"/>
        </w:rPr>
        <w:t xml:space="preserve"> мл 0,1 М </w:t>
      </w:r>
      <w:r w:rsidRPr="006A0056">
        <w:rPr>
          <w:rFonts w:ascii="Times New Roman" w:hAnsi="Times New Roman"/>
          <w:b w:val="0"/>
          <w:szCs w:val="28"/>
        </w:rPr>
        <w:t>раствора хлористоводородной кислоты.</w:t>
      </w:r>
    </w:p>
    <w:p w:rsidR="00F80BAE" w:rsidRDefault="00F80BAE" w:rsidP="00F80B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 xml:space="preserve"> А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A64B01">
        <w:rPr>
          <w:rFonts w:ascii="Times New Roman" w:hAnsi="Times New Roman"/>
          <w:b w:val="0"/>
        </w:rPr>
        <w:t>40</w:t>
      </w:r>
      <w:r w:rsidRPr="000F5AD0">
        <w:rPr>
          <w:rFonts w:ascii="Times New Roman" w:hAnsi="Times New Roman"/>
          <w:b w:val="0"/>
        </w:rPr>
        <w:t> </w:t>
      </w:r>
      <w:r w:rsidR="00A64B01">
        <w:rPr>
          <w:rFonts w:ascii="Times New Roman" w:hAnsi="Times New Roman"/>
          <w:b w:val="0"/>
        </w:rPr>
        <w:t>м</w:t>
      </w:r>
      <w:r w:rsidRPr="000F5AD0">
        <w:rPr>
          <w:rFonts w:ascii="Times New Roman" w:hAnsi="Times New Roman"/>
          <w:b w:val="0"/>
        </w:rPr>
        <w:t>г 2-аминоэтанола растворяют в 100 мл 0,1 М раствора хлористоводородной кислоты.</w:t>
      </w:r>
    </w:p>
    <w:p w:rsidR="00F80BAE" w:rsidRDefault="00F80BAE" w:rsidP="00F80B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 xml:space="preserve"> Б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Pr="006A0056">
        <w:rPr>
          <w:rFonts w:ascii="Times New Roman" w:hAnsi="Times New Roman"/>
          <w:b w:val="0"/>
        </w:rPr>
        <w:t>2,0 мл</w:t>
      </w:r>
      <w:r>
        <w:rPr>
          <w:rFonts w:ascii="Times New Roman" w:hAnsi="Times New Roman"/>
          <w:b w:val="0"/>
        </w:rPr>
        <w:t xml:space="preserve"> раствора сравнения А помещают в мерную колбу вместимостью 100 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F80BAE" w:rsidRDefault="00F80BAE" w:rsidP="00F80B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 xml:space="preserve"> В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1</w:t>
      </w:r>
      <w:r w:rsidRPr="006A0056">
        <w:rPr>
          <w:rFonts w:ascii="Times New Roman" w:hAnsi="Times New Roman"/>
          <w:b w:val="0"/>
        </w:rPr>
        <w:t>,0 мл</w:t>
      </w:r>
      <w:r>
        <w:rPr>
          <w:rFonts w:ascii="Times New Roman" w:hAnsi="Times New Roman"/>
          <w:b w:val="0"/>
        </w:rPr>
        <w:t xml:space="preserve"> раствора сравнения А помещают в мерную колбу вместимостью 100 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F80BAE" w:rsidRPr="001B6328" w:rsidRDefault="00F80BAE" w:rsidP="00F80B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</w:rPr>
        <w:t>0,5</w:t>
      </w:r>
      <w:r w:rsidRPr="006A0056">
        <w:rPr>
          <w:rFonts w:ascii="Times New Roman" w:hAnsi="Times New Roman"/>
          <w:b w:val="0"/>
        </w:rPr>
        <w:t> мл</w:t>
      </w:r>
      <w:r>
        <w:rPr>
          <w:rFonts w:ascii="Times New Roman" w:hAnsi="Times New Roman"/>
          <w:b w:val="0"/>
        </w:rPr>
        <w:t xml:space="preserve"> раствора сравнения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  <w:r>
        <w:rPr>
          <w:rFonts w:ascii="Times New Roman" w:hAnsi="Times New Roman"/>
          <w:b w:val="0"/>
        </w:rPr>
        <w:t xml:space="preserve"> помещают в мерную колбу вместимостью 100 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328">
        <w:rPr>
          <w:rFonts w:ascii="Times New Roman" w:hAnsi="Times New Roman" w:cs="Times New Roman"/>
          <w:sz w:val="28"/>
          <w:szCs w:val="28"/>
          <w:lang w:eastAsia="ru-RU"/>
        </w:rPr>
        <w:t>На линию старта пластинки наносят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10 мкл (4</w:t>
      </w:r>
      <w:r>
        <w:rPr>
          <w:rFonts w:ascii="Times New Roman" w:hAnsi="Times New Roman" w:cs="Times New Roman"/>
          <w:sz w:val="28"/>
          <w:szCs w:val="28"/>
          <w:lang w:eastAsia="ru-RU"/>
        </w:rPr>
        <w:t>0 мкг) испытуемого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</w:t>
      </w:r>
      <w:proofErr w:type="gramStart"/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64B01">
        <w:rPr>
          <w:rFonts w:ascii="Times New Roman" w:hAnsi="Times New Roman" w:cs="Times New Roman"/>
          <w:sz w:val="28"/>
          <w:szCs w:val="28"/>
          <w:lang w:eastAsia="ru-RU"/>
        </w:rPr>
        <w:t>, 10 мкл (4</w:t>
      </w:r>
      <w:r>
        <w:rPr>
          <w:rFonts w:ascii="Times New Roman" w:hAnsi="Times New Roman" w:cs="Times New Roman"/>
          <w:sz w:val="28"/>
          <w:szCs w:val="28"/>
          <w:lang w:eastAsia="ru-RU"/>
        </w:rPr>
        <w:t>0 мкг) раствора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стандартного образца </w:t>
      </w:r>
      <w:proofErr w:type="spellStart"/>
      <w:r w:rsidR="00A64B01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="00A64B01">
        <w:rPr>
          <w:rFonts w:ascii="Times New Roman" w:hAnsi="Times New Roman" w:cs="Times New Roman"/>
          <w:sz w:val="28"/>
          <w:szCs w:val="28"/>
          <w:lang w:eastAsia="ru-RU"/>
        </w:rPr>
        <w:t>, 10 мкл (0,04 мкг) раствора сравнения В, 10 мкл (0,02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мкг) раствора для проверки чувствительнос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proofErr w:type="spellStart"/>
      <w:r w:rsidR="00A64B01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10 мкл (40 мкг) испытуемого раствора Б и 10 мкл (0,08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мкг) раствора сравнения Б.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Для проверки пригодности хроматографической системы в одну точку наносят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10 мкл (4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мкг) испытуемого раствора</w:t>
      </w:r>
      <w:proofErr w:type="gramStart"/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и 10 мкл (0,08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мкг) раствора сравнения Б.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Пластинку с нанесенными пробами сушат на</w:t>
      </w:r>
      <w:r w:rsidR="00A64B01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опрыскивают спиртовым раствором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и выдерживают в сушильном шкафу</w:t>
      </w:r>
      <w:r w:rsidR="006F00C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 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температуре </w:t>
      </w:r>
      <w:r w:rsidRPr="00920D30">
        <w:rPr>
          <w:rFonts w:ascii="Times New Roman" w:hAnsi="Times New Roman" w:cs="Times New Roman"/>
          <w:sz w:val="28"/>
          <w:szCs w:val="28"/>
          <w:lang w:eastAsia="ru-RU"/>
        </w:rPr>
        <w:t>105 – 110 °С</w:t>
      </w:r>
      <w:r w:rsidRPr="006F00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Пластинку охлаждают и просматривают при дневном свете.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чувствительности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 w:rsidR="006F00C5">
        <w:rPr>
          <w:rFonts w:ascii="Times New Roman" w:hAnsi="Times New Roman" w:cs="Times New Roman"/>
          <w:sz w:val="28"/>
          <w:szCs w:val="28"/>
          <w:lang w:eastAsia="ru-RU"/>
        </w:rPr>
        <w:t xml:space="preserve"> четко видна зона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адсорбции</w:t>
      </w:r>
      <w:r w:rsidR="006F00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смеси для проверки пригодности хроматографической системы должны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 четко разделенные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зоны адсорбции 2-аминоэтанола 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0F5AD0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адсорбции,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по совокупности величины и интенсивности окраски не должна превышать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зону адсорбции на хроматограмме раствора сравнения </w:t>
      </w:r>
      <w:r w:rsidR="006F00C5">
        <w:rPr>
          <w:rFonts w:ascii="Times New Roman" w:hAnsi="Times New Roman" w:cs="Times New Roman"/>
          <w:sz w:val="28"/>
          <w:szCs w:val="28"/>
          <w:lang w:eastAsia="ru-RU"/>
        </w:rPr>
        <w:t>В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0,1 %).</w:t>
      </w:r>
    </w:p>
    <w:p w:rsidR="00F80BAE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6F00C5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адсорбции,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по совокупности величины и интенсивности окраски не должна превышать зону адсорбции на хроматограмме раствора сравнения </w:t>
      </w:r>
      <w:r w:rsidR="006F00C5">
        <w:rPr>
          <w:rFonts w:ascii="Times New Roman" w:hAnsi="Times New Roman" w:cs="Times New Roman"/>
          <w:sz w:val="28"/>
          <w:szCs w:val="28"/>
          <w:lang w:eastAsia="ru-RU"/>
        </w:rPr>
        <w:t>Б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0,2 %).</w:t>
      </w:r>
    </w:p>
    <w:p w:rsidR="00CC61E2" w:rsidRDefault="00F80BAE" w:rsidP="00F80B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57D" w:rsidRDefault="0030657D" w:rsidP="0019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F80BAE" w:rsidRPr="00F80BAE" w:rsidRDefault="009B0F19" w:rsidP="00F80BA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80BAE" w:rsidRPr="00F80B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 более 0,58</w:t>
      </w:r>
      <w:r w:rsidR="00F80BAE" w:rsidRPr="00F80BA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 </w:t>
      </w:r>
      <w:r w:rsidR="00F80BAE" w:rsidRPr="00F80B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ЕЭ на 1 мг </w:t>
      </w:r>
      <w:proofErr w:type="spellStart"/>
      <w:r w:rsidR="00F80BAE" w:rsidRPr="00F80B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 w:rsidR="00F80BAE" w:rsidRPr="00F80B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«Бактериальные эндотоксины»).</w:t>
      </w:r>
    </w:p>
    <w:p w:rsidR="00CC17BF" w:rsidRDefault="00E71AAC" w:rsidP="00CC17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010F1" w:rsidRPr="003E5175" w:rsidRDefault="00C73848" w:rsidP="006010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010F1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</w:t>
      </w:r>
      <w:proofErr w:type="spellStart"/>
      <w:r w:rsidR="006010F1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титриметрии</w:t>
      </w:r>
      <w:proofErr w:type="spellEnd"/>
      <w:r w:rsidR="006010F1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6010F1" w:rsidRPr="001055AC" w:rsidRDefault="006010F1" w:rsidP="006010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 точному объему препарата, содержащему около 0,2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прибавляют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30 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воды,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5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формалина и 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титруют 0,1 М раствором натрия </w:t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появления слабо-розового окрашивания (индикатор </w:t>
      </w:r>
      <w:r w:rsidRPr="00686D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</w:t>
      </w:r>
      <w:r w:rsidR="00AF4E45" w:rsidRPr="00686D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 мкл</w:t>
      </w:r>
      <w:r w:rsidR="00AF4E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1 % раствора фенолфталеина).</w:t>
      </w:r>
    </w:p>
    <w:p w:rsidR="006010F1" w:rsidRPr="001055AC" w:rsidRDefault="006010F1" w:rsidP="006010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Параллельно проводят контрольный опыт.</w:t>
      </w:r>
    </w:p>
    <w:p w:rsidR="00F80BAE" w:rsidRDefault="006010F1" w:rsidP="00F80BA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 мл 0,1 М раствора натрия </w:t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соответствует 12,51 мг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7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S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75E86" w:rsidRPr="00B75E86" w:rsidRDefault="00C73848" w:rsidP="00F80BA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E9" w:rsidRDefault="00A94CE9" w:rsidP="00004BE2">
      <w:pPr>
        <w:spacing w:after="0" w:line="240" w:lineRule="auto"/>
      </w:pPr>
      <w:r>
        <w:separator/>
      </w:r>
    </w:p>
  </w:endnote>
  <w:endnote w:type="continuationSeparator" w:id="0">
    <w:p w:rsidR="00A94CE9" w:rsidRDefault="00A94CE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64B01" w:rsidRDefault="00EE533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4B0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D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4B01" w:rsidRDefault="00A64B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E9" w:rsidRDefault="00A94CE9" w:rsidP="00004BE2">
      <w:pPr>
        <w:spacing w:after="0" w:line="240" w:lineRule="auto"/>
      </w:pPr>
      <w:r>
        <w:separator/>
      </w:r>
    </w:p>
  </w:footnote>
  <w:footnote w:type="continuationSeparator" w:id="0">
    <w:p w:rsidR="00A94CE9" w:rsidRDefault="00A94CE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01" w:rsidRPr="00004BE2" w:rsidRDefault="006B7D1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65055"/>
    <w:rsid w:val="000723CA"/>
    <w:rsid w:val="00083CCD"/>
    <w:rsid w:val="00094D20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0E26"/>
    <w:rsid w:val="00144EDC"/>
    <w:rsid w:val="00150D6B"/>
    <w:rsid w:val="0016114D"/>
    <w:rsid w:val="0016432A"/>
    <w:rsid w:val="001757BE"/>
    <w:rsid w:val="001865A8"/>
    <w:rsid w:val="00187200"/>
    <w:rsid w:val="00190196"/>
    <w:rsid w:val="0019086C"/>
    <w:rsid w:val="001B4E29"/>
    <w:rsid w:val="001C0600"/>
    <w:rsid w:val="001C1CF8"/>
    <w:rsid w:val="001D2621"/>
    <w:rsid w:val="001E742E"/>
    <w:rsid w:val="001F1FBC"/>
    <w:rsid w:val="001F31DE"/>
    <w:rsid w:val="001F6E5B"/>
    <w:rsid w:val="0020778A"/>
    <w:rsid w:val="00207BE3"/>
    <w:rsid w:val="00216AA2"/>
    <w:rsid w:val="0022683A"/>
    <w:rsid w:val="00231C42"/>
    <w:rsid w:val="002338D6"/>
    <w:rsid w:val="00235358"/>
    <w:rsid w:val="00242EBA"/>
    <w:rsid w:val="00247585"/>
    <w:rsid w:val="00247628"/>
    <w:rsid w:val="00272E49"/>
    <w:rsid w:val="0027626E"/>
    <w:rsid w:val="00283400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3A38"/>
    <w:rsid w:val="0036779B"/>
    <w:rsid w:val="00372497"/>
    <w:rsid w:val="00375E5A"/>
    <w:rsid w:val="003842C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7AE0"/>
    <w:rsid w:val="00427C72"/>
    <w:rsid w:val="00444F29"/>
    <w:rsid w:val="004453C9"/>
    <w:rsid w:val="00451960"/>
    <w:rsid w:val="00466671"/>
    <w:rsid w:val="00466BFE"/>
    <w:rsid w:val="00466C33"/>
    <w:rsid w:val="00472094"/>
    <w:rsid w:val="0047258E"/>
    <w:rsid w:val="00472E1B"/>
    <w:rsid w:val="00481811"/>
    <w:rsid w:val="004839A3"/>
    <w:rsid w:val="0049001B"/>
    <w:rsid w:val="004909CA"/>
    <w:rsid w:val="00494BFE"/>
    <w:rsid w:val="0049666C"/>
    <w:rsid w:val="004A70AA"/>
    <w:rsid w:val="004C27AB"/>
    <w:rsid w:val="004C3936"/>
    <w:rsid w:val="004C707C"/>
    <w:rsid w:val="004D3F54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83FCC"/>
    <w:rsid w:val="005938F5"/>
    <w:rsid w:val="005A36D4"/>
    <w:rsid w:val="005A508B"/>
    <w:rsid w:val="005A7FA4"/>
    <w:rsid w:val="005C1CE1"/>
    <w:rsid w:val="005D389E"/>
    <w:rsid w:val="005E4456"/>
    <w:rsid w:val="005F0DDF"/>
    <w:rsid w:val="005F3DC2"/>
    <w:rsid w:val="005F70B8"/>
    <w:rsid w:val="005F73B2"/>
    <w:rsid w:val="006010F1"/>
    <w:rsid w:val="006065D7"/>
    <w:rsid w:val="00607524"/>
    <w:rsid w:val="006078EE"/>
    <w:rsid w:val="00615E78"/>
    <w:rsid w:val="00631674"/>
    <w:rsid w:val="006330C9"/>
    <w:rsid w:val="0063758A"/>
    <w:rsid w:val="00640150"/>
    <w:rsid w:val="0064223A"/>
    <w:rsid w:val="00645A44"/>
    <w:rsid w:val="00645B71"/>
    <w:rsid w:val="006463D7"/>
    <w:rsid w:val="00647DBE"/>
    <w:rsid w:val="00651A58"/>
    <w:rsid w:val="00652FDF"/>
    <w:rsid w:val="00661C85"/>
    <w:rsid w:val="00664370"/>
    <w:rsid w:val="00664F98"/>
    <w:rsid w:val="00674303"/>
    <w:rsid w:val="00676FB1"/>
    <w:rsid w:val="006775D6"/>
    <w:rsid w:val="0068025D"/>
    <w:rsid w:val="006868AB"/>
    <w:rsid w:val="00686D91"/>
    <w:rsid w:val="00694EA1"/>
    <w:rsid w:val="006A3729"/>
    <w:rsid w:val="006A430E"/>
    <w:rsid w:val="006B71DD"/>
    <w:rsid w:val="006B7D1D"/>
    <w:rsid w:val="006C601C"/>
    <w:rsid w:val="006C71A6"/>
    <w:rsid w:val="006D290E"/>
    <w:rsid w:val="006F00C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B1A60"/>
    <w:rsid w:val="007B7207"/>
    <w:rsid w:val="007C28E3"/>
    <w:rsid w:val="007C2B99"/>
    <w:rsid w:val="007D237A"/>
    <w:rsid w:val="007F4CFE"/>
    <w:rsid w:val="008060C4"/>
    <w:rsid w:val="00816A65"/>
    <w:rsid w:val="00830350"/>
    <w:rsid w:val="00831ABE"/>
    <w:rsid w:val="00833EEC"/>
    <w:rsid w:val="008377C3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37EE7"/>
    <w:rsid w:val="00945A88"/>
    <w:rsid w:val="009466E9"/>
    <w:rsid w:val="009513F5"/>
    <w:rsid w:val="00952A14"/>
    <w:rsid w:val="00955421"/>
    <w:rsid w:val="00977B9C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C45D7"/>
    <w:rsid w:val="009C502E"/>
    <w:rsid w:val="009D3FA2"/>
    <w:rsid w:val="009D7DD3"/>
    <w:rsid w:val="009E4ACD"/>
    <w:rsid w:val="009F513B"/>
    <w:rsid w:val="00A01D12"/>
    <w:rsid w:val="00A07003"/>
    <w:rsid w:val="00A12E25"/>
    <w:rsid w:val="00A23DA3"/>
    <w:rsid w:val="00A27615"/>
    <w:rsid w:val="00A32BC7"/>
    <w:rsid w:val="00A363B0"/>
    <w:rsid w:val="00A3721B"/>
    <w:rsid w:val="00A3768A"/>
    <w:rsid w:val="00A42A61"/>
    <w:rsid w:val="00A60C4D"/>
    <w:rsid w:val="00A63DD4"/>
    <w:rsid w:val="00A64B01"/>
    <w:rsid w:val="00A66BB2"/>
    <w:rsid w:val="00A7255A"/>
    <w:rsid w:val="00A80C3B"/>
    <w:rsid w:val="00A83350"/>
    <w:rsid w:val="00A83C9E"/>
    <w:rsid w:val="00A94CE9"/>
    <w:rsid w:val="00A96BAD"/>
    <w:rsid w:val="00A96EE2"/>
    <w:rsid w:val="00A97FCD"/>
    <w:rsid w:val="00AA0D2B"/>
    <w:rsid w:val="00AA1108"/>
    <w:rsid w:val="00AA65E9"/>
    <w:rsid w:val="00AB30CB"/>
    <w:rsid w:val="00AF34A9"/>
    <w:rsid w:val="00AF4E45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819EC"/>
    <w:rsid w:val="00C854B6"/>
    <w:rsid w:val="00C954FB"/>
    <w:rsid w:val="00C97896"/>
    <w:rsid w:val="00C97BE8"/>
    <w:rsid w:val="00CA32D6"/>
    <w:rsid w:val="00CA527B"/>
    <w:rsid w:val="00CC17BF"/>
    <w:rsid w:val="00CC4772"/>
    <w:rsid w:val="00CC61E2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2CEC"/>
    <w:rsid w:val="00D3514D"/>
    <w:rsid w:val="00D36840"/>
    <w:rsid w:val="00D409C0"/>
    <w:rsid w:val="00D41DE2"/>
    <w:rsid w:val="00D44A0C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4EFD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00F3"/>
    <w:rsid w:val="00E064EA"/>
    <w:rsid w:val="00E104F8"/>
    <w:rsid w:val="00E16DB7"/>
    <w:rsid w:val="00E21F6A"/>
    <w:rsid w:val="00E327B3"/>
    <w:rsid w:val="00E342E2"/>
    <w:rsid w:val="00E409D2"/>
    <w:rsid w:val="00E42334"/>
    <w:rsid w:val="00E43930"/>
    <w:rsid w:val="00E46679"/>
    <w:rsid w:val="00E4690D"/>
    <w:rsid w:val="00E618F3"/>
    <w:rsid w:val="00E62C53"/>
    <w:rsid w:val="00E67D8F"/>
    <w:rsid w:val="00E7126D"/>
    <w:rsid w:val="00E71AAC"/>
    <w:rsid w:val="00E85D8E"/>
    <w:rsid w:val="00E9247A"/>
    <w:rsid w:val="00E93317"/>
    <w:rsid w:val="00E93F57"/>
    <w:rsid w:val="00E94F49"/>
    <w:rsid w:val="00E9626F"/>
    <w:rsid w:val="00EA55CD"/>
    <w:rsid w:val="00EC769D"/>
    <w:rsid w:val="00ED1C7B"/>
    <w:rsid w:val="00EE2022"/>
    <w:rsid w:val="00EE533A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3163"/>
    <w:rsid w:val="00F36956"/>
    <w:rsid w:val="00F44044"/>
    <w:rsid w:val="00F443F2"/>
    <w:rsid w:val="00F55CE6"/>
    <w:rsid w:val="00F56CE8"/>
    <w:rsid w:val="00F63D8E"/>
    <w:rsid w:val="00F8020A"/>
    <w:rsid w:val="00F80BAE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0060-2702-45EA-B582-2BA14139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7</cp:revision>
  <dcterms:created xsi:type="dcterms:W3CDTF">2018-01-29T14:45:00Z</dcterms:created>
  <dcterms:modified xsi:type="dcterms:W3CDTF">2018-02-09T11:38:00Z</dcterms:modified>
</cp:coreProperties>
</file>