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0261E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0261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0261E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261E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261E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261E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0261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1B1006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Ацетилцистеин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2BC6" w:rsidRDefault="007363FE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гранулы</w:t>
      </w:r>
      <w:r w:rsidR="00182B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</w:p>
    <w:p w:rsidR="00FD1C41" w:rsidRPr="00FD1C41" w:rsidRDefault="00182BC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приема внутрь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C76D6">
        <w:rPr>
          <w:rFonts w:ascii="Times New Roman" w:hAnsi="Times New Roman"/>
          <w:b w:val="0"/>
          <w:szCs w:val="28"/>
        </w:rPr>
        <w:t>ацетилцистеин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7363FE">
        <w:rPr>
          <w:rFonts w:ascii="Times New Roman" w:hAnsi="Times New Roman"/>
          <w:b w:val="0"/>
          <w:color w:val="000000" w:themeColor="text1"/>
          <w:szCs w:val="28"/>
          <w:lang w:bidi="ru-RU"/>
        </w:rPr>
        <w:t>гранулы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F7808">
        <w:rPr>
          <w:rFonts w:ascii="Times New Roman" w:hAnsi="Times New Roman"/>
          <w:b w:val="0"/>
          <w:szCs w:val="28"/>
        </w:rPr>
        <w:t>Гранулы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C76D6" w:rsidRPr="005C76D6">
        <w:rPr>
          <w:rFonts w:ascii="Times New Roman" w:hAnsi="Times New Roman"/>
          <w:b w:val="0"/>
        </w:rPr>
        <w:t xml:space="preserve">ацетилцистеина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5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9</w:t>
      </w:r>
      <w:r w:rsidR="005C76D6" w:rsidRPr="005C76D6">
        <w:rPr>
          <w:rFonts w:ascii="Times New Roman" w:hAnsi="Times New Roman"/>
          <w:b w:val="0"/>
          <w:szCs w:val="28"/>
        </w:rPr>
        <w:t>NO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5C76D6">
        <w:rPr>
          <w:rFonts w:ascii="Times New Roman" w:hAnsi="Times New Roman"/>
          <w:b w:val="0"/>
          <w:szCs w:val="28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82BC6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F7808">
        <w:rPr>
          <w:color w:val="000000" w:themeColor="text1"/>
          <w:sz w:val="28"/>
          <w:szCs w:val="28"/>
          <w:lang w:eastAsia="ru-RU" w:bidi="ru-RU"/>
        </w:rPr>
        <w:t>Гранулы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A0443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A0443">
        <w:rPr>
          <w:rFonts w:ascii="Times New Roman" w:hAnsi="Times New Roman" w:cs="Times New Roman"/>
          <w:i/>
          <w:sz w:val="28"/>
        </w:rPr>
        <w:t xml:space="preserve"> </w:t>
      </w:r>
      <w:r w:rsidR="009F469B" w:rsidRPr="008A0443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8A0443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хром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1F0A1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F7808" w:rsidRPr="000E6E7C" w:rsidRDefault="00AF7808" w:rsidP="00AF7808">
      <w:pPr>
        <w:pStyle w:val="14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9D9">
        <w:rPr>
          <w:rStyle w:val="8"/>
          <w:rFonts w:eastAsiaTheme="minorHAnsi"/>
          <w:b/>
          <w:color w:val="000000" w:themeColor="text1"/>
          <w:sz w:val="28"/>
          <w:szCs w:val="28"/>
        </w:rPr>
        <w:t>Размер гранул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«Ситовой анализ».</w:t>
      </w:r>
    </w:p>
    <w:p w:rsidR="00EC4BDF" w:rsidRPr="007D78FB" w:rsidRDefault="00EC4BDF" w:rsidP="00EC4B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8FB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7D78FB">
        <w:rPr>
          <w:rFonts w:ascii="Times New Roman" w:hAnsi="Times New Roman" w:cs="Times New Roman"/>
          <w:sz w:val="28"/>
          <w:szCs w:val="28"/>
        </w:rPr>
        <w:t xml:space="preserve">. 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>Не более 5 мин.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Испытание проводят в условиях, 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в инструкции по медицинскому применению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8FB">
        <w:rPr>
          <w:rFonts w:ascii="Times New Roman" w:hAnsi="Times New Roman" w:cs="Times New Roman"/>
          <w:sz w:val="28"/>
          <w:szCs w:val="28"/>
        </w:rPr>
        <w:t xml:space="preserve"> Определяют время, за которое произошло полное растворение содержимого упаковки.</w:t>
      </w:r>
    </w:p>
    <w:p w:rsidR="00EC4BDF" w:rsidRDefault="00EC4BDF" w:rsidP="00EC4BD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1170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3117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F7808">
        <w:rPr>
          <w:rFonts w:ascii="Times New Roman" w:hAnsi="Times New Roman"/>
          <w:color w:val="000000"/>
          <w:sz w:val="28"/>
          <w:szCs w:val="28"/>
        </w:rPr>
        <w:t>3</w:t>
      </w:r>
      <w:r w:rsidRPr="00CC48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0. Используют </w:t>
      </w:r>
      <w:r w:rsidRPr="00631170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, приготовленный в разделе «Время растворения»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 3).</w:t>
      </w:r>
    </w:p>
    <w:p w:rsidR="00A51076" w:rsidRPr="00A51076" w:rsidRDefault="006D1184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51076"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Pr="003624C7" w:rsidRDefault="00A51076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>атрия дигидрофосфат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 и 3,2 г н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>атрия гептансульфонат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а растворяют в 950 мл воды и доводят 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до рН</w:t>
      </w:r>
      <w:r w:rsidR="00F47DB2">
        <w:rPr>
          <w:rFonts w:ascii="Times New Roman" w:hAnsi="Times New Roman"/>
          <w:spacing w:val="-4"/>
          <w:sz w:val="28"/>
          <w:szCs w:val="28"/>
        </w:rPr>
        <w:t> 2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,</w:t>
      </w:r>
      <w:r w:rsidR="00F47DB2">
        <w:rPr>
          <w:rFonts w:ascii="Times New Roman" w:hAnsi="Times New Roman"/>
          <w:spacing w:val="-4"/>
          <w:sz w:val="28"/>
          <w:szCs w:val="28"/>
        </w:rPr>
        <w:t>15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 xml:space="preserve"> ортофосфорной кислотой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 вместимостью 1 л и доводят объем раствора водой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47DB2">
        <w:rPr>
          <w:rFonts w:ascii="Times New Roman" w:hAnsi="Times New Roman"/>
          <w:sz w:val="28"/>
          <w:szCs w:val="28"/>
        </w:rPr>
        <w:t>б</w:t>
      </w:r>
      <w:r w:rsidR="00F47DB2" w:rsidRPr="00F47DB2">
        <w:rPr>
          <w:rFonts w:ascii="Times New Roman" w:hAnsi="Times New Roman"/>
          <w:sz w:val="28"/>
          <w:szCs w:val="28"/>
        </w:rPr>
        <w:t xml:space="preserve">уферный раствор </w:t>
      </w:r>
      <w:r w:rsidR="00F47DB2">
        <w:rPr>
          <w:rFonts w:ascii="Times New Roman" w:hAnsi="Times New Roman"/>
          <w:sz w:val="28"/>
          <w:szCs w:val="28"/>
        </w:rPr>
        <w:t>5</w:t>
      </w:r>
      <w:r w:rsidRPr="00F47DB2">
        <w:rPr>
          <w:rFonts w:ascii="Times New Roman" w:hAnsi="Times New Roman"/>
          <w:sz w:val="28"/>
          <w:szCs w:val="28"/>
        </w:rPr>
        <w:t>:9</w:t>
      </w:r>
      <w:r w:rsidR="00F47DB2">
        <w:rPr>
          <w:rFonts w:ascii="Times New Roman" w:hAnsi="Times New Roman"/>
          <w:sz w:val="28"/>
          <w:szCs w:val="28"/>
        </w:rPr>
        <w:t>5.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AF7808" w:rsidRPr="00AF7808">
        <w:rPr>
          <w:rStyle w:val="8"/>
          <w:rFonts w:eastAsiaTheme="minorHAnsi"/>
          <w:b w:val="0"/>
          <w:color w:val="000000" w:themeColor="text1"/>
          <w:sz w:val="28"/>
          <w:szCs w:val="28"/>
        </w:rPr>
        <w:t>Точную навеску порошка растертых гранул</w:t>
      </w:r>
      <w:r w:rsidR="00E53797" w:rsidRPr="00AF7808">
        <w:rPr>
          <w:rFonts w:ascii="Times New Roman" w:hAnsi="Times New Roman"/>
          <w:b w:val="0"/>
          <w:szCs w:val="28"/>
        </w:rPr>
        <w:t xml:space="preserve">, содержащую около 0,25 г </w:t>
      </w:r>
      <w:r w:rsidR="00E53797" w:rsidRPr="00AF7808">
        <w:rPr>
          <w:rFonts w:ascii="Times New Roman" w:hAnsi="Times New Roman"/>
          <w:b w:val="0"/>
        </w:rPr>
        <w:t>ацетилцистеина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100</w:t>
      </w:r>
      <w:r w:rsidR="00E53797" w:rsidRPr="00E53797">
        <w:rPr>
          <w:rFonts w:ascii="Times New Roman" w:hAnsi="Times New Roman"/>
          <w:b w:val="0"/>
          <w:szCs w:val="28"/>
        </w:rPr>
        <w:t xml:space="preserve"> мл, прибавляют </w:t>
      </w:r>
      <w:r w:rsidR="00E53797">
        <w:rPr>
          <w:rFonts w:ascii="Times New Roman" w:hAnsi="Times New Roman"/>
          <w:b w:val="0"/>
          <w:szCs w:val="28"/>
        </w:rPr>
        <w:t>4</w:t>
      </w:r>
      <w:r w:rsidR="00E53797" w:rsidRPr="00E53797">
        <w:rPr>
          <w:rFonts w:ascii="Times New Roman" w:hAnsi="Times New Roman"/>
          <w:b w:val="0"/>
          <w:szCs w:val="28"/>
        </w:rPr>
        <w:t xml:space="preserve">0 мл </w:t>
      </w:r>
      <w:r w:rsidR="00E53797">
        <w:rPr>
          <w:rFonts w:ascii="Times New Roman" w:hAnsi="Times New Roman"/>
          <w:b w:val="0"/>
          <w:szCs w:val="28"/>
        </w:rPr>
        <w:t>ПФ</w:t>
      </w:r>
      <w:r w:rsidR="00E53797" w:rsidRPr="00E53797">
        <w:rPr>
          <w:rFonts w:ascii="Times New Roman" w:hAnsi="Times New Roman"/>
          <w:b w:val="0"/>
          <w:szCs w:val="28"/>
        </w:rPr>
        <w:t xml:space="preserve"> и взбалтывают в течение </w:t>
      </w:r>
      <w:r w:rsidR="00E53797">
        <w:rPr>
          <w:rFonts w:ascii="Times New Roman" w:hAnsi="Times New Roman"/>
          <w:b w:val="0"/>
          <w:szCs w:val="28"/>
        </w:rPr>
        <w:t>1</w:t>
      </w:r>
      <w:r w:rsidR="00E53797" w:rsidRPr="00E53797">
        <w:rPr>
          <w:rFonts w:ascii="Times New Roman" w:hAnsi="Times New Roman"/>
          <w:b w:val="0"/>
          <w:szCs w:val="28"/>
        </w:rPr>
        <w:t>0 мин и</w:t>
      </w:r>
      <w:r w:rsidR="00E53797">
        <w:rPr>
          <w:rFonts w:ascii="Times New Roman" w:hAnsi="Times New Roman"/>
          <w:b w:val="0"/>
          <w:szCs w:val="28"/>
        </w:rPr>
        <w:t>ли пока порошок не растворится</w:t>
      </w:r>
      <w:r w:rsidR="00E53797" w:rsidRPr="00E53797">
        <w:rPr>
          <w:rFonts w:ascii="Times New Roman" w:hAnsi="Times New Roman"/>
          <w:b w:val="0"/>
          <w:szCs w:val="28"/>
        </w:rPr>
        <w:t xml:space="preserve">. Объем раствора доводят до метки </w:t>
      </w:r>
      <w:r w:rsidR="00E53797">
        <w:rPr>
          <w:rFonts w:ascii="Times New Roman" w:hAnsi="Times New Roman"/>
          <w:b w:val="0"/>
          <w:szCs w:val="28"/>
        </w:rPr>
        <w:t>тем же растворителем и</w:t>
      </w:r>
      <w:r w:rsidR="00E53797" w:rsidRPr="00E53797">
        <w:rPr>
          <w:rFonts w:ascii="Times New Roman" w:hAnsi="Times New Roman"/>
          <w:b w:val="0"/>
          <w:szCs w:val="28"/>
        </w:rPr>
        <w:t xml:space="preserve"> перемешивают. </w:t>
      </w:r>
      <w:r w:rsidR="00E53797">
        <w:rPr>
          <w:rFonts w:ascii="Times New Roman" w:hAnsi="Times New Roman"/>
          <w:b w:val="0"/>
          <w:szCs w:val="28"/>
        </w:rPr>
        <w:t>20,0 мл полученного раствора помещают в мерную колбу вместимостью 50 мл, доводят до метки ПФ, перемешивают и</w:t>
      </w:r>
      <w:r w:rsidR="00E53797" w:rsidRPr="00E53797">
        <w:rPr>
          <w:rFonts w:ascii="Times New Roman" w:hAnsi="Times New Roman"/>
          <w:b w:val="0"/>
          <w:szCs w:val="28"/>
        </w:rPr>
        <w:t xml:space="preserve">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E26D38" w:rsidRDefault="00A51076" w:rsidP="00A510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26D38">
        <w:rPr>
          <w:rFonts w:ascii="Times New Roman" w:hAnsi="Times New Roman" w:cs="Times New Roman"/>
          <w:i/>
          <w:sz w:val="28"/>
          <w:szCs w:val="28"/>
        </w:rPr>
        <w:t> А</w:t>
      </w:r>
      <w:r w:rsidRPr="00A51076">
        <w:rPr>
          <w:rFonts w:ascii="Times New Roman" w:hAnsi="Times New Roman" w:cs="Times New Roman"/>
          <w:sz w:val="28"/>
          <w:szCs w:val="28"/>
        </w:rPr>
        <w:t xml:space="preserve">. </w:t>
      </w:r>
      <w:r w:rsidR="00EF3986" w:rsidRPr="00A510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F3986">
        <w:rPr>
          <w:rFonts w:ascii="Times New Roman" w:hAnsi="Times New Roman" w:cs="Times New Roman"/>
          <w:sz w:val="28"/>
          <w:szCs w:val="28"/>
        </w:rPr>
        <w:t>0,1 </w:t>
      </w:r>
      <w:r w:rsidR="00EF3986" w:rsidRPr="00A51076">
        <w:rPr>
          <w:rFonts w:ascii="Times New Roman" w:hAnsi="Times New Roman" w:cs="Times New Roman"/>
          <w:sz w:val="28"/>
          <w:szCs w:val="28"/>
        </w:rPr>
        <w:t>г</w:t>
      </w:r>
      <w:r w:rsidRPr="00A51076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="00E26D38"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E26D38">
        <w:rPr>
          <w:rFonts w:ascii="Times New Roman" w:hAnsi="Times New Roman"/>
          <w:sz w:val="28"/>
          <w:szCs w:val="28"/>
        </w:rPr>
        <w:t>растворяют</w:t>
      </w:r>
      <w:r w:rsidR="00E26D38" w:rsidRPr="00E26D38">
        <w:rPr>
          <w:rFonts w:ascii="Times New Roman" w:hAnsi="Times New Roman"/>
          <w:sz w:val="28"/>
          <w:szCs w:val="28"/>
        </w:rPr>
        <w:t xml:space="preserve"> </w:t>
      </w:r>
      <w:r w:rsidR="00E26D38">
        <w:rPr>
          <w:rFonts w:ascii="Times New Roman" w:hAnsi="Times New Roman"/>
          <w:sz w:val="28"/>
          <w:szCs w:val="28"/>
        </w:rPr>
        <w:t>в</w:t>
      </w:r>
      <w:r w:rsidR="00E26D38" w:rsidRPr="00E26D38">
        <w:rPr>
          <w:rFonts w:ascii="Times New Roman" w:hAnsi="Times New Roman"/>
          <w:sz w:val="28"/>
          <w:szCs w:val="28"/>
        </w:rPr>
        <w:t xml:space="preserve"> ПФ и </w:t>
      </w:r>
      <w:r w:rsidR="00E26D38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метки.</w:t>
      </w:r>
    </w:p>
    <w:p w:rsidR="00E26D38" w:rsidRPr="00D95B09" w:rsidRDefault="00E26D38" w:rsidP="00E26D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09">
        <w:rPr>
          <w:rFonts w:ascii="Times New Roman" w:hAnsi="Times New Roman" w:cs="Times New Roman"/>
          <w:i/>
          <w:sz w:val="28"/>
          <w:szCs w:val="28"/>
        </w:rPr>
        <w:t>Стандартный раствор Б</w:t>
      </w:r>
      <w:r w:rsidRPr="00D95B09">
        <w:rPr>
          <w:rFonts w:ascii="Times New Roman" w:hAnsi="Times New Roman" w:cs="Times New Roman"/>
          <w:sz w:val="28"/>
          <w:szCs w:val="28"/>
        </w:rPr>
        <w:t xml:space="preserve">. </w:t>
      </w:r>
      <w:r w:rsidR="00E423E0" w:rsidRPr="00D95B0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423E0">
        <w:rPr>
          <w:rFonts w:ascii="Times New Roman" w:hAnsi="Times New Roman" w:cs="Times New Roman"/>
          <w:sz w:val="28"/>
          <w:szCs w:val="28"/>
        </w:rPr>
        <w:t>5</w:t>
      </w:r>
      <w:r w:rsidR="00E423E0"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3E0"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</w:t>
      </w:r>
      <w:r w:rsidR="00E423E0">
        <w:rPr>
          <w:rFonts w:ascii="Times New Roman" w:hAnsi="Times New Roman" w:cs="Times New Roman"/>
          <w:sz w:val="28"/>
          <w:szCs w:val="28"/>
        </w:rPr>
        <w:t xml:space="preserve"> ацетилцистеина, о</w:t>
      </w:r>
      <w:r w:rsidRPr="00D95B09">
        <w:rPr>
          <w:rFonts w:ascii="Times New Roman" w:hAnsi="Times New Roman" w:cs="Times New Roman"/>
          <w:sz w:val="28"/>
          <w:szCs w:val="28"/>
        </w:rPr>
        <w:t xml:space="preserve">коло </w:t>
      </w:r>
      <w:r w:rsidR="008974CE"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А, около </w:t>
      </w:r>
      <w:r w:rsidR="00D95B09" w:rsidRPr="00D95B09">
        <w:rPr>
          <w:rFonts w:ascii="Times New Roman" w:hAnsi="Times New Roman" w:cs="Times New Roman"/>
          <w:sz w:val="28"/>
          <w:szCs w:val="28"/>
        </w:rPr>
        <w:t>5 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В,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С и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5B09">
        <w:rPr>
          <w:rFonts w:ascii="Times New Roman" w:hAnsi="Times New Roman" w:cs="Times New Roman"/>
          <w:sz w:val="28"/>
          <w:szCs w:val="28"/>
        </w:rPr>
        <w:t xml:space="preserve"> взбалтывают с 1,0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мл 1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М раствора хлористоводородной кислоты и доводят объём раствора </w:t>
      </w:r>
      <w:r w:rsidR="00D95B09" w:rsidRPr="00D95B09">
        <w:rPr>
          <w:rFonts w:ascii="Times New Roman" w:hAnsi="Times New Roman" w:cs="Times New Roman"/>
          <w:sz w:val="28"/>
          <w:szCs w:val="28"/>
        </w:rPr>
        <w:t>ПФ</w:t>
      </w:r>
      <w:r w:rsidRPr="00D95B09">
        <w:rPr>
          <w:rFonts w:ascii="Times New Roman" w:hAnsi="Times New Roman" w:cs="Times New Roman"/>
          <w:sz w:val="28"/>
          <w:szCs w:val="28"/>
        </w:rPr>
        <w:t xml:space="preserve"> до 100,0 мл.</w:t>
      </w:r>
      <w:r w:rsidR="00D95B09" w:rsidRPr="00D95B0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Примечание.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 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56-89-3;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52-90-4;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)-2-ацетамидо-3-(ацетилсульфанил)пропановая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lastRenderedPageBreak/>
        <w:t xml:space="preserve">продукт циклизации: 2-метил-4,5-дигидро-1,3-тиазол-4-карбоновая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84184-18-9.</w:t>
      </w:r>
    </w:p>
    <w:p w:rsidR="00E423E0" w:rsidRPr="00A51076" w:rsidRDefault="00E423E0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 × 0,46 см, силикагель октадецилсилильный для хроматографии (С18),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 °С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E423E0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любыми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пиками должно быть не менее </w:t>
      </w:r>
      <w:r w:rsidR="007878FC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423E0" w:rsidRPr="00943C4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43C48">
        <w:rPr>
          <w:rFonts w:ascii="Times New Roman" w:hAnsi="Times New Roman"/>
          <w:color w:val="000000"/>
          <w:sz w:val="28"/>
          <w:szCs w:val="28"/>
        </w:rPr>
        <w:t>площад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F210A">
        <w:rPr>
          <w:rFonts w:ascii="Times New Roman" w:hAnsi="Times New Roman"/>
          <w:color w:val="000000"/>
          <w:sz w:val="28"/>
          <w:szCs w:val="28"/>
        </w:rPr>
        <w:t>ов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F210A">
        <w:rPr>
          <w:rFonts w:ascii="Times New Roman" w:hAnsi="Times New Roman"/>
          <w:color w:val="000000"/>
          <w:sz w:val="28"/>
          <w:szCs w:val="28"/>
        </w:rPr>
        <w:t>6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423E0" w:rsidRPr="009E5F2D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10A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примесь А – около 3; примесь В – около 1,8; ацетилцистеин – 1,00 (около 5 мин); примесь С – около 2; примесь 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2,2.</w:t>
      </w:r>
    </w:p>
    <w:p w:rsidR="00A51076" w:rsidRDefault="00E423E0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 xml:space="preserve">Содержание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F210A" w:rsidRPr="00AF210A">
        <w:rPr>
          <w:rFonts w:ascii="Times New Roman" w:hAnsi="Times New Roman"/>
          <w:b w:val="0"/>
          <w:szCs w:val="28"/>
        </w:rPr>
        <w:t>ацетилцистеина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AF210A" w:rsidP="00AF210A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41pt" o:ole="">
            <v:imagedata r:id="rId8" o:title=""/>
          </v:shape>
          <o:OLEObject Type="Embed" ProgID="Equation.3" ShapeID="_x0000_i1025" DrawAspect="Content" ObjectID="_1577274520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AF210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F210A" w:rsidP="003D70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51076"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навеска соответствующего стандартного образца примеси или ацетилцистеина,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E82305" w:rsidRPr="00A51076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 или ацетилцистеина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E82305">
              <w:rPr>
                <w:rFonts w:ascii="Times New Roman" w:hAnsi="Times New Roman"/>
                <w:sz w:val="28"/>
                <w:szCs w:val="28"/>
              </w:rPr>
              <w:t xml:space="preserve"> или 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D709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упаковки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D709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82305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упаковке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491164" w:rsidRDefault="00FB6F6F" w:rsidP="008F09F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="00491164" w:rsidRPr="00FB6F6F">
        <w:rPr>
          <w:rFonts w:ascii="Times New Roman" w:hAnsi="Times New Roman"/>
          <w:b w:val="0"/>
          <w:szCs w:val="28"/>
        </w:rPr>
        <w:t>: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8A4DDC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 xml:space="preserve">ь А – </w:t>
      </w:r>
      <w:r w:rsidRPr="008A4DDC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8A4DD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>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B</w:t>
      </w:r>
      <w:r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</w:t>
      </w:r>
      <w:r w:rsidR="00E968B6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</w:t>
      </w:r>
      <w:r w:rsidR="00E968B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более 1,</w:t>
      </w:r>
      <w:r w:rsidR="00AF7808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– не более </w:t>
      </w:r>
      <w:r w:rsidR="00AF7808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</w:t>
      </w:r>
      <w:r w:rsidR="00AF7808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="00A51076"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="00A51076" w:rsidRPr="00A510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другая примесь – </w:t>
      </w:r>
      <w:r w:rsidR="00A51076"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="00A51076"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 xml:space="preserve"> для каждой примеси;</w:t>
      </w:r>
    </w:p>
    <w:p w:rsidR="00A51076" w:rsidRPr="00A51076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="00A51076" w:rsidRPr="00A51076">
        <w:rPr>
          <w:rFonts w:ascii="Times New Roman" w:hAnsi="Times New Roman"/>
          <w:b w:val="0"/>
          <w:szCs w:val="28"/>
        </w:rPr>
        <w:t xml:space="preserve">умма примесей </w:t>
      </w:r>
      <w:r w:rsidR="00DA0686">
        <w:rPr>
          <w:rFonts w:ascii="Times New Roman" w:hAnsi="Times New Roman"/>
          <w:b w:val="0"/>
          <w:szCs w:val="28"/>
        </w:rPr>
        <w:t xml:space="preserve">– </w:t>
      </w:r>
      <w:r w:rsidR="00A51076" w:rsidRPr="00A51076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2</w:t>
      </w:r>
      <w:r w:rsidR="00A51076" w:rsidRPr="00A5107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0 %.</w:t>
      </w:r>
    </w:p>
    <w:p w:rsidR="008330D7" w:rsidRPr="008330D7" w:rsidRDefault="00EC4BDF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4BD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EC4BDF">
        <w:rPr>
          <w:rFonts w:ascii="Times New Roman" w:hAnsi="Times New Roman" w:cs="Times New Roman"/>
          <w:sz w:val="28"/>
          <w:szCs w:val="28"/>
        </w:rPr>
        <w:t xml:space="preserve">.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4BD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4BDF">
        <w:rPr>
          <w:rFonts w:ascii="Times New Roman" w:hAnsi="Times New Roman" w:cs="Times New Roman"/>
          <w:sz w:val="28"/>
          <w:szCs w:val="28"/>
        </w:rPr>
        <w:t>% (ОФС  «Потеря в массе при высушивании», способ 1). Около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4BDF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EC4BDF">
        <w:rPr>
          <w:rFonts w:ascii="Times New Roman" w:hAnsi="Times New Roman" w:cs="Times New Roman"/>
          <w:sz w:val="28"/>
          <w:szCs w:val="28"/>
        </w:rPr>
        <w:t xml:space="preserve"> высушивают при пониженном давлении и температуре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4B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°С.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695370">
        <w:rPr>
          <w:rFonts w:ascii="Times New Roman" w:hAnsi="Times New Roman" w:cs="Times New Roman"/>
          <w:sz w:val="28"/>
          <w:szCs w:val="28"/>
        </w:rPr>
        <w:t>одновременно с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95370">
        <w:rPr>
          <w:rFonts w:ascii="Times New Roman" w:hAnsi="Times New Roman" w:cs="Times New Roman"/>
          <w:sz w:val="28"/>
          <w:szCs w:val="28"/>
        </w:rPr>
        <w:t>ем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А: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A0443">
        <w:rPr>
          <w:rFonts w:ascii="Times New Roman" w:hAnsi="Times New Roman"/>
          <w:color w:val="000000"/>
          <w:sz w:val="28"/>
          <w:szCs w:val="28"/>
        </w:rPr>
        <w:t>1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8A0443">
        <w:rPr>
          <w:rFonts w:ascii="Times New Roman" w:hAnsi="Times New Roman"/>
          <w:color w:val="000000"/>
          <w:sz w:val="28"/>
          <w:szCs w:val="28"/>
        </w:rPr>
        <w:t>25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8A0443" w:rsidRPr="008A0443">
        <w:rPr>
          <w:rFonts w:ascii="Times New Roman" w:hAnsi="Times New Roman"/>
          <w:sz w:val="28"/>
          <w:szCs w:val="28"/>
        </w:rPr>
        <w:t>ацетилцистеина C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5</w:t>
      </w:r>
      <w:r w:rsidR="008A0443" w:rsidRPr="008A0443">
        <w:rPr>
          <w:rFonts w:ascii="Times New Roman" w:hAnsi="Times New Roman"/>
          <w:sz w:val="28"/>
          <w:szCs w:val="28"/>
        </w:rPr>
        <w:t>H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9</w:t>
      </w:r>
      <w:r w:rsidR="008A0443" w:rsidRPr="008A0443">
        <w:rPr>
          <w:rFonts w:ascii="Times New Roman" w:hAnsi="Times New Roman"/>
          <w:sz w:val="28"/>
          <w:szCs w:val="28"/>
        </w:rPr>
        <w:t>NO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3</w:t>
      </w:r>
      <w:r w:rsidR="008A0443" w:rsidRPr="008A0443">
        <w:rPr>
          <w:rFonts w:ascii="Times New Roman" w:hAnsi="Times New Roman"/>
          <w:sz w:val="28"/>
          <w:szCs w:val="28"/>
        </w:rPr>
        <w:t>S.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3D7093">
        <w:rPr>
          <w:rFonts w:ascii="Times New Roman" w:hAnsi="Times New Roman" w:cs="Times New Roman"/>
          <w:sz w:val="28"/>
          <w:szCs w:val="28"/>
        </w:rPr>
        <w:t>упаковке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8A0443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880" w:dyaOrig="700">
          <v:shape id="_x0000_i1026" type="#_x0000_t75" style="width:4in;height:41pt" o:ole="">
            <v:imagedata r:id="rId10" o:title=""/>
          </v:shape>
          <o:OLEObject Type="Embed" ProgID="Equation.3" ShapeID="_x0000_i1026" DrawAspect="Content" ObjectID="_157727452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A0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06DE4" w:rsidRPr="00085448" w:rsidTr="00076E3E">
        <w:tc>
          <w:tcPr>
            <w:tcW w:w="607" w:type="dxa"/>
          </w:tcPr>
          <w:p w:rsidR="00606DE4" w:rsidRPr="00085448" w:rsidRDefault="00606DE4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578" w:type="dxa"/>
            <w:gridSpan w:val="2"/>
          </w:tcPr>
          <w:p w:rsidR="00606DE4" w:rsidRPr="00085448" w:rsidRDefault="00606DE4" w:rsidP="003D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D7093" w:rsidRPr="00F604D6" w:rsidTr="00606DE4">
        <w:tc>
          <w:tcPr>
            <w:tcW w:w="633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3D7093" w:rsidRPr="00606DE4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D7093" w:rsidRPr="00F604D6" w:rsidRDefault="003D7093" w:rsidP="005B1F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упаковки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D7093" w:rsidRPr="00F604D6" w:rsidTr="00606DE4">
        <w:tc>
          <w:tcPr>
            <w:tcW w:w="633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3D7093" w:rsidRPr="00606DE4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D7093" w:rsidRPr="00F604D6" w:rsidRDefault="003D7093" w:rsidP="005B1F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упаковке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68B6" w:rsidRPr="00E968B6">
        <w:rPr>
          <w:rStyle w:val="8"/>
          <w:rFonts w:eastAsiaTheme="minorHAnsi"/>
          <w:color w:val="000000" w:themeColor="text1"/>
          <w:sz w:val="28"/>
          <w:szCs w:val="28"/>
        </w:rPr>
        <w:t>Особые указания отсутствуют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B1FE8" w:rsidRDefault="005B1FE8" w:rsidP="005B1FE8">
      <w:pPr>
        <w:pStyle w:val="a3"/>
        <w:spacing w:before="240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Fonts w:ascii="Times New Roman" w:hAnsi="Times New Roman"/>
          <w:b w:val="0"/>
        </w:rPr>
        <w:t>*</w:t>
      </w:r>
      <w:r>
        <w:rPr>
          <w:rFonts w:ascii="Times New Roman" w:hAnsi="Times New Roman"/>
          <w:b w:val="0"/>
        </w:rPr>
        <w:t>В случае,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5B1FE8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FE" w:rsidRDefault="00D87AFE" w:rsidP="00004BE2">
      <w:pPr>
        <w:spacing w:after="0" w:line="240" w:lineRule="auto"/>
      </w:pPr>
      <w:r>
        <w:separator/>
      </w:r>
    </w:p>
  </w:endnote>
  <w:endnote w:type="continuationSeparator" w:id="1">
    <w:p w:rsidR="00D87AFE" w:rsidRDefault="00D87AF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C1117" w:rsidRDefault="004D4B0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111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61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FE" w:rsidRDefault="00D87AFE" w:rsidP="00004BE2">
      <w:pPr>
        <w:spacing w:after="0" w:line="240" w:lineRule="auto"/>
      </w:pPr>
      <w:r>
        <w:separator/>
      </w:r>
    </w:p>
  </w:footnote>
  <w:footnote w:type="continuationSeparator" w:id="1">
    <w:p w:rsidR="00D87AFE" w:rsidRDefault="00D87AF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4565D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2BC6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117"/>
    <w:rsid w:val="003C17FC"/>
    <w:rsid w:val="003C3E37"/>
    <w:rsid w:val="003C643D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4B0F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1FE8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118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363FE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147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261E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857"/>
    <w:rsid w:val="00AF0A42"/>
    <w:rsid w:val="00AF210A"/>
    <w:rsid w:val="00AF6CBE"/>
    <w:rsid w:val="00AF7808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87AFE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AF7808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43</cp:revision>
  <cp:lastPrinted>2017-07-24T05:58:00Z</cp:lastPrinted>
  <dcterms:created xsi:type="dcterms:W3CDTF">2017-09-12T11:04:00Z</dcterms:created>
  <dcterms:modified xsi:type="dcterms:W3CDTF">2018-01-12T12:02:00Z</dcterms:modified>
</cp:coreProperties>
</file>